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1.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2.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theme/themeOverride3.xml" ContentType="application/vnd.openxmlformats-officedocument.themeOverrid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4.xml" ContentType="application/vnd.openxmlformats-officedocument.themeOverrid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5.xml" ContentType="application/vnd.openxmlformats-officedocument.themeOverride+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6.xml" ContentType="application/vnd.openxmlformats-officedocument.themeOverride+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7.xml" ContentType="application/vnd.openxmlformats-officedocument.themeOverride+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8.xml" ContentType="application/vnd.openxmlformats-officedocument.themeOverride+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charts/chart18.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9.xml" ContentType="application/vnd.openxmlformats-officedocument.themeOverride+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charts/chart19.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0.xml" ContentType="application/vnd.openxmlformats-officedocument.themeOverride+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charts/chart2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5.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7.xml" ContentType="application/vnd.openxmlformats-officedocument.drawingml.chart+xml"/>
  <Override PartName="/word/theme/themeOverride11.xml" ContentType="application/vnd.openxmlformats-officedocument.themeOverride+xml"/>
  <Override PartName="/word/charts/chart28.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9.xml" ContentType="application/vnd.openxmlformats-officedocument.drawingml.chart+xml"/>
  <Override PartName="/word/charts/style27.xml" ContentType="application/vnd.ms-office.chartstyle+xml"/>
  <Override PartName="/word/charts/colors27.xml" ContentType="application/vnd.ms-office.chartcolorstyle+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charts/chart30.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31.xml" ContentType="application/vnd.openxmlformats-officedocument.drawingml.chart+xml"/>
  <Override PartName="/word/charts/style29.xml" ContentType="application/vnd.ms-office.chartstyle+xml"/>
  <Override PartName="/word/charts/colors29.xml" ContentType="application/vnd.ms-office.chartcolorstyle+xml"/>
  <Override PartName="/word/drawings/drawing2.xml" ContentType="application/vnd.openxmlformats-officedocument.drawingml.chartshapes+xml"/>
  <Override PartName="/word/charts/chart32.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3.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4.xml" ContentType="application/vnd.openxmlformats-officedocument.drawingml.chart+xml"/>
  <Override PartName="/word/theme/themeOverride12.xml" ContentType="application/vnd.openxmlformats-officedocument.themeOverride+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D9A737" w14:textId="23CD376A" w:rsidR="00FB650C" w:rsidRPr="006B6D61" w:rsidRDefault="00FB650C" w:rsidP="00207CA3">
      <w:pPr>
        <w:ind w:firstLine="284"/>
        <w:rPr>
          <w:rFonts w:ascii="Times New Roman" w:hAnsi="Times New Roman" w:cs="Times New Roman"/>
          <w:sz w:val="24"/>
          <w:szCs w:val="24"/>
        </w:rPr>
      </w:pPr>
      <w:r w:rsidRPr="002F1BE7">
        <w:rPr>
          <w:rFonts w:ascii="Times New Roman" w:hAnsi="Times New Roman" w:cs="Times New Roman"/>
          <w:noProof/>
          <w:color w:val="FF0000"/>
          <w:lang w:eastAsia="cs-CZ"/>
        </w:rPr>
        <w:drawing>
          <wp:inline distT="0" distB="0" distL="0" distR="0" wp14:anchorId="07C6C02E" wp14:editId="6EC76B24">
            <wp:extent cx="2162810" cy="540385"/>
            <wp:effectExtent l="0" t="0" r="0" b="0"/>
            <wp:docPr id="1" name="Obrázek 1" descr="logoMD_m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MD_min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62810" cy="540385"/>
                    </a:xfrm>
                    <a:prstGeom prst="rect">
                      <a:avLst/>
                    </a:prstGeom>
                    <a:noFill/>
                    <a:ln>
                      <a:noFill/>
                    </a:ln>
                  </pic:spPr>
                </pic:pic>
              </a:graphicData>
            </a:graphic>
          </wp:inline>
        </w:drawing>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3324AA" w:rsidRPr="002F1BE7">
        <w:rPr>
          <w:rFonts w:ascii="Times New Roman" w:hAnsi="Times New Roman" w:cs="Times New Roman"/>
          <w:color w:val="FF0000"/>
        </w:rPr>
        <w:tab/>
      </w:r>
      <w:r w:rsidR="00DF2DA6">
        <w:rPr>
          <w:rFonts w:ascii="Times New Roman" w:hAnsi="Times New Roman" w:cs="Times New Roman"/>
          <w:color w:val="FF0000"/>
        </w:rPr>
        <w:t xml:space="preserve">  </w:t>
      </w:r>
      <w:r w:rsidR="003324AA" w:rsidRPr="002F1BE7">
        <w:rPr>
          <w:rFonts w:ascii="Times New Roman" w:hAnsi="Times New Roman" w:cs="Times New Roman"/>
          <w:color w:val="FF0000"/>
        </w:rPr>
        <w:tab/>
      </w:r>
      <w:r w:rsidRPr="006B6D61">
        <w:rPr>
          <w:rFonts w:ascii="Times New Roman" w:hAnsi="Times New Roman" w:cs="Times New Roman"/>
          <w:sz w:val="24"/>
          <w:szCs w:val="24"/>
        </w:rPr>
        <w:t xml:space="preserve">Č. j.: </w:t>
      </w:r>
      <w:r w:rsidR="00D470D3" w:rsidRPr="006B6D61">
        <w:rPr>
          <w:rFonts w:ascii="Times New Roman" w:hAnsi="Times New Roman" w:cs="Times New Roman"/>
          <w:sz w:val="24"/>
          <w:szCs w:val="24"/>
        </w:rPr>
        <w:t>MD-7706/2024-410</w:t>
      </w:r>
    </w:p>
    <w:p w14:paraId="5BF0E7FC" w14:textId="77777777" w:rsidR="00FB650C" w:rsidRPr="002F1BE7" w:rsidRDefault="00FB650C" w:rsidP="00FB650C">
      <w:pPr>
        <w:rPr>
          <w:rFonts w:ascii="Times New Roman" w:hAnsi="Times New Roman" w:cs="Times New Roman"/>
          <w:color w:val="FF0000"/>
        </w:rPr>
      </w:pPr>
    </w:p>
    <w:p w14:paraId="44008F6E" w14:textId="77777777" w:rsidR="00FB650C" w:rsidRPr="002F1BE7" w:rsidRDefault="00FB650C" w:rsidP="00FB650C">
      <w:pPr>
        <w:rPr>
          <w:rFonts w:ascii="Times New Roman" w:hAnsi="Times New Roman" w:cs="Times New Roman"/>
          <w:color w:val="FF0000"/>
        </w:rPr>
      </w:pPr>
    </w:p>
    <w:p w14:paraId="648B437A" w14:textId="77777777" w:rsidR="00FB650C" w:rsidRPr="002F1BE7" w:rsidRDefault="00FB650C" w:rsidP="00FB650C">
      <w:pPr>
        <w:rPr>
          <w:rFonts w:ascii="Times New Roman" w:hAnsi="Times New Roman" w:cs="Times New Roman"/>
          <w:color w:val="FF0000"/>
        </w:rPr>
      </w:pPr>
    </w:p>
    <w:p w14:paraId="7A8E8F21" w14:textId="6E40BC46" w:rsidR="004B546B" w:rsidRDefault="004B546B" w:rsidP="006B6D61">
      <w:pPr>
        <w:spacing w:after="240" w:line="240" w:lineRule="auto"/>
        <w:jc w:val="center"/>
        <w:rPr>
          <w:rFonts w:ascii="Times New Roman" w:eastAsia="Times New Roman" w:hAnsi="Times New Roman" w:cs="Times New Roman"/>
          <w:b/>
          <w:sz w:val="32"/>
          <w:szCs w:val="24"/>
          <w:lang w:eastAsia="cs-CZ"/>
        </w:rPr>
      </w:pPr>
    </w:p>
    <w:p w14:paraId="585BB098" w14:textId="5181C5D0" w:rsidR="00FB650C" w:rsidRPr="002F1BE7" w:rsidRDefault="00FB650C" w:rsidP="00FB650C">
      <w:pPr>
        <w:spacing w:after="0" w:line="240" w:lineRule="auto"/>
        <w:jc w:val="center"/>
        <w:rPr>
          <w:rFonts w:ascii="Times New Roman" w:eastAsia="Times New Roman" w:hAnsi="Times New Roman" w:cs="Times New Roman"/>
          <w:b/>
          <w:sz w:val="32"/>
          <w:szCs w:val="24"/>
          <w:lang w:eastAsia="cs-CZ"/>
        </w:rPr>
      </w:pPr>
      <w:r w:rsidRPr="002F1BE7">
        <w:rPr>
          <w:rFonts w:ascii="Times New Roman" w:eastAsia="Times New Roman" w:hAnsi="Times New Roman" w:cs="Times New Roman"/>
          <w:b/>
          <w:sz w:val="32"/>
          <w:szCs w:val="24"/>
          <w:lang w:eastAsia="cs-CZ"/>
        </w:rPr>
        <w:t>STÁTNÍ   ZÁVĚREČNÝ   ÚČET   ZA   ROK   202</w:t>
      </w:r>
      <w:r w:rsidR="002F1BE7" w:rsidRPr="0077128B">
        <w:rPr>
          <w:rFonts w:ascii="Times New Roman" w:eastAsia="Times New Roman" w:hAnsi="Times New Roman" w:cs="Times New Roman"/>
          <w:b/>
          <w:sz w:val="32"/>
          <w:szCs w:val="24"/>
          <w:lang w:eastAsia="cs-CZ"/>
        </w:rPr>
        <w:t>3</w:t>
      </w:r>
    </w:p>
    <w:p w14:paraId="50929135" w14:textId="5A70CCEE" w:rsidR="00FB650C" w:rsidRPr="002F1BE7" w:rsidRDefault="00FB650C" w:rsidP="00FB650C">
      <w:pPr>
        <w:spacing w:before="120" w:after="0" w:line="240" w:lineRule="auto"/>
        <w:jc w:val="center"/>
        <w:rPr>
          <w:rFonts w:ascii="Times New Roman" w:eastAsia="Times New Roman" w:hAnsi="Times New Roman" w:cs="Times New Roman"/>
          <w:b/>
          <w:sz w:val="28"/>
          <w:szCs w:val="28"/>
          <w:lang w:eastAsia="cs-CZ"/>
        </w:rPr>
      </w:pPr>
      <w:r w:rsidRPr="002F1BE7">
        <w:rPr>
          <w:rFonts w:ascii="Times New Roman" w:eastAsia="Times New Roman" w:hAnsi="Times New Roman" w:cs="Times New Roman"/>
          <w:b/>
          <w:sz w:val="28"/>
          <w:szCs w:val="28"/>
          <w:lang w:eastAsia="cs-CZ"/>
        </w:rPr>
        <w:t xml:space="preserve">KAPITOLA 327 MINISTERSTVO DOPRAVY </w:t>
      </w:r>
    </w:p>
    <w:p w14:paraId="21D97DDD" w14:textId="77777777" w:rsidR="00FB650C" w:rsidRPr="002F1BE7" w:rsidRDefault="00FB650C" w:rsidP="00FB650C">
      <w:pPr>
        <w:jc w:val="center"/>
        <w:rPr>
          <w:rFonts w:ascii="Times New Roman" w:hAnsi="Times New Roman" w:cs="Times New Roman"/>
          <w:color w:val="FF0000"/>
        </w:rPr>
      </w:pPr>
    </w:p>
    <w:p w14:paraId="2FBE586F" w14:textId="77777777" w:rsidR="00FB650C" w:rsidRPr="002F1BE7" w:rsidRDefault="00FB650C" w:rsidP="00FB650C">
      <w:pPr>
        <w:jc w:val="center"/>
        <w:rPr>
          <w:rFonts w:ascii="Times New Roman" w:hAnsi="Times New Roman" w:cs="Times New Roman"/>
          <w:color w:val="FF0000"/>
        </w:rPr>
      </w:pPr>
      <w:r w:rsidRPr="002F1BE7">
        <w:rPr>
          <w:rFonts w:ascii="Times New Roman" w:hAnsi="Times New Roman" w:cs="Times New Roman"/>
          <w:noProof/>
          <w:color w:val="FF0000"/>
          <w:lang w:eastAsia="cs-CZ"/>
        </w:rPr>
        <w:drawing>
          <wp:inline distT="0" distB="0" distL="0" distR="0" wp14:anchorId="73663A63" wp14:editId="33DAE0FA">
            <wp:extent cx="2361565" cy="1487170"/>
            <wp:effectExtent l="0" t="0" r="0" b="0"/>
            <wp:docPr id="5" name="Obrázek 5" descr="Bez názvu 3 k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z názvu 3 kopi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61565" cy="1487170"/>
                    </a:xfrm>
                    <a:prstGeom prst="rect">
                      <a:avLst/>
                    </a:prstGeom>
                    <a:noFill/>
                    <a:ln>
                      <a:noFill/>
                    </a:ln>
                  </pic:spPr>
                </pic:pic>
              </a:graphicData>
            </a:graphic>
          </wp:inline>
        </w:drawing>
      </w:r>
    </w:p>
    <w:p w14:paraId="3453694D" w14:textId="77777777" w:rsidR="00FB650C" w:rsidRPr="002F1BE7" w:rsidRDefault="00FB650C" w:rsidP="00FB650C">
      <w:pPr>
        <w:rPr>
          <w:rFonts w:ascii="Times New Roman" w:hAnsi="Times New Roman" w:cs="Times New Roman"/>
          <w:color w:val="FF0000"/>
        </w:rPr>
      </w:pPr>
    </w:p>
    <w:p w14:paraId="7EFB73AE" w14:textId="77777777" w:rsidR="00FB650C" w:rsidRPr="002F1BE7" w:rsidRDefault="00FB650C" w:rsidP="00FB650C">
      <w:pPr>
        <w:rPr>
          <w:rFonts w:ascii="Times New Roman" w:hAnsi="Times New Roman" w:cs="Times New Roman"/>
          <w:color w:val="FF0000"/>
        </w:rPr>
      </w:pPr>
    </w:p>
    <w:tbl>
      <w:tblPr>
        <w:tblW w:w="0" w:type="auto"/>
        <w:tblCellMar>
          <w:left w:w="70" w:type="dxa"/>
          <w:right w:w="70" w:type="dxa"/>
        </w:tblCellMar>
        <w:tblLook w:val="0000" w:firstRow="0" w:lastRow="0" w:firstColumn="0" w:lastColumn="0" w:noHBand="0" w:noVBand="0"/>
      </w:tblPr>
      <w:tblGrid>
        <w:gridCol w:w="5812"/>
        <w:gridCol w:w="495"/>
        <w:gridCol w:w="2057"/>
      </w:tblGrid>
      <w:tr w:rsidR="002F1BE7" w:rsidRPr="002F1BE7" w14:paraId="348D7274" w14:textId="77777777" w:rsidTr="0032380E">
        <w:tc>
          <w:tcPr>
            <w:tcW w:w="5812" w:type="dxa"/>
          </w:tcPr>
          <w:p w14:paraId="0F91C9B5" w14:textId="1B81FC05" w:rsidR="00FB650C" w:rsidRPr="0044012B" w:rsidRDefault="00FB650C">
            <w:pPr>
              <w:spacing w:after="0"/>
              <w:jc w:val="right"/>
              <w:rPr>
                <w:rFonts w:ascii="Times New Roman" w:hAnsi="Times New Roman" w:cs="Times New Roman"/>
                <w:sz w:val="26"/>
              </w:rPr>
            </w:pPr>
            <w:r w:rsidRPr="0044012B">
              <w:rPr>
                <w:rFonts w:ascii="Times New Roman" w:hAnsi="Times New Roman" w:cs="Times New Roman"/>
              </w:rPr>
              <w:t xml:space="preserve"> </w:t>
            </w:r>
            <w:r w:rsidRPr="0044012B">
              <w:rPr>
                <w:rFonts w:ascii="Times New Roman" w:hAnsi="Times New Roman" w:cs="Times New Roman"/>
                <w:sz w:val="26"/>
              </w:rPr>
              <w:t xml:space="preserve">Obsah: </w:t>
            </w:r>
          </w:p>
        </w:tc>
        <w:tc>
          <w:tcPr>
            <w:tcW w:w="495" w:type="dxa"/>
            <w:vAlign w:val="center"/>
          </w:tcPr>
          <w:p w14:paraId="66F3E304" w14:textId="77777777" w:rsidR="00FB650C" w:rsidRPr="0044012B" w:rsidRDefault="00FB650C" w:rsidP="00FB650C">
            <w:pPr>
              <w:spacing w:after="0"/>
              <w:jc w:val="right"/>
              <w:rPr>
                <w:rFonts w:ascii="Times New Roman" w:hAnsi="Times New Roman" w:cs="Times New Roman"/>
                <w:sz w:val="26"/>
              </w:rPr>
            </w:pPr>
            <w:r w:rsidRPr="0044012B">
              <w:rPr>
                <w:rFonts w:ascii="Times New Roman" w:hAnsi="Times New Roman" w:cs="Times New Roman"/>
                <w:sz w:val="26"/>
              </w:rPr>
              <w:t>I.</w:t>
            </w:r>
          </w:p>
        </w:tc>
        <w:tc>
          <w:tcPr>
            <w:tcW w:w="2057" w:type="dxa"/>
          </w:tcPr>
          <w:p w14:paraId="35590E7C" w14:textId="77777777" w:rsidR="00FB650C" w:rsidRPr="0044012B" w:rsidRDefault="00FB650C" w:rsidP="00FB650C">
            <w:pPr>
              <w:spacing w:after="0"/>
              <w:rPr>
                <w:rFonts w:ascii="Times New Roman" w:hAnsi="Times New Roman" w:cs="Times New Roman"/>
                <w:sz w:val="26"/>
              </w:rPr>
            </w:pPr>
            <w:r w:rsidRPr="0044012B">
              <w:rPr>
                <w:rFonts w:ascii="Times New Roman" w:hAnsi="Times New Roman" w:cs="Times New Roman"/>
                <w:sz w:val="26"/>
              </w:rPr>
              <w:t>Zpráva</w:t>
            </w:r>
          </w:p>
        </w:tc>
      </w:tr>
      <w:tr w:rsidR="002F1BE7" w:rsidRPr="002F1BE7" w14:paraId="6FA62C3F" w14:textId="77777777" w:rsidTr="0032380E">
        <w:tc>
          <w:tcPr>
            <w:tcW w:w="5812" w:type="dxa"/>
          </w:tcPr>
          <w:p w14:paraId="316CA9F4" w14:textId="64AE1C96" w:rsidR="00FB650C" w:rsidRPr="0044012B" w:rsidRDefault="00FB650C">
            <w:pPr>
              <w:spacing w:after="0"/>
              <w:rPr>
                <w:rFonts w:ascii="Times New Roman" w:hAnsi="Times New Roman" w:cs="Times New Roman"/>
                <w:sz w:val="26"/>
              </w:rPr>
            </w:pPr>
          </w:p>
        </w:tc>
        <w:tc>
          <w:tcPr>
            <w:tcW w:w="495" w:type="dxa"/>
            <w:vAlign w:val="center"/>
          </w:tcPr>
          <w:p w14:paraId="30C0B901" w14:textId="77777777" w:rsidR="00FB650C" w:rsidRPr="0044012B" w:rsidRDefault="00FB650C" w:rsidP="00FB650C">
            <w:pPr>
              <w:spacing w:after="0"/>
              <w:jc w:val="right"/>
              <w:rPr>
                <w:rFonts w:ascii="Times New Roman" w:hAnsi="Times New Roman" w:cs="Times New Roman"/>
                <w:sz w:val="26"/>
              </w:rPr>
            </w:pPr>
            <w:r w:rsidRPr="0044012B">
              <w:rPr>
                <w:rFonts w:ascii="Times New Roman" w:hAnsi="Times New Roman" w:cs="Times New Roman"/>
                <w:sz w:val="26"/>
              </w:rPr>
              <w:t>II.</w:t>
            </w:r>
          </w:p>
        </w:tc>
        <w:tc>
          <w:tcPr>
            <w:tcW w:w="2057" w:type="dxa"/>
          </w:tcPr>
          <w:p w14:paraId="6C861A27" w14:textId="068B9F5B" w:rsidR="00FB650C" w:rsidRPr="0044012B" w:rsidRDefault="00FB650C">
            <w:pPr>
              <w:spacing w:after="0"/>
              <w:rPr>
                <w:rFonts w:ascii="Times New Roman" w:hAnsi="Times New Roman" w:cs="Times New Roman"/>
                <w:sz w:val="26"/>
              </w:rPr>
            </w:pPr>
            <w:r w:rsidRPr="0044012B">
              <w:rPr>
                <w:rFonts w:ascii="Times New Roman" w:hAnsi="Times New Roman" w:cs="Times New Roman"/>
                <w:sz w:val="26"/>
              </w:rPr>
              <w:t>Přílohy</w:t>
            </w:r>
          </w:p>
        </w:tc>
      </w:tr>
      <w:tr w:rsidR="002F1BE7" w:rsidRPr="002F1BE7" w14:paraId="1B63C704" w14:textId="77777777" w:rsidTr="0032380E">
        <w:tc>
          <w:tcPr>
            <w:tcW w:w="5812" w:type="dxa"/>
          </w:tcPr>
          <w:p w14:paraId="54FC643F" w14:textId="356D1903" w:rsidR="00FB650C" w:rsidRPr="0044012B" w:rsidRDefault="00FB650C" w:rsidP="00FB650C">
            <w:pPr>
              <w:spacing w:after="0"/>
              <w:rPr>
                <w:rFonts w:ascii="Times New Roman" w:hAnsi="Times New Roman" w:cs="Times New Roman"/>
                <w:sz w:val="26"/>
              </w:rPr>
            </w:pPr>
          </w:p>
        </w:tc>
        <w:tc>
          <w:tcPr>
            <w:tcW w:w="495" w:type="dxa"/>
            <w:vAlign w:val="center"/>
          </w:tcPr>
          <w:p w14:paraId="719EAC5C" w14:textId="35654F59" w:rsidR="00FB650C" w:rsidRPr="0044012B" w:rsidRDefault="00FB650C" w:rsidP="00FB650C">
            <w:pPr>
              <w:spacing w:after="0"/>
              <w:jc w:val="right"/>
              <w:rPr>
                <w:rFonts w:ascii="Times New Roman" w:hAnsi="Times New Roman" w:cs="Times New Roman"/>
                <w:sz w:val="26"/>
              </w:rPr>
            </w:pPr>
          </w:p>
        </w:tc>
        <w:tc>
          <w:tcPr>
            <w:tcW w:w="2057" w:type="dxa"/>
            <w:vAlign w:val="center"/>
          </w:tcPr>
          <w:p w14:paraId="6F473FB4" w14:textId="77777777" w:rsidR="00FB650C" w:rsidRPr="0044012B" w:rsidRDefault="00FB650C" w:rsidP="00FB650C">
            <w:pPr>
              <w:spacing w:after="0"/>
              <w:rPr>
                <w:rFonts w:ascii="Times New Roman" w:hAnsi="Times New Roman" w:cs="Times New Roman"/>
                <w:sz w:val="26"/>
              </w:rPr>
            </w:pPr>
            <w:r w:rsidRPr="0044012B">
              <w:rPr>
                <w:rFonts w:ascii="Times New Roman" w:hAnsi="Times New Roman" w:cs="Times New Roman"/>
                <w:sz w:val="26"/>
              </w:rPr>
              <w:t>Tabulková část</w:t>
            </w:r>
          </w:p>
        </w:tc>
      </w:tr>
    </w:tbl>
    <w:p w14:paraId="5DD6AA36" w14:textId="77777777" w:rsidR="00FB650C" w:rsidRPr="002F1BE7" w:rsidRDefault="00FB650C" w:rsidP="00FB650C">
      <w:pPr>
        <w:ind w:left="6000"/>
        <w:rPr>
          <w:rFonts w:ascii="Times New Roman" w:hAnsi="Times New Roman" w:cs="Times New Roman"/>
          <w:color w:val="FF0000"/>
          <w:sz w:val="26"/>
        </w:rPr>
      </w:pPr>
    </w:p>
    <w:p w14:paraId="0F4CB795" w14:textId="77777777" w:rsidR="00FB650C" w:rsidRPr="002F1BE7" w:rsidRDefault="00FB650C" w:rsidP="00FB650C">
      <w:pPr>
        <w:ind w:left="6000"/>
        <w:rPr>
          <w:rFonts w:ascii="Times New Roman" w:hAnsi="Times New Roman" w:cs="Times New Roman"/>
          <w:color w:val="FF0000"/>
        </w:rPr>
      </w:pPr>
    </w:p>
    <w:p w14:paraId="0D2B7A11" w14:textId="77777777" w:rsidR="00FB650C" w:rsidRPr="002F1BE7" w:rsidRDefault="00FB650C" w:rsidP="00FB650C">
      <w:pPr>
        <w:ind w:left="6000"/>
        <w:rPr>
          <w:rFonts w:ascii="Times New Roman" w:hAnsi="Times New Roman" w:cs="Times New Roman"/>
          <w:color w:val="FF0000"/>
        </w:rPr>
      </w:pPr>
    </w:p>
    <w:p w14:paraId="57F694B9" w14:textId="77777777" w:rsidR="00FB650C" w:rsidRPr="002F1BE7" w:rsidRDefault="00FB650C" w:rsidP="00FB650C">
      <w:pPr>
        <w:ind w:left="6000"/>
        <w:rPr>
          <w:rFonts w:ascii="Times New Roman" w:hAnsi="Times New Roman" w:cs="Times New Roman"/>
          <w:color w:val="FF0000"/>
        </w:rPr>
      </w:pPr>
    </w:p>
    <w:p w14:paraId="29B4600A" w14:textId="0AA1D936" w:rsidR="00FB650C" w:rsidRPr="0044012B" w:rsidRDefault="00FB650C" w:rsidP="00FB650C">
      <w:pPr>
        <w:spacing w:after="0"/>
        <w:rPr>
          <w:rFonts w:ascii="Times New Roman" w:hAnsi="Times New Roman" w:cs="Times New Roman"/>
          <w:b/>
          <w:sz w:val="24"/>
          <w:szCs w:val="24"/>
        </w:rPr>
      </w:pPr>
      <w:r w:rsidRPr="0044012B">
        <w:rPr>
          <w:rFonts w:ascii="Times New Roman" w:hAnsi="Times New Roman" w:cs="Times New Roman"/>
          <w:b/>
          <w:sz w:val="24"/>
          <w:szCs w:val="24"/>
        </w:rPr>
        <w:t>Předkládá:</w:t>
      </w:r>
    </w:p>
    <w:p w14:paraId="07D52984" w14:textId="77777777" w:rsidR="00FB650C" w:rsidRPr="0044012B" w:rsidRDefault="00FB650C" w:rsidP="00FB650C">
      <w:pPr>
        <w:spacing w:after="0"/>
        <w:rPr>
          <w:rFonts w:ascii="Times New Roman" w:hAnsi="Times New Roman" w:cs="Times New Roman"/>
          <w:sz w:val="24"/>
          <w:szCs w:val="24"/>
        </w:rPr>
      </w:pPr>
      <w:r w:rsidRPr="0044012B">
        <w:rPr>
          <w:rFonts w:ascii="Times New Roman" w:hAnsi="Times New Roman" w:cs="Times New Roman"/>
          <w:sz w:val="24"/>
          <w:szCs w:val="24"/>
        </w:rPr>
        <w:t>Mgr. Martin Kupka</w:t>
      </w:r>
    </w:p>
    <w:p w14:paraId="17A6642E" w14:textId="77777777" w:rsidR="00FB650C" w:rsidRPr="0044012B" w:rsidRDefault="00FB650C" w:rsidP="00FB650C">
      <w:pPr>
        <w:spacing w:after="0"/>
        <w:ind w:left="6000" w:hanging="6000"/>
        <w:rPr>
          <w:rFonts w:ascii="Times New Roman" w:hAnsi="Times New Roman" w:cs="Times New Roman"/>
          <w:sz w:val="24"/>
          <w:szCs w:val="24"/>
        </w:rPr>
      </w:pPr>
      <w:r w:rsidRPr="0044012B">
        <w:rPr>
          <w:rFonts w:ascii="Times New Roman" w:hAnsi="Times New Roman" w:cs="Times New Roman"/>
          <w:sz w:val="24"/>
          <w:szCs w:val="24"/>
        </w:rPr>
        <w:fldChar w:fldCharType="begin"/>
      </w:r>
      <w:r w:rsidRPr="0044012B">
        <w:rPr>
          <w:rFonts w:ascii="Times New Roman" w:hAnsi="Times New Roman" w:cs="Times New Roman"/>
          <w:sz w:val="24"/>
          <w:szCs w:val="24"/>
        </w:rPr>
        <w:instrText xml:space="preserve"> DOCPROPERTY  "MD_minFunc" </w:instrText>
      </w:r>
      <w:r w:rsidRPr="0044012B">
        <w:rPr>
          <w:rFonts w:ascii="Times New Roman" w:hAnsi="Times New Roman" w:cs="Times New Roman"/>
          <w:sz w:val="24"/>
          <w:szCs w:val="24"/>
        </w:rPr>
        <w:fldChar w:fldCharType="separate"/>
      </w:r>
      <w:r w:rsidRPr="0044012B">
        <w:rPr>
          <w:rFonts w:ascii="Times New Roman" w:hAnsi="Times New Roman" w:cs="Times New Roman"/>
          <w:sz w:val="24"/>
          <w:szCs w:val="24"/>
        </w:rPr>
        <w:t>ministr dopravy</w:t>
      </w:r>
      <w:r w:rsidRPr="0044012B">
        <w:rPr>
          <w:rFonts w:ascii="Times New Roman" w:hAnsi="Times New Roman" w:cs="Times New Roman"/>
          <w:sz w:val="24"/>
          <w:szCs w:val="24"/>
        </w:rPr>
        <w:fldChar w:fldCharType="end"/>
      </w:r>
    </w:p>
    <w:p w14:paraId="655DE72A" w14:textId="77777777" w:rsidR="00FB650C" w:rsidRPr="002F1BE7" w:rsidRDefault="00FB650C" w:rsidP="00FB650C">
      <w:pPr>
        <w:ind w:left="6000" w:hanging="6000"/>
        <w:rPr>
          <w:rFonts w:ascii="Times New Roman" w:hAnsi="Times New Roman" w:cs="Times New Roman"/>
          <w:color w:val="FF0000"/>
        </w:rPr>
      </w:pPr>
    </w:p>
    <w:p w14:paraId="5E7A27C6" w14:textId="77777777" w:rsidR="00FB650C" w:rsidRPr="002F1BE7" w:rsidRDefault="00FB650C" w:rsidP="00FB650C">
      <w:pPr>
        <w:ind w:left="6000" w:hanging="6000"/>
        <w:rPr>
          <w:rFonts w:ascii="Times New Roman" w:hAnsi="Times New Roman" w:cs="Times New Roman"/>
          <w:color w:val="FF0000"/>
        </w:rPr>
      </w:pPr>
    </w:p>
    <w:p w14:paraId="0F54B7E4" w14:textId="77777777" w:rsidR="00FB650C" w:rsidRPr="0077128B" w:rsidRDefault="00FB650C" w:rsidP="00FB650C">
      <w:pPr>
        <w:ind w:left="6000" w:hanging="6000"/>
        <w:rPr>
          <w:rFonts w:ascii="Times New Roman" w:hAnsi="Times New Roman" w:cs="Times New Roman"/>
        </w:rPr>
      </w:pPr>
    </w:p>
    <w:p w14:paraId="401F5AF4" w14:textId="3472A9AB" w:rsidR="00FB650C" w:rsidRPr="0077128B" w:rsidRDefault="00D64809" w:rsidP="00FB650C">
      <w:pPr>
        <w:ind w:left="6000" w:hanging="6000"/>
        <w:jc w:val="center"/>
        <w:rPr>
          <w:rFonts w:ascii="Times New Roman" w:hAnsi="Times New Roman" w:cs="Times New Roman"/>
          <w:color w:val="FF0000"/>
          <w:sz w:val="24"/>
          <w:szCs w:val="24"/>
        </w:rPr>
      </w:pPr>
      <w:r w:rsidRPr="0044012B">
        <w:rPr>
          <w:rFonts w:ascii="Times New Roman" w:hAnsi="Times New Roman" w:cs="Times New Roman"/>
          <w:sz w:val="24"/>
          <w:szCs w:val="24"/>
        </w:rPr>
        <w:t>Březen</w:t>
      </w:r>
      <w:r w:rsidR="00FB650C" w:rsidRPr="0044012B">
        <w:rPr>
          <w:rFonts w:ascii="Times New Roman" w:hAnsi="Times New Roman" w:cs="Times New Roman"/>
          <w:sz w:val="24"/>
          <w:szCs w:val="24"/>
        </w:rPr>
        <w:t xml:space="preserve"> 202</w:t>
      </w:r>
      <w:r w:rsidR="0044012B" w:rsidRPr="0077128B">
        <w:rPr>
          <w:rFonts w:ascii="Times New Roman" w:hAnsi="Times New Roman" w:cs="Times New Roman"/>
          <w:sz w:val="24"/>
          <w:szCs w:val="24"/>
        </w:rPr>
        <w:t>4</w:t>
      </w:r>
    </w:p>
    <w:p w14:paraId="0DF1142A" w14:textId="77777777" w:rsidR="00FB650C" w:rsidRPr="0077128B" w:rsidRDefault="00FB650C">
      <w:pPr>
        <w:rPr>
          <w:b/>
          <w:color w:val="FF0000"/>
          <w:u w:val="single"/>
        </w:rPr>
      </w:pPr>
    </w:p>
    <w:p w14:paraId="749F5AB5" w14:textId="77777777" w:rsidR="00FB650C" w:rsidRPr="0077128B" w:rsidRDefault="00FB650C">
      <w:pPr>
        <w:rPr>
          <w:b/>
          <w:color w:val="FF0000"/>
          <w:u w:val="single"/>
        </w:rPr>
      </w:pPr>
    </w:p>
    <w:p w14:paraId="2067CE96" w14:textId="77777777" w:rsidR="00FB650C" w:rsidRPr="0077128B" w:rsidRDefault="00FB650C">
      <w:pPr>
        <w:rPr>
          <w:b/>
          <w:color w:val="FF0000"/>
          <w:u w:val="single"/>
        </w:rPr>
      </w:pPr>
    </w:p>
    <w:p w14:paraId="496D1BA5" w14:textId="77777777" w:rsidR="00FB650C" w:rsidRPr="0077128B" w:rsidRDefault="00FB650C">
      <w:pPr>
        <w:rPr>
          <w:b/>
          <w:color w:val="FF0000"/>
          <w:u w:val="single"/>
        </w:rPr>
      </w:pPr>
      <w:r w:rsidRPr="0077128B">
        <w:rPr>
          <w:b/>
          <w:color w:val="FF0000"/>
          <w:u w:val="single"/>
        </w:rPr>
        <w:br w:type="page"/>
      </w:r>
    </w:p>
    <w:p w14:paraId="79CA69E5" w14:textId="77777777" w:rsidR="00FA2D17" w:rsidRPr="006A4BBE" w:rsidRDefault="00FA2D17" w:rsidP="00FA2D17">
      <w:pPr>
        <w:pStyle w:val="Nadpisobsahu"/>
        <w:rPr>
          <w:rFonts w:asciiTheme="minorHAnsi" w:hAnsiTheme="minorHAnsi" w:cstheme="minorHAnsi"/>
          <w:b/>
          <w:color w:val="auto"/>
          <w:sz w:val="24"/>
          <w:szCs w:val="24"/>
        </w:rPr>
      </w:pPr>
      <w:r w:rsidRPr="006A4BBE">
        <w:rPr>
          <w:rFonts w:asciiTheme="minorHAnsi" w:hAnsiTheme="minorHAnsi" w:cstheme="minorHAnsi"/>
          <w:b/>
          <w:color w:val="auto"/>
          <w:sz w:val="24"/>
          <w:szCs w:val="24"/>
        </w:rPr>
        <w:lastRenderedPageBreak/>
        <w:t>OBSAH</w:t>
      </w:r>
    </w:p>
    <w:p w14:paraId="654D780A" w14:textId="77777777" w:rsidR="00FA2D17" w:rsidRPr="0077128B" w:rsidRDefault="00FA2D17">
      <w:pPr>
        <w:pStyle w:val="Obsah1"/>
        <w:rPr>
          <w:color w:val="FF0000"/>
        </w:rPr>
      </w:pPr>
    </w:p>
    <w:p w14:paraId="105294BF" w14:textId="5FF604C4" w:rsidR="00E11F3E" w:rsidRDefault="00452FC2">
      <w:pPr>
        <w:pStyle w:val="Obsah1"/>
        <w:rPr>
          <w:rFonts w:eastAsiaTheme="minorEastAsia"/>
          <w:b w:val="0"/>
          <w:lang w:eastAsia="cs-CZ"/>
        </w:rPr>
      </w:pPr>
      <w:r w:rsidRPr="0077128B">
        <w:rPr>
          <w:rFonts w:cstheme="minorHAnsi"/>
          <w:color w:val="FF0000"/>
        </w:rPr>
        <w:fldChar w:fldCharType="begin"/>
      </w:r>
      <w:r w:rsidRPr="0077128B">
        <w:rPr>
          <w:rFonts w:cstheme="minorHAnsi"/>
          <w:color w:val="FF0000"/>
        </w:rPr>
        <w:instrText xml:space="preserve"> TOC \h \z \t "KOMNadp.1;1;KOMnadp2;2;KOMnadp3;3" </w:instrText>
      </w:r>
      <w:r w:rsidRPr="0077128B">
        <w:rPr>
          <w:rFonts w:cstheme="minorHAnsi"/>
          <w:color w:val="FF0000"/>
        </w:rPr>
        <w:fldChar w:fldCharType="separate"/>
      </w:r>
      <w:hyperlink w:anchor="_Toc162269230" w:history="1">
        <w:r w:rsidR="00E11F3E" w:rsidRPr="005021E4">
          <w:rPr>
            <w:rStyle w:val="Hypertextovodkaz"/>
          </w:rPr>
          <w:t>1</w:t>
        </w:r>
        <w:r w:rsidR="00E11F3E">
          <w:rPr>
            <w:rFonts w:eastAsiaTheme="minorEastAsia"/>
            <w:b w:val="0"/>
            <w:lang w:eastAsia="cs-CZ"/>
          </w:rPr>
          <w:tab/>
        </w:r>
        <w:r w:rsidR="00E11F3E" w:rsidRPr="005021E4">
          <w:rPr>
            <w:rStyle w:val="Hypertextovodkaz"/>
          </w:rPr>
          <w:t>ÚVOD</w:t>
        </w:r>
        <w:r w:rsidR="00E11F3E">
          <w:rPr>
            <w:webHidden/>
          </w:rPr>
          <w:tab/>
        </w:r>
        <w:r w:rsidR="00E11F3E">
          <w:rPr>
            <w:webHidden/>
          </w:rPr>
          <w:fldChar w:fldCharType="begin"/>
        </w:r>
        <w:r w:rsidR="00E11F3E">
          <w:rPr>
            <w:webHidden/>
          </w:rPr>
          <w:instrText xml:space="preserve"> PAGEREF _Toc162269230 \h </w:instrText>
        </w:r>
        <w:r w:rsidR="00E11F3E">
          <w:rPr>
            <w:webHidden/>
          </w:rPr>
        </w:r>
        <w:r w:rsidR="00E11F3E">
          <w:rPr>
            <w:webHidden/>
          </w:rPr>
          <w:fldChar w:fldCharType="separate"/>
        </w:r>
        <w:r w:rsidR="00E11F3E">
          <w:rPr>
            <w:webHidden/>
          </w:rPr>
          <w:t>6</w:t>
        </w:r>
        <w:r w:rsidR="00E11F3E">
          <w:rPr>
            <w:webHidden/>
          </w:rPr>
          <w:fldChar w:fldCharType="end"/>
        </w:r>
      </w:hyperlink>
    </w:p>
    <w:p w14:paraId="4B210C99" w14:textId="71B7446A" w:rsidR="00E11F3E" w:rsidRDefault="00207CA3">
      <w:pPr>
        <w:pStyle w:val="Obsah1"/>
        <w:rPr>
          <w:rFonts w:eastAsiaTheme="minorEastAsia"/>
          <w:b w:val="0"/>
          <w:lang w:eastAsia="cs-CZ"/>
        </w:rPr>
      </w:pPr>
      <w:hyperlink w:anchor="_Toc162269231" w:history="1">
        <w:r w:rsidR="00E11F3E" w:rsidRPr="005021E4">
          <w:rPr>
            <w:rStyle w:val="Hypertextovodkaz"/>
          </w:rPr>
          <w:t>2</w:t>
        </w:r>
        <w:r w:rsidR="00E11F3E">
          <w:rPr>
            <w:rFonts w:eastAsiaTheme="minorEastAsia"/>
            <w:b w:val="0"/>
            <w:lang w:eastAsia="cs-CZ"/>
          </w:rPr>
          <w:tab/>
        </w:r>
        <w:r w:rsidR="00E11F3E" w:rsidRPr="005021E4">
          <w:rPr>
            <w:rStyle w:val="Hypertextovodkaz"/>
          </w:rPr>
          <w:t>PŘÍJMY KAPITOLY</w:t>
        </w:r>
        <w:r w:rsidR="00E11F3E">
          <w:rPr>
            <w:webHidden/>
          </w:rPr>
          <w:tab/>
        </w:r>
        <w:r w:rsidR="00E11F3E">
          <w:rPr>
            <w:webHidden/>
          </w:rPr>
          <w:fldChar w:fldCharType="begin"/>
        </w:r>
        <w:r w:rsidR="00E11F3E">
          <w:rPr>
            <w:webHidden/>
          </w:rPr>
          <w:instrText xml:space="preserve"> PAGEREF _Toc162269231 \h </w:instrText>
        </w:r>
        <w:r w:rsidR="00E11F3E">
          <w:rPr>
            <w:webHidden/>
          </w:rPr>
        </w:r>
        <w:r w:rsidR="00E11F3E">
          <w:rPr>
            <w:webHidden/>
          </w:rPr>
          <w:fldChar w:fldCharType="separate"/>
        </w:r>
        <w:r w:rsidR="00E11F3E">
          <w:rPr>
            <w:webHidden/>
          </w:rPr>
          <w:t>8</w:t>
        </w:r>
        <w:r w:rsidR="00E11F3E">
          <w:rPr>
            <w:webHidden/>
          </w:rPr>
          <w:fldChar w:fldCharType="end"/>
        </w:r>
      </w:hyperlink>
    </w:p>
    <w:p w14:paraId="4DED1FAD" w14:textId="5C17608E" w:rsidR="00E11F3E" w:rsidRDefault="00207CA3">
      <w:pPr>
        <w:pStyle w:val="Obsah2"/>
        <w:rPr>
          <w:rFonts w:eastAsiaTheme="minorEastAsia"/>
          <w:noProof/>
          <w:lang w:eastAsia="cs-CZ"/>
        </w:rPr>
      </w:pPr>
      <w:hyperlink w:anchor="_Toc162269232" w:history="1">
        <w:r w:rsidR="00E11F3E" w:rsidRPr="005021E4">
          <w:rPr>
            <w:rStyle w:val="Hypertextovodkaz"/>
            <w:noProof/>
          </w:rPr>
          <w:t>2.1.</w:t>
        </w:r>
        <w:r w:rsidR="00E11F3E">
          <w:rPr>
            <w:rFonts w:eastAsiaTheme="minorEastAsia"/>
            <w:noProof/>
            <w:lang w:eastAsia="cs-CZ"/>
          </w:rPr>
          <w:tab/>
        </w:r>
        <w:r w:rsidR="00E11F3E" w:rsidRPr="005021E4">
          <w:rPr>
            <w:rStyle w:val="Hypertextovodkaz"/>
            <w:noProof/>
          </w:rPr>
          <w:t>Plnění specifických ukazatelů</w:t>
        </w:r>
        <w:r w:rsidR="00E11F3E">
          <w:rPr>
            <w:noProof/>
            <w:webHidden/>
          </w:rPr>
          <w:tab/>
        </w:r>
        <w:r w:rsidR="00E11F3E">
          <w:rPr>
            <w:noProof/>
            <w:webHidden/>
          </w:rPr>
          <w:fldChar w:fldCharType="begin"/>
        </w:r>
        <w:r w:rsidR="00E11F3E">
          <w:rPr>
            <w:noProof/>
            <w:webHidden/>
          </w:rPr>
          <w:instrText xml:space="preserve"> PAGEREF _Toc162269232 \h </w:instrText>
        </w:r>
        <w:r w:rsidR="00E11F3E">
          <w:rPr>
            <w:noProof/>
            <w:webHidden/>
          </w:rPr>
        </w:r>
        <w:r w:rsidR="00E11F3E">
          <w:rPr>
            <w:noProof/>
            <w:webHidden/>
          </w:rPr>
          <w:fldChar w:fldCharType="separate"/>
        </w:r>
        <w:r w:rsidR="00E11F3E">
          <w:rPr>
            <w:noProof/>
            <w:webHidden/>
          </w:rPr>
          <w:t>8</w:t>
        </w:r>
        <w:r w:rsidR="00E11F3E">
          <w:rPr>
            <w:noProof/>
            <w:webHidden/>
          </w:rPr>
          <w:fldChar w:fldCharType="end"/>
        </w:r>
      </w:hyperlink>
    </w:p>
    <w:p w14:paraId="1CE4FE60" w14:textId="0E831F96" w:rsidR="00E11F3E" w:rsidRDefault="00207CA3">
      <w:pPr>
        <w:pStyle w:val="Obsah3"/>
        <w:rPr>
          <w:rFonts w:eastAsiaTheme="minorEastAsia"/>
          <w:noProof/>
          <w:lang w:eastAsia="cs-CZ"/>
        </w:rPr>
      </w:pPr>
      <w:hyperlink w:anchor="_Toc162269233" w:history="1">
        <w:r w:rsidR="00E11F3E" w:rsidRPr="005021E4">
          <w:rPr>
            <w:rStyle w:val="Hypertextovodkaz"/>
            <w:noProof/>
          </w:rPr>
          <w:t>2.1.1.</w:t>
        </w:r>
        <w:r w:rsidR="00E11F3E">
          <w:rPr>
            <w:rFonts w:eastAsiaTheme="minorEastAsia"/>
            <w:noProof/>
            <w:lang w:eastAsia="cs-CZ"/>
          </w:rPr>
          <w:tab/>
        </w:r>
        <w:r w:rsidR="00E11F3E" w:rsidRPr="005021E4">
          <w:rPr>
            <w:rStyle w:val="Hypertextovodkaz"/>
            <w:noProof/>
          </w:rPr>
          <w:t>Daňové příjmy</w:t>
        </w:r>
        <w:r w:rsidR="00E11F3E">
          <w:rPr>
            <w:noProof/>
            <w:webHidden/>
          </w:rPr>
          <w:tab/>
        </w:r>
        <w:r w:rsidR="00E11F3E">
          <w:rPr>
            <w:noProof/>
            <w:webHidden/>
          </w:rPr>
          <w:fldChar w:fldCharType="begin"/>
        </w:r>
        <w:r w:rsidR="00E11F3E">
          <w:rPr>
            <w:noProof/>
            <w:webHidden/>
          </w:rPr>
          <w:instrText xml:space="preserve"> PAGEREF _Toc162269233 \h </w:instrText>
        </w:r>
        <w:r w:rsidR="00E11F3E">
          <w:rPr>
            <w:noProof/>
            <w:webHidden/>
          </w:rPr>
        </w:r>
        <w:r w:rsidR="00E11F3E">
          <w:rPr>
            <w:noProof/>
            <w:webHidden/>
          </w:rPr>
          <w:fldChar w:fldCharType="separate"/>
        </w:r>
        <w:r w:rsidR="00E11F3E">
          <w:rPr>
            <w:noProof/>
            <w:webHidden/>
          </w:rPr>
          <w:t>9</w:t>
        </w:r>
        <w:r w:rsidR="00E11F3E">
          <w:rPr>
            <w:noProof/>
            <w:webHidden/>
          </w:rPr>
          <w:fldChar w:fldCharType="end"/>
        </w:r>
      </w:hyperlink>
    </w:p>
    <w:p w14:paraId="17FF6A24" w14:textId="33C1CD61" w:rsidR="00E11F3E" w:rsidRDefault="00207CA3">
      <w:pPr>
        <w:pStyle w:val="Obsah3"/>
        <w:rPr>
          <w:rFonts w:eastAsiaTheme="minorEastAsia"/>
          <w:noProof/>
          <w:lang w:eastAsia="cs-CZ"/>
        </w:rPr>
      </w:pPr>
      <w:hyperlink w:anchor="_Toc162269234" w:history="1">
        <w:r w:rsidR="00E11F3E" w:rsidRPr="005021E4">
          <w:rPr>
            <w:rStyle w:val="Hypertextovodkaz"/>
            <w:noProof/>
          </w:rPr>
          <w:t>2.1.2.</w:t>
        </w:r>
        <w:r w:rsidR="00E11F3E">
          <w:rPr>
            <w:rFonts w:eastAsiaTheme="minorEastAsia"/>
            <w:noProof/>
            <w:lang w:eastAsia="cs-CZ"/>
          </w:rPr>
          <w:tab/>
        </w:r>
        <w:r w:rsidR="00E11F3E" w:rsidRPr="005021E4">
          <w:rPr>
            <w:rStyle w:val="Hypertextovodkaz"/>
            <w:noProof/>
          </w:rPr>
          <w:t>Nedaňové příjmy, kapitálové příjmy a přijaté transfery celkem</w:t>
        </w:r>
        <w:r w:rsidR="00E11F3E">
          <w:rPr>
            <w:noProof/>
            <w:webHidden/>
          </w:rPr>
          <w:tab/>
        </w:r>
        <w:r w:rsidR="00E11F3E">
          <w:rPr>
            <w:noProof/>
            <w:webHidden/>
          </w:rPr>
          <w:fldChar w:fldCharType="begin"/>
        </w:r>
        <w:r w:rsidR="00E11F3E">
          <w:rPr>
            <w:noProof/>
            <w:webHidden/>
          </w:rPr>
          <w:instrText xml:space="preserve"> PAGEREF _Toc162269234 \h </w:instrText>
        </w:r>
        <w:r w:rsidR="00E11F3E">
          <w:rPr>
            <w:noProof/>
            <w:webHidden/>
          </w:rPr>
        </w:r>
        <w:r w:rsidR="00E11F3E">
          <w:rPr>
            <w:noProof/>
            <w:webHidden/>
          </w:rPr>
          <w:fldChar w:fldCharType="separate"/>
        </w:r>
        <w:r w:rsidR="00E11F3E">
          <w:rPr>
            <w:noProof/>
            <w:webHidden/>
          </w:rPr>
          <w:t>9</w:t>
        </w:r>
        <w:r w:rsidR="00E11F3E">
          <w:rPr>
            <w:noProof/>
            <w:webHidden/>
          </w:rPr>
          <w:fldChar w:fldCharType="end"/>
        </w:r>
      </w:hyperlink>
    </w:p>
    <w:p w14:paraId="3C97A292" w14:textId="0BCD7FF0" w:rsidR="00E11F3E" w:rsidRDefault="00207CA3">
      <w:pPr>
        <w:pStyle w:val="Obsah2"/>
        <w:rPr>
          <w:rFonts w:eastAsiaTheme="minorEastAsia"/>
          <w:noProof/>
          <w:lang w:eastAsia="cs-CZ"/>
        </w:rPr>
      </w:pPr>
      <w:hyperlink w:anchor="_Toc162269235" w:history="1">
        <w:r w:rsidR="00E11F3E" w:rsidRPr="005021E4">
          <w:rPr>
            <w:rStyle w:val="Hypertextovodkaz"/>
            <w:noProof/>
          </w:rPr>
          <w:t>2.2.</w:t>
        </w:r>
        <w:r w:rsidR="00E11F3E">
          <w:rPr>
            <w:rFonts w:eastAsiaTheme="minorEastAsia"/>
            <w:noProof/>
            <w:lang w:eastAsia="cs-CZ"/>
          </w:rPr>
          <w:tab/>
        </w:r>
        <w:r w:rsidR="00E11F3E" w:rsidRPr="005021E4">
          <w:rPr>
            <w:rStyle w:val="Hypertextovodkaz"/>
            <w:noProof/>
          </w:rPr>
          <w:t>Příjmy ze správních poplatků a pokut ve správním řízení</w:t>
        </w:r>
        <w:r w:rsidR="00E11F3E">
          <w:rPr>
            <w:noProof/>
            <w:webHidden/>
          </w:rPr>
          <w:tab/>
        </w:r>
        <w:r w:rsidR="00E11F3E">
          <w:rPr>
            <w:noProof/>
            <w:webHidden/>
          </w:rPr>
          <w:fldChar w:fldCharType="begin"/>
        </w:r>
        <w:r w:rsidR="00E11F3E">
          <w:rPr>
            <w:noProof/>
            <w:webHidden/>
          </w:rPr>
          <w:instrText xml:space="preserve"> PAGEREF _Toc162269235 \h </w:instrText>
        </w:r>
        <w:r w:rsidR="00E11F3E">
          <w:rPr>
            <w:noProof/>
            <w:webHidden/>
          </w:rPr>
        </w:r>
        <w:r w:rsidR="00E11F3E">
          <w:rPr>
            <w:noProof/>
            <w:webHidden/>
          </w:rPr>
          <w:fldChar w:fldCharType="separate"/>
        </w:r>
        <w:r w:rsidR="00E11F3E">
          <w:rPr>
            <w:noProof/>
            <w:webHidden/>
          </w:rPr>
          <w:t>12</w:t>
        </w:r>
        <w:r w:rsidR="00E11F3E">
          <w:rPr>
            <w:noProof/>
            <w:webHidden/>
          </w:rPr>
          <w:fldChar w:fldCharType="end"/>
        </w:r>
      </w:hyperlink>
    </w:p>
    <w:p w14:paraId="20449D6C" w14:textId="6253DD15" w:rsidR="00E11F3E" w:rsidRDefault="00207CA3">
      <w:pPr>
        <w:pStyle w:val="Obsah3"/>
        <w:rPr>
          <w:rFonts w:eastAsiaTheme="minorEastAsia"/>
          <w:noProof/>
          <w:lang w:eastAsia="cs-CZ"/>
        </w:rPr>
      </w:pPr>
      <w:hyperlink w:anchor="_Toc162269236" w:history="1">
        <w:r w:rsidR="00E11F3E" w:rsidRPr="005021E4">
          <w:rPr>
            <w:rStyle w:val="Hypertextovodkaz"/>
            <w:noProof/>
          </w:rPr>
          <w:t>2.2.1.</w:t>
        </w:r>
        <w:r w:rsidR="00E11F3E">
          <w:rPr>
            <w:rFonts w:eastAsiaTheme="minorEastAsia"/>
            <w:noProof/>
            <w:lang w:eastAsia="cs-CZ"/>
          </w:rPr>
          <w:tab/>
        </w:r>
        <w:r w:rsidR="00E11F3E" w:rsidRPr="005021E4">
          <w:rPr>
            <w:rStyle w:val="Hypertextovodkaz"/>
            <w:noProof/>
          </w:rPr>
          <w:t>Správní poplatky</w:t>
        </w:r>
        <w:r w:rsidR="00E11F3E">
          <w:rPr>
            <w:noProof/>
            <w:webHidden/>
          </w:rPr>
          <w:tab/>
        </w:r>
        <w:r w:rsidR="00E11F3E">
          <w:rPr>
            <w:noProof/>
            <w:webHidden/>
          </w:rPr>
          <w:fldChar w:fldCharType="begin"/>
        </w:r>
        <w:r w:rsidR="00E11F3E">
          <w:rPr>
            <w:noProof/>
            <w:webHidden/>
          </w:rPr>
          <w:instrText xml:space="preserve"> PAGEREF _Toc162269236 \h </w:instrText>
        </w:r>
        <w:r w:rsidR="00E11F3E">
          <w:rPr>
            <w:noProof/>
            <w:webHidden/>
          </w:rPr>
        </w:r>
        <w:r w:rsidR="00E11F3E">
          <w:rPr>
            <w:noProof/>
            <w:webHidden/>
          </w:rPr>
          <w:fldChar w:fldCharType="separate"/>
        </w:r>
        <w:r w:rsidR="00E11F3E">
          <w:rPr>
            <w:noProof/>
            <w:webHidden/>
          </w:rPr>
          <w:t>12</w:t>
        </w:r>
        <w:r w:rsidR="00E11F3E">
          <w:rPr>
            <w:noProof/>
            <w:webHidden/>
          </w:rPr>
          <w:fldChar w:fldCharType="end"/>
        </w:r>
      </w:hyperlink>
    </w:p>
    <w:p w14:paraId="0357FEAC" w14:textId="3FC87FDB" w:rsidR="00E11F3E" w:rsidRDefault="00207CA3">
      <w:pPr>
        <w:pStyle w:val="Obsah3"/>
        <w:rPr>
          <w:rFonts w:eastAsiaTheme="minorEastAsia"/>
          <w:noProof/>
          <w:lang w:eastAsia="cs-CZ"/>
        </w:rPr>
      </w:pPr>
      <w:hyperlink w:anchor="_Toc162269237" w:history="1">
        <w:r w:rsidR="00E11F3E" w:rsidRPr="005021E4">
          <w:rPr>
            <w:rStyle w:val="Hypertextovodkaz"/>
            <w:noProof/>
          </w:rPr>
          <w:t>2.2.2.</w:t>
        </w:r>
        <w:r w:rsidR="00E11F3E">
          <w:rPr>
            <w:rFonts w:eastAsiaTheme="minorEastAsia"/>
            <w:noProof/>
            <w:lang w:eastAsia="cs-CZ"/>
          </w:rPr>
          <w:tab/>
        </w:r>
        <w:r w:rsidR="00E11F3E" w:rsidRPr="005021E4">
          <w:rPr>
            <w:rStyle w:val="Hypertextovodkaz"/>
            <w:noProof/>
          </w:rPr>
          <w:t>Pokuty ve správním řízení</w:t>
        </w:r>
        <w:r w:rsidR="00E11F3E">
          <w:rPr>
            <w:noProof/>
            <w:webHidden/>
          </w:rPr>
          <w:tab/>
        </w:r>
        <w:r w:rsidR="00E11F3E">
          <w:rPr>
            <w:noProof/>
            <w:webHidden/>
          </w:rPr>
          <w:fldChar w:fldCharType="begin"/>
        </w:r>
        <w:r w:rsidR="00E11F3E">
          <w:rPr>
            <w:noProof/>
            <w:webHidden/>
          </w:rPr>
          <w:instrText xml:space="preserve"> PAGEREF _Toc162269237 \h </w:instrText>
        </w:r>
        <w:r w:rsidR="00E11F3E">
          <w:rPr>
            <w:noProof/>
            <w:webHidden/>
          </w:rPr>
        </w:r>
        <w:r w:rsidR="00E11F3E">
          <w:rPr>
            <w:noProof/>
            <w:webHidden/>
          </w:rPr>
          <w:fldChar w:fldCharType="separate"/>
        </w:r>
        <w:r w:rsidR="00E11F3E">
          <w:rPr>
            <w:noProof/>
            <w:webHidden/>
          </w:rPr>
          <w:t>13</w:t>
        </w:r>
        <w:r w:rsidR="00E11F3E">
          <w:rPr>
            <w:noProof/>
            <w:webHidden/>
          </w:rPr>
          <w:fldChar w:fldCharType="end"/>
        </w:r>
      </w:hyperlink>
    </w:p>
    <w:p w14:paraId="61D1B611" w14:textId="20977FFE" w:rsidR="00E11F3E" w:rsidRDefault="00207CA3">
      <w:pPr>
        <w:pStyle w:val="Obsah1"/>
        <w:rPr>
          <w:rFonts w:eastAsiaTheme="minorEastAsia"/>
          <w:b w:val="0"/>
          <w:lang w:eastAsia="cs-CZ"/>
        </w:rPr>
      </w:pPr>
      <w:hyperlink w:anchor="_Toc162269238" w:history="1">
        <w:r w:rsidR="00E11F3E" w:rsidRPr="005021E4">
          <w:rPr>
            <w:rStyle w:val="Hypertextovodkaz"/>
          </w:rPr>
          <w:t>3</w:t>
        </w:r>
        <w:r w:rsidR="00E11F3E">
          <w:rPr>
            <w:rFonts w:eastAsiaTheme="minorEastAsia"/>
            <w:b w:val="0"/>
            <w:lang w:eastAsia="cs-CZ"/>
          </w:rPr>
          <w:tab/>
        </w:r>
        <w:r w:rsidR="00E11F3E" w:rsidRPr="005021E4">
          <w:rPr>
            <w:rStyle w:val="Hypertextovodkaz"/>
          </w:rPr>
          <w:t>VÝDAJE KAPITOLY</w:t>
        </w:r>
        <w:r w:rsidR="00E11F3E">
          <w:rPr>
            <w:webHidden/>
          </w:rPr>
          <w:tab/>
        </w:r>
        <w:r w:rsidR="00E11F3E">
          <w:rPr>
            <w:webHidden/>
          </w:rPr>
          <w:fldChar w:fldCharType="begin"/>
        </w:r>
        <w:r w:rsidR="00E11F3E">
          <w:rPr>
            <w:webHidden/>
          </w:rPr>
          <w:instrText xml:space="preserve"> PAGEREF _Toc162269238 \h </w:instrText>
        </w:r>
        <w:r w:rsidR="00E11F3E">
          <w:rPr>
            <w:webHidden/>
          </w:rPr>
        </w:r>
        <w:r w:rsidR="00E11F3E">
          <w:rPr>
            <w:webHidden/>
          </w:rPr>
          <w:fldChar w:fldCharType="separate"/>
        </w:r>
        <w:r w:rsidR="00E11F3E">
          <w:rPr>
            <w:webHidden/>
          </w:rPr>
          <w:t>14</w:t>
        </w:r>
        <w:r w:rsidR="00E11F3E">
          <w:rPr>
            <w:webHidden/>
          </w:rPr>
          <w:fldChar w:fldCharType="end"/>
        </w:r>
      </w:hyperlink>
    </w:p>
    <w:p w14:paraId="4542A31C" w14:textId="33ECA9CC" w:rsidR="00E11F3E" w:rsidRDefault="00207CA3">
      <w:pPr>
        <w:pStyle w:val="Obsah2"/>
        <w:rPr>
          <w:rFonts w:eastAsiaTheme="minorEastAsia"/>
          <w:noProof/>
          <w:lang w:eastAsia="cs-CZ"/>
        </w:rPr>
      </w:pPr>
      <w:hyperlink w:anchor="_Toc162269239" w:history="1">
        <w:r w:rsidR="00E11F3E" w:rsidRPr="005021E4">
          <w:rPr>
            <w:rStyle w:val="Hypertextovodkaz"/>
            <w:noProof/>
          </w:rPr>
          <w:t>3.1.</w:t>
        </w:r>
        <w:r w:rsidR="00E11F3E">
          <w:rPr>
            <w:rFonts w:eastAsiaTheme="minorEastAsia"/>
            <w:noProof/>
            <w:lang w:eastAsia="cs-CZ"/>
          </w:rPr>
          <w:tab/>
        </w:r>
        <w:r w:rsidR="00E11F3E" w:rsidRPr="005021E4">
          <w:rPr>
            <w:rStyle w:val="Hypertextovodkaz"/>
            <w:noProof/>
          </w:rPr>
          <w:t>Plnění specifických ukazatelů</w:t>
        </w:r>
        <w:r w:rsidR="00E11F3E">
          <w:rPr>
            <w:noProof/>
            <w:webHidden/>
          </w:rPr>
          <w:tab/>
        </w:r>
        <w:r w:rsidR="00E11F3E">
          <w:rPr>
            <w:noProof/>
            <w:webHidden/>
          </w:rPr>
          <w:fldChar w:fldCharType="begin"/>
        </w:r>
        <w:r w:rsidR="00E11F3E">
          <w:rPr>
            <w:noProof/>
            <w:webHidden/>
          </w:rPr>
          <w:instrText xml:space="preserve"> PAGEREF _Toc162269239 \h </w:instrText>
        </w:r>
        <w:r w:rsidR="00E11F3E">
          <w:rPr>
            <w:noProof/>
            <w:webHidden/>
          </w:rPr>
        </w:r>
        <w:r w:rsidR="00E11F3E">
          <w:rPr>
            <w:noProof/>
            <w:webHidden/>
          </w:rPr>
          <w:fldChar w:fldCharType="separate"/>
        </w:r>
        <w:r w:rsidR="00E11F3E">
          <w:rPr>
            <w:noProof/>
            <w:webHidden/>
          </w:rPr>
          <w:t>21</w:t>
        </w:r>
        <w:r w:rsidR="00E11F3E">
          <w:rPr>
            <w:noProof/>
            <w:webHidden/>
          </w:rPr>
          <w:fldChar w:fldCharType="end"/>
        </w:r>
      </w:hyperlink>
    </w:p>
    <w:p w14:paraId="28784975" w14:textId="1F81B0D5" w:rsidR="00E11F3E" w:rsidRDefault="00207CA3">
      <w:pPr>
        <w:pStyle w:val="Obsah3"/>
        <w:rPr>
          <w:rFonts w:eastAsiaTheme="minorEastAsia"/>
          <w:noProof/>
          <w:lang w:eastAsia="cs-CZ"/>
        </w:rPr>
      </w:pPr>
      <w:hyperlink w:anchor="_Toc162269240" w:history="1">
        <w:r w:rsidR="00E11F3E" w:rsidRPr="005021E4">
          <w:rPr>
            <w:rStyle w:val="Hypertextovodkaz"/>
            <w:noProof/>
          </w:rPr>
          <w:t>3.1.1.</w:t>
        </w:r>
        <w:r w:rsidR="00E11F3E">
          <w:rPr>
            <w:rFonts w:eastAsiaTheme="minorEastAsia"/>
            <w:noProof/>
            <w:lang w:eastAsia="cs-CZ"/>
          </w:rPr>
          <w:tab/>
        </w:r>
        <w:r w:rsidR="00E11F3E" w:rsidRPr="005021E4">
          <w:rPr>
            <w:rStyle w:val="Hypertextovodkaz"/>
            <w:noProof/>
          </w:rPr>
          <w:t>Drážní a kombinovaná doprava</w:t>
        </w:r>
        <w:r w:rsidR="00E11F3E">
          <w:rPr>
            <w:noProof/>
            <w:webHidden/>
          </w:rPr>
          <w:tab/>
        </w:r>
        <w:r w:rsidR="00E11F3E">
          <w:rPr>
            <w:noProof/>
            <w:webHidden/>
          </w:rPr>
          <w:fldChar w:fldCharType="begin"/>
        </w:r>
        <w:r w:rsidR="00E11F3E">
          <w:rPr>
            <w:noProof/>
            <w:webHidden/>
          </w:rPr>
          <w:instrText xml:space="preserve"> PAGEREF _Toc162269240 \h </w:instrText>
        </w:r>
        <w:r w:rsidR="00E11F3E">
          <w:rPr>
            <w:noProof/>
            <w:webHidden/>
          </w:rPr>
        </w:r>
        <w:r w:rsidR="00E11F3E">
          <w:rPr>
            <w:noProof/>
            <w:webHidden/>
          </w:rPr>
          <w:fldChar w:fldCharType="separate"/>
        </w:r>
        <w:r w:rsidR="00E11F3E">
          <w:rPr>
            <w:noProof/>
            <w:webHidden/>
          </w:rPr>
          <w:t>22</w:t>
        </w:r>
        <w:r w:rsidR="00E11F3E">
          <w:rPr>
            <w:noProof/>
            <w:webHidden/>
          </w:rPr>
          <w:fldChar w:fldCharType="end"/>
        </w:r>
      </w:hyperlink>
    </w:p>
    <w:p w14:paraId="29A6D0A4" w14:textId="4582AFA8" w:rsidR="00E11F3E" w:rsidRDefault="00207CA3">
      <w:pPr>
        <w:pStyle w:val="Obsah3"/>
        <w:rPr>
          <w:rFonts w:eastAsiaTheme="minorEastAsia"/>
          <w:noProof/>
          <w:lang w:eastAsia="cs-CZ"/>
        </w:rPr>
      </w:pPr>
      <w:hyperlink w:anchor="_Toc162269241" w:history="1">
        <w:r w:rsidR="00E11F3E" w:rsidRPr="005021E4">
          <w:rPr>
            <w:rStyle w:val="Hypertextovodkaz"/>
            <w:noProof/>
          </w:rPr>
          <w:t>3.1.2.</w:t>
        </w:r>
        <w:r w:rsidR="00E11F3E">
          <w:rPr>
            <w:rFonts w:eastAsiaTheme="minorEastAsia"/>
            <w:noProof/>
            <w:lang w:eastAsia="cs-CZ"/>
          </w:rPr>
          <w:tab/>
        </w:r>
        <w:r w:rsidR="00E11F3E" w:rsidRPr="005021E4">
          <w:rPr>
            <w:rStyle w:val="Hypertextovodkaz"/>
            <w:noProof/>
          </w:rPr>
          <w:t>Pozemní komunikace</w:t>
        </w:r>
        <w:r w:rsidR="00E11F3E">
          <w:rPr>
            <w:noProof/>
            <w:webHidden/>
          </w:rPr>
          <w:tab/>
        </w:r>
        <w:r w:rsidR="00E11F3E">
          <w:rPr>
            <w:noProof/>
            <w:webHidden/>
          </w:rPr>
          <w:fldChar w:fldCharType="begin"/>
        </w:r>
        <w:r w:rsidR="00E11F3E">
          <w:rPr>
            <w:noProof/>
            <w:webHidden/>
          </w:rPr>
          <w:instrText xml:space="preserve"> PAGEREF _Toc162269241 \h </w:instrText>
        </w:r>
        <w:r w:rsidR="00E11F3E">
          <w:rPr>
            <w:noProof/>
            <w:webHidden/>
          </w:rPr>
        </w:r>
        <w:r w:rsidR="00E11F3E">
          <w:rPr>
            <w:noProof/>
            <w:webHidden/>
          </w:rPr>
          <w:fldChar w:fldCharType="separate"/>
        </w:r>
        <w:r w:rsidR="00E11F3E">
          <w:rPr>
            <w:noProof/>
            <w:webHidden/>
          </w:rPr>
          <w:t>23</w:t>
        </w:r>
        <w:r w:rsidR="00E11F3E">
          <w:rPr>
            <w:noProof/>
            <w:webHidden/>
          </w:rPr>
          <w:fldChar w:fldCharType="end"/>
        </w:r>
      </w:hyperlink>
    </w:p>
    <w:p w14:paraId="7F9EF3D3" w14:textId="59B0156C" w:rsidR="00E11F3E" w:rsidRDefault="00207CA3">
      <w:pPr>
        <w:pStyle w:val="Obsah3"/>
        <w:rPr>
          <w:rFonts w:eastAsiaTheme="minorEastAsia"/>
          <w:noProof/>
          <w:lang w:eastAsia="cs-CZ"/>
        </w:rPr>
      </w:pPr>
      <w:hyperlink w:anchor="_Toc162269242" w:history="1">
        <w:r w:rsidR="00E11F3E" w:rsidRPr="005021E4">
          <w:rPr>
            <w:rStyle w:val="Hypertextovodkaz"/>
            <w:noProof/>
          </w:rPr>
          <w:t>3.1.3.</w:t>
        </w:r>
        <w:r w:rsidR="00E11F3E">
          <w:rPr>
            <w:rFonts w:eastAsiaTheme="minorEastAsia"/>
            <w:noProof/>
            <w:lang w:eastAsia="cs-CZ"/>
          </w:rPr>
          <w:tab/>
        </w:r>
        <w:r w:rsidR="00E11F3E" w:rsidRPr="005021E4">
          <w:rPr>
            <w:rStyle w:val="Hypertextovodkaz"/>
            <w:noProof/>
          </w:rPr>
          <w:t>Dotace pro Státní fond dopravní infrastruktury</w:t>
        </w:r>
        <w:r w:rsidR="00E11F3E">
          <w:rPr>
            <w:noProof/>
            <w:webHidden/>
          </w:rPr>
          <w:tab/>
        </w:r>
        <w:r w:rsidR="00E11F3E">
          <w:rPr>
            <w:noProof/>
            <w:webHidden/>
          </w:rPr>
          <w:fldChar w:fldCharType="begin"/>
        </w:r>
        <w:r w:rsidR="00E11F3E">
          <w:rPr>
            <w:noProof/>
            <w:webHidden/>
          </w:rPr>
          <w:instrText xml:space="preserve"> PAGEREF _Toc162269242 \h </w:instrText>
        </w:r>
        <w:r w:rsidR="00E11F3E">
          <w:rPr>
            <w:noProof/>
            <w:webHidden/>
          </w:rPr>
        </w:r>
        <w:r w:rsidR="00E11F3E">
          <w:rPr>
            <w:noProof/>
            <w:webHidden/>
          </w:rPr>
          <w:fldChar w:fldCharType="separate"/>
        </w:r>
        <w:r w:rsidR="00E11F3E">
          <w:rPr>
            <w:noProof/>
            <w:webHidden/>
          </w:rPr>
          <w:t>23</w:t>
        </w:r>
        <w:r w:rsidR="00E11F3E">
          <w:rPr>
            <w:noProof/>
            <w:webHidden/>
          </w:rPr>
          <w:fldChar w:fldCharType="end"/>
        </w:r>
      </w:hyperlink>
    </w:p>
    <w:p w14:paraId="0FFCD41A" w14:textId="1DF2F617" w:rsidR="00E11F3E" w:rsidRDefault="00207CA3">
      <w:pPr>
        <w:pStyle w:val="Obsah3"/>
        <w:rPr>
          <w:rFonts w:eastAsiaTheme="minorEastAsia"/>
          <w:noProof/>
          <w:lang w:eastAsia="cs-CZ"/>
        </w:rPr>
      </w:pPr>
      <w:hyperlink w:anchor="_Toc162269243" w:history="1">
        <w:r w:rsidR="00E11F3E" w:rsidRPr="005021E4">
          <w:rPr>
            <w:rStyle w:val="Hypertextovodkaz"/>
            <w:noProof/>
          </w:rPr>
          <w:t>3.1.4.</w:t>
        </w:r>
        <w:r w:rsidR="00E11F3E">
          <w:rPr>
            <w:rFonts w:eastAsiaTheme="minorEastAsia"/>
            <w:noProof/>
            <w:lang w:eastAsia="cs-CZ"/>
          </w:rPr>
          <w:tab/>
        </w:r>
        <w:r w:rsidR="00E11F3E" w:rsidRPr="005021E4">
          <w:rPr>
            <w:rStyle w:val="Hypertextovodkaz"/>
            <w:noProof/>
          </w:rPr>
          <w:t>Ostatní výdaje spojené s dopravní politikou státu</w:t>
        </w:r>
        <w:r w:rsidR="00E11F3E">
          <w:rPr>
            <w:noProof/>
            <w:webHidden/>
          </w:rPr>
          <w:tab/>
        </w:r>
        <w:r w:rsidR="00E11F3E">
          <w:rPr>
            <w:noProof/>
            <w:webHidden/>
          </w:rPr>
          <w:fldChar w:fldCharType="begin"/>
        </w:r>
        <w:r w:rsidR="00E11F3E">
          <w:rPr>
            <w:noProof/>
            <w:webHidden/>
          </w:rPr>
          <w:instrText xml:space="preserve"> PAGEREF _Toc162269243 \h </w:instrText>
        </w:r>
        <w:r w:rsidR="00E11F3E">
          <w:rPr>
            <w:noProof/>
            <w:webHidden/>
          </w:rPr>
        </w:r>
        <w:r w:rsidR="00E11F3E">
          <w:rPr>
            <w:noProof/>
            <w:webHidden/>
          </w:rPr>
          <w:fldChar w:fldCharType="separate"/>
        </w:r>
        <w:r w:rsidR="00E11F3E">
          <w:rPr>
            <w:noProof/>
            <w:webHidden/>
          </w:rPr>
          <w:t>25</w:t>
        </w:r>
        <w:r w:rsidR="00E11F3E">
          <w:rPr>
            <w:noProof/>
            <w:webHidden/>
          </w:rPr>
          <w:fldChar w:fldCharType="end"/>
        </w:r>
      </w:hyperlink>
    </w:p>
    <w:p w14:paraId="71619307" w14:textId="2A232D6E" w:rsidR="00E11F3E" w:rsidRDefault="00207CA3">
      <w:pPr>
        <w:pStyle w:val="Obsah3"/>
        <w:rPr>
          <w:rFonts w:eastAsiaTheme="minorEastAsia"/>
          <w:noProof/>
          <w:lang w:eastAsia="cs-CZ"/>
        </w:rPr>
      </w:pPr>
      <w:hyperlink w:anchor="_Toc162269244" w:history="1">
        <w:r w:rsidR="00E11F3E" w:rsidRPr="005021E4">
          <w:rPr>
            <w:rStyle w:val="Hypertextovodkaz"/>
            <w:noProof/>
          </w:rPr>
          <w:t>3.1.5.</w:t>
        </w:r>
        <w:r w:rsidR="00E11F3E">
          <w:rPr>
            <w:rFonts w:eastAsiaTheme="minorEastAsia"/>
            <w:noProof/>
            <w:lang w:eastAsia="cs-CZ"/>
          </w:rPr>
          <w:tab/>
        </w:r>
        <w:r w:rsidR="00E11F3E" w:rsidRPr="005021E4">
          <w:rPr>
            <w:rStyle w:val="Hypertextovodkaz"/>
            <w:noProof/>
          </w:rPr>
          <w:t>Výdaje spojené s výkonem předsednictví ČR v Radě Evropské unie</w:t>
        </w:r>
        <w:r w:rsidR="00E11F3E">
          <w:rPr>
            <w:noProof/>
            <w:webHidden/>
          </w:rPr>
          <w:tab/>
        </w:r>
        <w:r w:rsidR="00E11F3E">
          <w:rPr>
            <w:noProof/>
            <w:webHidden/>
          </w:rPr>
          <w:fldChar w:fldCharType="begin"/>
        </w:r>
        <w:r w:rsidR="00E11F3E">
          <w:rPr>
            <w:noProof/>
            <w:webHidden/>
          </w:rPr>
          <w:instrText xml:space="preserve"> PAGEREF _Toc162269244 \h </w:instrText>
        </w:r>
        <w:r w:rsidR="00E11F3E">
          <w:rPr>
            <w:noProof/>
            <w:webHidden/>
          </w:rPr>
        </w:r>
        <w:r w:rsidR="00E11F3E">
          <w:rPr>
            <w:noProof/>
            <w:webHidden/>
          </w:rPr>
          <w:fldChar w:fldCharType="separate"/>
        </w:r>
        <w:r w:rsidR="00E11F3E">
          <w:rPr>
            <w:noProof/>
            <w:webHidden/>
          </w:rPr>
          <w:t>27</w:t>
        </w:r>
        <w:r w:rsidR="00E11F3E">
          <w:rPr>
            <w:noProof/>
            <w:webHidden/>
          </w:rPr>
          <w:fldChar w:fldCharType="end"/>
        </w:r>
      </w:hyperlink>
    </w:p>
    <w:p w14:paraId="47526C7A" w14:textId="1C1339CD" w:rsidR="00E11F3E" w:rsidRDefault="00207CA3">
      <w:pPr>
        <w:pStyle w:val="Obsah2"/>
        <w:rPr>
          <w:rFonts w:eastAsiaTheme="minorEastAsia"/>
          <w:noProof/>
          <w:lang w:eastAsia="cs-CZ"/>
        </w:rPr>
      </w:pPr>
      <w:hyperlink w:anchor="_Toc162269245" w:history="1">
        <w:r w:rsidR="00E11F3E" w:rsidRPr="005021E4">
          <w:rPr>
            <w:rStyle w:val="Hypertextovodkaz"/>
            <w:noProof/>
          </w:rPr>
          <w:t>3.2.</w:t>
        </w:r>
        <w:r w:rsidR="00E11F3E">
          <w:rPr>
            <w:rFonts w:eastAsiaTheme="minorEastAsia"/>
            <w:noProof/>
            <w:lang w:eastAsia="cs-CZ"/>
          </w:rPr>
          <w:tab/>
        </w:r>
        <w:r w:rsidR="00E11F3E" w:rsidRPr="005021E4">
          <w:rPr>
            <w:rStyle w:val="Hypertextovodkaz"/>
            <w:noProof/>
          </w:rPr>
          <w:t>Výdaje na platy a ostatní platby za provedenou práci (ostatní osobní náklady) a počty zaměstnanců u OSS, PO</w:t>
        </w:r>
        <w:r w:rsidR="00E11F3E">
          <w:rPr>
            <w:noProof/>
            <w:webHidden/>
          </w:rPr>
          <w:tab/>
        </w:r>
        <w:r w:rsidR="00E11F3E">
          <w:rPr>
            <w:noProof/>
            <w:webHidden/>
          </w:rPr>
          <w:fldChar w:fldCharType="begin"/>
        </w:r>
        <w:r w:rsidR="00E11F3E">
          <w:rPr>
            <w:noProof/>
            <w:webHidden/>
          </w:rPr>
          <w:instrText xml:space="preserve"> PAGEREF _Toc162269245 \h </w:instrText>
        </w:r>
        <w:r w:rsidR="00E11F3E">
          <w:rPr>
            <w:noProof/>
            <w:webHidden/>
          </w:rPr>
        </w:r>
        <w:r w:rsidR="00E11F3E">
          <w:rPr>
            <w:noProof/>
            <w:webHidden/>
          </w:rPr>
          <w:fldChar w:fldCharType="separate"/>
        </w:r>
        <w:r w:rsidR="00E11F3E">
          <w:rPr>
            <w:noProof/>
            <w:webHidden/>
          </w:rPr>
          <w:t>28</w:t>
        </w:r>
        <w:r w:rsidR="00E11F3E">
          <w:rPr>
            <w:noProof/>
            <w:webHidden/>
          </w:rPr>
          <w:fldChar w:fldCharType="end"/>
        </w:r>
      </w:hyperlink>
    </w:p>
    <w:p w14:paraId="401864C1" w14:textId="38882278" w:rsidR="00E11F3E" w:rsidRDefault="00207CA3">
      <w:pPr>
        <w:pStyle w:val="Obsah3"/>
        <w:rPr>
          <w:rFonts w:eastAsiaTheme="minorEastAsia"/>
          <w:noProof/>
          <w:lang w:eastAsia="cs-CZ"/>
        </w:rPr>
      </w:pPr>
      <w:hyperlink w:anchor="_Toc162269246" w:history="1">
        <w:r w:rsidR="00E11F3E" w:rsidRPr="005021E4">
          <w:rPr>
            <w:rStyle w:val="Hypertextovodkaz"/>
            <w:noProof/>
          </w:rPr>
          <w:t>3.2.1.</w:t>
        </w:r>
        <w:r w:rsidR="00E11F3E">
          <w:rPr>
            <w:rFonts w:eastAsiaTheme="minorEastAsia"/>
            <w:noProof/>
            <w:lang w:eastAsia="cs-CZ"/>
          </w:rPr>
          <w:tab/>
        </w:r>
        <w:r w:rsidR="00E11F3E" w:rsidRPr="005021E4">
          <w:rPr>
            <w:rStyle w:val="Hypertextovodkaz"/>
            <w:noProof/>
          </w:rPr>
          <w:t>Výdaje na platy a ostatní platby za provedenou práci a počty zaměstnanců  u organizačních složek státu</w:t>
        </w:r>
        <w:r w:rsidR="00E11F3E">
          <w:rPr>
            <w:noProof/>
            <w:webHidden/>
          </w:rPr>
          <w:tab/>
        </w:r>
        <w:r w:rsidR="00E11F3E">
          <w:rPr>
            <w:noProof/>
            <w:webHidden/>
          </w:rPr>
          <w:fldChar w:fldCharType="begin"/>
        </w:r>
        <w:r w:rsidR="00E11F3E">
          <w:rPr>
            <w:noProof/>
            <w:webHidden/>
          </w:rPr>
          <w:instrText xml:space="preserve"> PAGEREF _Toc162269246 \h </w:instrText>
        </w:r>
        <w:r w:rsidR="00E11F3E">
          <w:rPr>
            <w:noProof/>
            <w:webHidden/>
          </w:rPr>
        </w:r>
        <w:r w:rsidR="00E11F3E">
          <w:rPr>
            <w:noProof/>
            <w:webHidden/>
          </w:rPr>
          <w:fldChar w:fldCharType="separate"/>
        </w:r>
        <w:r w:rsidR="00E11F3E">
          <w:rPr>
            <w:noProof/>
            <w:webHidden/>
          </w:rPr>
          <w:t>29</w:t>
        </w:r>
        <w:r w:rsidR="00E11F3E">
          <w:rPr>
            <w:noProof/>
            <w:webHidden/>
          </w:rPr>
          <w:fldChar w:fldCharType="end"/>
        </w:r>
      </w:hyperlink>
    </w:p>
    <w:p w14:paraId="02DE1131" w14:textId="132594E8" w:rsidR="00E11F3E" w:rsidRDefault="00207CA3">
      <w:pPr>
        <w:pStyle w:val="Obsah3"/>
        <w:rPr>
          <w:rFonts w:eastAsiaTheme="minorEastAsia"/>
          <w:noProof/>
          <w:lang w:eastAsia="cs-CZ"/>
        </w:rPr>
      </w:pPr>
      <w:hyperlink w:anchor="_Toc162269247" w:history="1">
        <w:r w:rsidR="00E11F3E" w:rsidRPr="005021E4">
          <w:rPr>
            <w:rStyle w:val="Hypertextovodkaz"/>
            <w:noProof/>
          </w:rPr>
          <w:t>3.2.2.</w:t>
        </w:r>
        <w:r w:rsidR="00E11F3E">
          <w:rPr>
            <w:rFonts w:eastAsiaTheme="minorEastAsia"/>
            <w:noProof/>
            <w:lang w:eastAsia="cs-CZ"/>
          </w:rPr>
          <w:tab/>
        </w:r>
        <w:r w:rsidR="00E11F3E" w:rsidRPr="005021E4">
          <w:rPr>
            <w:rStyle w:val="Hypertextovodkaz"/>
            <w:noProof/>
          </w:rPr>
          <w:t>Výdaje na platy a ostatní osobní náklady, počty zaměstnanců u příspěvkových organizací</w:t>
        </w:r>
        <w:r w:rsidR="00E11F3E">
          <w:rPr>
            <w:noProof/>
            <w:webHidden/>
          </w:rPr>
          <w:tab/>
        </w:r>
        <w:r w:rsidR="00E11F3E">
          <w:rPr>
            <w:noProof/>
            <w:webHidden/>
          </w:rPr>
          <w:fldChar w:fldCharType="begin"/>
        </w:r>
        <w:r w:rsidR="00E11F3E">
          <w:rPr>
            <w:noProof/>
            <w:webHidden/>
          </w:rPr>
          <w:instrText xml:space="preserve"> PAGEREF _Toc162269247 \h </w:instrText>
        </w:r>
        <w:r w:rsidR="00E11F3E">
          <w:rPr>
            <w:noProof/>
            <w:webHidden/>
          </w:rPr>
        </w:r>
        <w:r w:rsidR="00E11F3E">
          <w:rPr>
            <w:noProof/>
            <w:webHidden/>
          </w:rPr>
          <w:fldChar w:fldCharType="separate"/>
        </w:r>
        <w:r w:rsidR="00E11F3E">
          <w:rPr>
            <w:noProof/>
            <w:webHidden/>
          </w:rPr>
          <w:t>33</w:t>
        </w:r>
        <w:r w:rsidR="00E11F3E">
          <w:rPr>
            <w:noProof/>
            <w:webHidden/>
          </w:rPr>
          <w:fldChar w:fldCharType="end"/>
        </w:r>
      </w:hyperlink>
    </w:p>
    <w:p w14:paraId="1C462672" w14:textId="4409FD34" w:rsidR="00E11F3E" w:rsidRDefault="00207CA3">
      <w:pPr>
        <w:pStyle w:val="Obsah3"/>
        <w:rPr>
          <w:rFonts w:eastAsiaTheme="minorEastAsia"/>
          <w:noProof/>
          <w:lang w:eastAsia="cs-CZ"/>
        </w:rPr>
      </w:pPr>
      <w:hyperlink w:anchor="_Toc162269248" w:history="1">
        <w:r w:rsidR="00E11F3E" w:rsidRPr="005021E4">
          <w:rPr>
            <w:rStyle w:val="Hypertextovodkaz"/>
            <w:noProof/>
          </w:rPr>
          <w:t>3.2.3.</w:t>
        </w:r>
        <w:r w:rsidR="00E11F3E">
          <w:rPr>
            <w:rFonts w:eastAsiaTheme="minorEastAsia"/>
            <w:noProof/>
            <w:lang w:eastAsia="cs-CZ"/>
          </w:rPr>
          <w:tab/>
        </w:r>
        <w:r w:rsidR="00E11F3E" w:rsidRPr="005021E4">
          <w:rPr>
            <w:rStyle w:val="Hypertextovodkaz"/>
            <w:noProof/>
          </w:rPr>
          <w:t>Průměrný plat</w:t>
        </w:r>
        <w:r w:rsidR="00E11F3E">
          <w:rPr>
            <w:noProof/>
            <w:webHidden/>
          </w:rPr>
          <w:tab/>
        </w:r>
        <w:r w:rsidR="00E11F3E">
          <w:rPr>
            <w:noProof/>
            <w:webHidden/>
          </w:rPr>
          <w:fldChar w:fldCharType="begin"/>
        </w:r>
        <w:r w:rsidR="00E11F3E">
          <w:rPr>
            <w:noProof/>
            <w:webHidden/>
          </w:rPr>
          <w:instrText xml:space="preserve"> PAGEREF _Toc162269248 \h </w:instrText>
        </w:r>
        <w:r w:rsidR="00E11F3E">
          <w:rPr>
            <w:noProof/>
            <w:webHidden/>
          </w:rPr>
        </w:r>
        <w:r w:rsidR="00E11F3E">
          <w:rPr>
            <w:noProof/>
            <w:webHidden/>
          </w:rPr>
          <w:fldChar w:fldCharType="separate"/>
        </w:r>
        <w:r w:rsidR="00E11F3E">
          <w:rPr>
            <w:noProof/>
            <w:webHidden/>
          </w:rPr>
          <w:t>34</w:t>
        </w:r>
        <w:r w:rsidR="00E11F3E">
          <w:rPr>
            <w:noProof/>
            <w:webHidden/>
          </w:rPr>
          <w:fldChar w:fldCharType="end"/>
        </w:r>
      </w:hyperlink>
    </w:p>
    <w:p w14:paraId="4A3DAC3F" w14:textId="02E72CEE" w:rsidR="00E11F3E" w:rsidRDefault="00207CA3">
      <w:pPr>
        <w:pStyle w:val="Obsah3"/>
        <w:rPr>
          <w:rFonts w:eastAsiaTheme="minorEastAsia"/>
          <w:noProof/>
          <w:lang w:eastAsia="cs-CZ"/>
        </w:rPr>
      </w:pPr>
      <w:hyperlink w:anchor="_Toc162269249" w:history="1">
        <w:r w:rsidR="00E11F3E" w:rsidRPr="005021E4">
          <w:rPr>
            <w:rStyle w:val="Hypertextovodkaz"/>
            <w:noProof/>
          </w:rPr>
          <w:t>3.2.4.</w:t>
        </w:r>
        <w:r w:rsidR="00E11F3E">
          <w:rPr>
            <w:rFonts w:eastAsiaTheme="minorEastAsia"/>
            <w:noProof/>
            <w:lang w:eastAsia="cs-CZ"/>
          </w:rPr>
          <w:tab/>
        </w:r>
        <w:r w:rsidR="00E11F3E" w:rsidRPr="005021E4">
          <w:rPr>
            <w:rStyle w:val="Hypertextovodkaz"/>
            <w:noProof/>
          </w:rPr>
          <w:t>Prostředky z rozpočtu EU a finančních mechanismů</w:t>
        </w:r>
        <w:r w:rsidR="00E11F3E">
          <w:rPr>
            <w:noProof/>
            <w:webHidden/>
          </w:rPr>
          <w:tab/>
        </w:r>
        <w:r w:rsidR="00E11F3E">
          <w:rPr>
            <w:noProof/>
            <w:webHidden/>
          </w:rPr>
          <w:fldChar w:fldCharType="begin"/>
        </w:r>
        <w:r w:rsidR="00E11F3E">
          <w:rPr>
            <w:noProof/>
            <w:webHidden/>
          </w:rPr>
          <w:instrText xml:space="preserve"> PAGEREF _Toc162269249 \h </w:instrText>
        </w:r>
        <w:r w:rsidR="00E11F3E">
          <w:rPr>
            <w:noProof/>
            <w:webHidden/>
          </w:rPr>
        </w:r>
        <w:r w:rsidR="00E11F3E">
          <w:rPr>
            <w:noProof/>
            <w:webHidden/>
          </w:rPr>
          <w:fldChar w:fldCharType="separate"/>
        </w:r>
        <w:r w:rsidR="00E11F3E">
          <w:rPr>
            <w:noProof/>
            <w:webHidden/>
          </w:rPr>
          <w:t>34</w:t>
        </w:r>
        <w:r w:rsidR="00E11F3E">
          <w:rPr>
            <w:noProof/>
            <w:webHidden/>
          </w:rPr>
          <w:fldChar w:fldCharType="end"/>
        </w:r>
      </w:hyperlink>
    </w:p>
    <w:p w14:paraId="3B05CCA5" w14:textId="5CA71471" w:rsidR="00E11F3E" w:rsidRDefault="00207CA3">
      <w:pPr>
        <w:pStyle w:val="Obsah2"/>
        <w:rPr>
          <w:rFonts w:eastAsiaTheme="minorEastAsia"/>
          <w:noProof/>
          <w:lang w:eastAsia="cs-CZ"/>
        </w:rPr>
      </w:pPr>
      <w:hyperlink w:anchor="_Toc162269250" w:history="1">
        <w:r w:rsidR="00E11F3E" w:rsidRPr="005021E4">
          <w:rPr>
            <w:rStyle w:val="Hypertextovodkaz"/>
            <w:noProof/>
          </w:rPr>
          <w:t>3.3.</w:t>
        </w:r>
        <w:r w:rsidR="00E11F3E">
          <w:rPr>
            <w:rFonts w:eastAsiaTheme="minorEastAsia"/>
            <w:noProof/>
            <w:lang w:eastAsia="cs-CZ"/>
          </w:rPr>
          <w:tab/>
        </w:r>
        <w:r w:rsidR="00E11F3E" w:rsidRPr="005021E4">
          <w:rPr>
            <w:rStyle w:val="Hypertextovodkaz"/>
            <w:noProof/>
          </w:rPr>
          <w:t>Čerpání finančních prostředků fondů Evropské unie</w:t>
        </w:r>
        <w:r w:rsidR="00E11F3E">
          <w:rPr>
            <w:noProof/>
            <w:webHidden/>
          </w:rPr>
          <w:tab/>
        </w:r>
        <w:r w:rsidR="00E11F3E">
          <w:rPr>
            <w:noProof/>
            <w:webHidden/>
          </w:rPr>
          <w:fldChar w:fldCharType="begin"/>
        </w:r>
        <w:r w:rsidR="00E11F3E">
          <w:rPr>
            <w:noProof/>
            <w:webHidden/>
          </w:rPr>
          <w:instrText xml:space="preserve"> PAGEREF _Toc162269250 \h </w:instrText>
        </w:r>
        <w:r w:rsidR="00E11F3E">
          <w:rPr>
            <w:noProof/>
            <w:webHidden/>
          </w:rPr>
        </w:r>
        <w:r w:rsidR="00E11F3E">
          <w:rPr>
            <w:noProof/>
            <w:webHidden/>
          </w:rPr>
          <w:fldChar w:fldCharType="separate"/>
        </w:r>
        <w:r w:rsidR="00E11F3E">
          <w:rPr>
            <w:noProof/>
            <w:webHidden/>
          </w:rPr>
          <w:t>37</w:t>
        </w:r>
        <w:r w:rsidR="00E11F3E">
          <w:rPr>
            <w:noProof/>
            <w:webHidden/>
          </w:rPr>
          <w:fldChar w:fldCharType="end"/>
        </w:r>
      </w:hyperlink>
    </w:p>
    <w:p w14:paraId="6888B506" w14:textId="5E6AC1B1" w:rsidR="00E11F3E" w:rsidRDefault="00207CA3">
      <w:pPr>
        <w:pStyle w:val="Obsah3"/>
        <w:rPr>
          <w:rFonts w:eastAsiaTheme="minorEastAsia"/>
          <w:noProof/>
          <w:lang w:eastAsia="cs-CZ"/>
        </w:rPr>
      </w:pPr>
      <w:hyperlink w:anchor="_Toc162269251" w:history="1">
        <w:r w:rsidR="00E11F3E" w:rsidRPr="005021E4">
          <w:rPr>
            <w:rStyle w:val="Hypertextovodkaz"/>
            <w:noProof/>
          </w:rPr>
          <w:t>3.3.1.</w:t>
        </w:r>
        <w:r w:rsidR="00E11F3E">
          <w:rPr>
            <w:rFonts w:eastAsiaTheme="minorEastAsia"/>
            <w:noProof/>
            <w:lang w:eastAsia="cs-CZ"/>
          </w:rPr>
          <w:tab/>
        </w:r>
        <w:r w:rsidR="00E11F3E" w:rsidRPr="005021E4">
          <w:rPr>
            <w:rStyle w:val="Hypertextovodkaz"/>
            <w:noProof/>
          </w:rPr>
          <w:t>Operační program Doprava – programové období 2014 – 2020</w:t>
        </w:r>
        <w:r w:rsidR="00E11F3E">
          <w:rPr>
            <w:noProof/>
            <w:webHidden/>
          </w:rPr>
          <w:tab/>
        </w:r>
        <w:r w:rsidR="00E11F3E">
          <w:rPr>
            <w:noProof/>
            <w:webHidden/>
          </w:rPr>
          <w:fldChar w:fldCharType="begin"/>
        </w:r>
        <w:r w:rsidR="00E11F3E">
          <w:rPr>
            <w:noProof/>
            <w:webHidden/>
          </w:rPr>
          <w:instrText xml:space="preserve"> PAGEREF _Toc162269251 \h </w:instrText>
        </w:r>
        <w:r w:rsidR="00E11F3E">
          <w:rPr>
            <w:noProof/>
            <w:webHidden/>
          </w:rPr>
        </w:r>
        <w:r w:rsidR="00E11F3E">
          <w:rPr>
            <w:noProof/>
            <w:webHidden/>
          </w:rPr>
          <w:fldChar w:fldCharType="separate"/>
        </w:r>
        <w:r w:rsidR="00E11F3E">
          <w:rPr>
            <w:noProof/>
            <w:webHidden/>
          </w:rPr>
          <w:t>37</w:t>
        </w:r>
        <w:r w:rsidR="00E11F3E">
          <w:rPr>
            <w:noProof/>
            <w:webHidden/>
          </w:rPr>
          <w:fldChar w:fldCharType="end"/>
        </w:r>
      </w:hyperlink>
    </w:p>
    <w:p w14:paraId="5F959446" w14:textId="00DB2B7E" w:rsidR="00E11F3E" w:rsidRDefault="00207CA3">
      <w:pPr>
        <w:pStyle w:val="Obsah3"/>
        <w:rPr>
          <w:rFonts w:eastAsiaTheme="minorEastAsia"/>
          <w:noProof/>
          <w:lang w:eastAsia="cs-CZ"/>
        </w:rPr>
      </w:pPr>
      <w:hyperlink w:anchor="_Toc162269252" w:history="1">
        <w:r w:rsidR="00E11F3E" w:rsidRPr="005021E4">
          <w:rPr>
            <w:rStyle w:val="Hypertextovodkaz"/>
            <w:noProof/>
          </w:rPr>
          <w:t>3.3.2.</w:t>
        </w:r>
        <w:r w:rsidR="00E11F3E">
          <w:rPr>
            <w:rFonts w:eastAsiaTheme="minorEastAsia"/>
            <w:noProof/>
            <w:lang w:eastAsia="cs-CZ"/>
          </w:rPr>
          <w:tab/>
        </w:r>
        <w:r w:rsidR="00E11F3E" w:rsidRPr="005021E4">
          <w:rPr>
            <w:rStyle w:val="Hypertextovodkaz"/>
            <w:noProof/>
          </w:rPr>
          <w:t>Operační program Zaměstnanost – programové období 2014 – 2020</w:t>
        </w:r>
        <w:r w:rsidR="00E11F3E">
          <w:rPr>
            <w:noProof/>
            <w:webHidden/>
          </w:rPr>
          <w:tab/>
        </w:r>
        <w:r w:rsidR="00E11F3E">
          <w:rPr>
            <w:noProof/>
            <w:webHidden/>
          </w:rPr>
          <w:fldChar w:fldCharType="begin"/>
        </w:r>
        <w:r w:rsidR="00E11F3E">
          <w:rPr>
            <w:noProof/>
            <w:webHidden/>
          </w:rPr>
          <w:instrText xml:space="preserve"> PAGEREF _Toc162269252 \h </w:instrText>
        </w:r>
        <w:r w:rsidR="00E11F3E">
          <w:rPr>
            <w:noProof/>
            <w:webHidden/>
          </w:rPr>
        </w:r>
        <w:r w:rsidR="00E11F3E">
          <w:rPr>
            <w:noProof/>
            <w:webHidden/>
          </w:rPr>
          <w:fldChar w:fldCharType="separate"/>
        </w:r>
        <w:r w:rsidR="00E11F3E">
          <w:rPr>
            <w:noProof/>
            <w:webHidden/>
          </w:rPr>
          <w:t>41</w:t>
        </w:r>
        <w:r w:rsidR="00E11F3E">
          <w:rPr>
            <w:noProof/>
            <w:webHidden/>
          </w:rPr>
          <w:fldChar w:fldCharType="end"/>
        </w:r>
      </w:hyperlink>
    </w:p>
    <w:p w14:paraId="08662D41" w14:textId="6BD51971" w:rsidR="00E11F3E" w:rsidRDefault="00207CA3">
      <w:pPr>
        <w:pStyle w:val="Obsah3"/>
        <w:rPr>
          <w:rFonts w:eastAsiaTheme="minorEastAsia"/>
          <w:noProof/>
          <w:lang w:eastAsia="cs-CZ"/>
        </w:rPr>
      </w:pPr>
      <w:hyperlink w:anchor="_Toc162269253" w:history="1">
        <w:r w:rsidR="00E11F3E" w:rsidRPr="005021E4">
          <w:rPr>
            <w:rStyle w:val="Hypertextovodkaz"/>
            <w:noProof/>
          </w:rPr>
          <w:t>3.3.3.</w:t>
        </w:r>
        <w:r w:rsidR="00E11F3E">
          <w:rPr>
            <w:rFonts w:eastAsiaTheme="minorEastAsia"/>
            <w:noProof/>
            <w:lang w:eastAsia="cs-CZ"/>
          </w:rPr>
          <w:tab/>
        </w:r>
        <w:r w:rsidR="00E11F3E" w:rsidRPr="005021E4">
          <w:rPr>
            <w:rStyle w:val="Hypertextovodkaz"/>
            <w:noProof/>
          </w:rPr>
          <w:t>Operační program Podnikání a inovace pro konkurenceschopnost 2014 – 2020</w:t>
        </w:r>
        <w:r w:rsidR="00E11F3E">
          <w:rPr>
            <w:noProof/>
            <w:webHidden/>
          </w:rPr>
          <w:tab/>
        </w:r>
        <w:r w:rsidR="00E11F3E">
          <w:rPr>
            <w:noProof/>
            <w:webHidden/>
          </w:rPr>
          <w:fldChar w:fldCharType="begin"/>
        </w:r>
        <w:r w:rsidR="00E11F3E">
          <w:rPr>
            <w:noProof/>
            <w:webHidden/>
          </w:rPr>
          <w:instrText xml:space="preserve"> PAGEREF _Toc162269253 \h </w:instrText>
        </w:r>
        <w:r w:rsidR="00E11F3E">
          <w:rPr>
            <w:noProof/>
            <w:webHidden/>
          </w:rPr>
        </w:r>
        <w:r w:rsidR="00E11F3E">
          <w:rPr>
            <w:noProof/>
            <w:webHidden/>
          </w:rPr>
          <w:fldChar w:fldCharType="separate"/>
        </w:r>
        <w:r w:rsidR="00E11F3E">
          <w:rPr>
            <w:noProof/>
            <w:webHidden/>
          </w:rPr>
          <w:t>42</w:t>
        </w:r>
        <w:r w:rsidR="00E11F3E">
          <w:rPr>
            <w:noProof/>
            <w:webHidden/>
          </w:rPr>
          <w:fldChar w:fldCharType="end"/>
        </w:r>
      </w:hyperlink>
    </w:p>
    <w:p w14:paraId="52E2D8B3" w14:textId="70B99F5F" w:rsidR="00E11F3E" w:rsidRDefault="00207CA3">
      <w:pPr>
        <w:pStyle w:val="Obsah3"/>
        <w:rPr>
          <w:rFonts w:eastAsiaTheme="minorEastAsia"/>
          <w:noProof/>
          <w:lang w:eastAsia="cs-CZ"/>
        </w:rPr>
      </w:pPr>
      <w:hyperlink w:anchor="_Toc162269254" w:history="1">
        <w:r w:rsidR="00E11F3E" w:rsidRPr="005021E4">
          <w:rPr>
            <w:rStyle w:val="Hypertextovodkaz"/>
            <w:noProof/>
          </w:rPr>
          <w:t>3.3.4.</w:t>
        </w:r>
        <w:r w:rsidR="00E11F3E">
          <w:rPr>
            <w:rFonts w:eastAsiaTheme="minorEastAsia"/>
            <w:noProof/>
            <w:lang w:eastAsia="cs-CZ"/>
          </w:rPr>
          <w:tab/>
        </w:r>
        <w:r w:rsidR="00E11F3E" w:rsidRPr="005021E4">
          <w:rPr>
            <w:rStyle w:val="Hypertextovodkaz"/>
            <w:noProof/>
          </w:rPr>
          <w:t>Komunitární programy – programové období 2014 – 2020</w:t>
        </w:r>
        <w:r w:rsidR="00E11F3E">
          <w:rPr>
            <w:noProof/>
            <w:webHidden/>
          </w:rPr>
          <w:tab/>
        </w:r>
        <w:r w:rsidR="00E11F3E">
          <w:rPr>
            <w:noProof/>
            <w:webHidden/>
          </w:rPr>
          <w:fldChar w:fldCharType="begin"/>
        </w:r>
        <w:r w:rsidR="00E11F3E">
          <w:rPr>
            <w:noProof/>
            <w:webHidden/>
          </w:rPr>
          <w:instrText xml:space="preserve"> PAGEREF _Toc162269254 \h </w:instrText>
        </w:r>
        <w:r w:rsidR="00E11F3E">
          <w:rPr>
            <w:noProof/>
            <w:webHidden/>
          </w:rPr>
        </w:r>
        <w:r w:rsidR="00E11F3E">
          <w:rPr>
            <w:noProof/>
            <w:webHidden/>
          </w:rPr>
          <w:fldChar w:fldCharType="separate"/>
        </w:r>
        <w:r w:rsidR="00E11F3E">
          <w:rPr>
            <w:noProof/>
            <w:webHidden/>
          </w:rPr>
          <w:t>42</w:t>
        </w:r>
        <w:r w:rsidR="00E11F3E">
          <w:rPr>
            <w:noProof/>
            <w:webHidden/>
          </w:rPr>
          <w:fldChar w:fldCharType="end"/>
        </w:r>
      </w:hyperlink>
    </w:p>
    <w:p w14:paraId="63A02CCF" w14:textId="1E54BA09" w:rsidR="00E11F3E" w:rsidRDefault="00207CA3">
      <w:pPr>
        <w:pStyle w:val="Obsah3"/>
        <w:rPr>
          <w:rFonts w:eastAsiaTheme="minorEastAsia"/>
          <w:noProof/>
          <w:lang w:eastAsia="cs-CZ"/>
        </w:rPr>
      </w:pPr>
      <w:hyperlink w:anchor="_Toc162269255" w:history="1">
        <w:r w:rsidR="00E11F3E" w:rsidRPr="005021E4">
          <w:rPr>
            <w:rStyle w:val="Hypertextovodkaz"/>
            <w:noProof/>
          </w:rPr>
          <w:t>3.3.5.</w:t>
        </w:r>
        <w:r w:rsidR="00E11F3E">
          <w:rPr>
            <w:rFonts w:eastAsiaTheme="minorEastAsia"/>
            <w:noProof/>
            <w:lang w:eastAsia="cs-CZ"/>
          </w:rPr>
          <w:tab/>
        </w:r>
        <w:r w:rsidR="00E11F3E" w:rsidRPr="005021E4">
          <w:rPr>
            <w:rStyle w:val="Hypertextovodkaz"/>
            <w:noProof/>
          </w:rPr>
          <w:t>Operační program Doprava – programové období 2021 – 2027</w:t>
        </w:r>
        <w:r w:rsidR="00E11F3E">
          <w:rPr>
            <w:noProof/>
            <w:webHidden/>
          </w:rPr>
          <w:tab/>
        </w:r>
        <w:r w:rsidR="00E11F3E">
          <w:rPr>
            <w:noProof/>
            <w:webHidden/>
          </w:rPr>
          <w:fldChar w:fldCharType="begin"/>
        </w:r>
        <w:r w:rsidR="00E11F3E">
          <w:rPr>
            <w:noProof/>
            <w:webHidden/>
          </w:rPr>
          <w:instrText xml:space="preserve"> PAGEREF _Toc162269255 \h </w:instrText>
        </w:r>
        <w:r w:rsidR="00E11F3E">
          <w:rPr>
            <w:noProof/>
            <w:webHidden/>
          </w:rPr>
        </w:r>
        <w:r w:rsidR="00E11F3E">
          <w:rPr>
            <w:noProof/>
            <w:webHidden/>
          </w:rPr>
          <w:fldChar w:fldCharType="separate"/>
        </w:r>
        <w:r w:rsidR="00E11F3E">
          <w:rPr>
            <w:noProof/>
            <w:webHidden/>
          </w:rPr>
          <w:t>47</w:t>
        </w:r>
        <w:r w:rsidR="00E11F3E">
          <w:rPr>
            <w:noProof/>
            <w:webHidden/>
          </w:rPr>
          <w:fldChar w:fldCharType="end"/>
        </w:r>
      </w:hyperlink>
    </w:p>
    <w:p w14:paraId="12E3DC9D" w14:textId="11BAB5EA" w:rsidR="00E11F3E" w:rsidRDefault="00207CA3">
      <w:pPr>
        <w:pStyle w:val="Obsah3"/>
        <w:rPr>
          <w:rFonts w:eastAsiaTheme="minorEastAsia"/>
          <w:noProof/>
          <w:lang w:eastAsia="cs-CZ"/>
        </w:rPr>
      </w:pPr>
      <w:hyperlink w:anchor="_Toc162269256" w:history="1">
        <w:r w:rsidR="00E11F3E" w:rsidRPr="005021E4">
          <w:rPr>
            <w:rStyle w:val="Hypertextovodkaz"/>
            <w:noProof/>
          </w:rPr>
          <w:t>3.3.6.</w:t>
        </w:r>
        <w:r w:rsidR="00E11F3E">
          <w:rPr>
            <w:rFonts w:eastAsiaTheme="minorEastAsia"/>
            <w:noProof/>
            <w:lang w:eastAsia="cs-CZ"/>
          </w:rPr>
          <w:tab/>
        </w:r>
        <w:r w:rsidR="00E11F3E" w:rsidRPr="005021E4">
          <w:rPr>
            <w:rStyle w:val="Hypertextovodkaz"/>
            <w:noProof/>
          </w:rPr>
          <w:t>Komunitární programy – programové období 2021–2027</w:t>
        </w:r>
        <w:r w:rsidR="00E11F3E">
          <w:rPr>
            <w:noProof/>
            <w:webHidden/>
          </w:rPr>
          <w:tab/>
        </w:r>
        <w:r w:rsidR="00E11F3E">
          <w:rPr>
            <w:noProof/>
            <w:webHidden/>
          </w:rPr>
          <w:fldChar w:fldCharType="begin"/>
        </w:r>
        <w:r w:rsidR="00E11F3E">
          <w:rPr>
            <w:noProof/>
            <w:webHidden/>
          </w:rPr>
          <w:instrText xml:space="preserve"> PAGEREF _Toc162269256 \h </w:instrText>
        </w:r>
        <w:r w:rsidR="00E11F3E">
          <w:rPr>
            <w:noProof/>
            <w:webHidden/>
          </w:rPr>
        </w:r>
        <w:r w:rsidR="00E11F3E">
          <w:rPr>
            <w:noProof/>
            <w:webHidden/>
          </w:rPr>
          <w:fldChar w:fldCharType="separate"/>
        </w:r>
        <w:r w:rsidR="00E11F3E">
          <w:rPr>
            <w:noProof/>
            <w:webHidden/>
          </w:rPr>
          <w:t>51</w:t>
        </w:r>
        <w:r w:rsidR="00E11F3E">
          <w:rPr>
            <w:noProof/>
            <w:webHidden/>
          </w:rPr>
          <w:fldChar w:fldCharType="end"/>
        </w:r>
      </w:hyperlink>
    </w:p>
    <w:p w14:paraId="4A933D97" w14:textId="00F7F05C" w:rsidR="00E11F3E" w:rsidRDefault="00207CA3">
      <w:pPr>
        <w:pStyle w:val="Obsah3"/>
        <w:rPr>
          <w:rFonts w:eastAsiaTheme="minorEastAsia"/>
          <w:noProof/>
          <w:lang w:eastAsia="cs-CZ"/>
        </w:rPr>
      </w:pPr>
      <w:hyperlink w:anchor="_Toc162269257" w:history="1">
        <w:r w:rsidR="00E11F3E" w:rsidRPr="005021E4">
          <w:rPr>
            <w:rStyle w:val="Hypertextovodkaz"/>
            <w:noProof/>
          </w:rPr>
          <w:t>3.3.7.</w:t>
        </w:r>
        <w:r w:rsidR="00E11F3E">
          <w:rPr>
            <w:rFonts w:eastAsiaTheme="minorEastAsia"/>
            <w:noProof/>
            <w:lang w:eastAsia="cs-CZ"/>
          </w:rPr>
          <w:tab/>
        </w:r>
        <w:r w:rsidR="00E11F3E" w:rsidRPr="005021E4">
          <w:rPr>
            <w:rStyle w:val="Hypertextovodkaz"/>
            <w:noProof/>
          </w:rPr>
          <w:t>Nástroj pro oživení a odolnost (Recovery and Resilience Facility – RRF)</w:t>
        </w:r>
        <w:r w:rsidR="00E11F3E">
          <w:rPr>
            <w:noProof/>
            <w:webHidden/>
          </w:rPr>
          <w:tab/>
        </w:r>
        <w:r w:rsidR="00E11F3E">
          <w:rPr>
            <w:noProof/>
            <w:webHidden/>
          </w:rPr>
          <w:fldChar w:fldCharType="begin"/>
        </w:r>
        <w:r w:rsidR="00E11F3E">
          <w:rPr>
            <w:noProof/>
            <w:webHidden/>
          </w:rPr>
          <w:instrText xml:space="preserve"> PAGEREF _Toc162269257 \h </w:instrText>
        </w:r>
        <w:r w:rsidR="00E11F3E">
          <w:rPr>
            <w:noProof/>
            <w:webHidden/>
          </w:rPr>
        </w:r>
        <w:r w:rsidR="00E11F3E">
          <w:rPr>
            <w:noProof/>
            <w:webHidden/>
          </w:rPr>
          <w:fldChar w:fldCharType="separate"/>
        </w:r>
        <w:r w:rsidR="00E11F3E">
          <w:rPr>
            <w:noProof/>
            <w:webHidden/>
          </w:rPr>
          <w:t>55</w:t>
        </w:r>
        <w:r w:rsidR="00E11F3E">
          <w:rPr>
            <w:noProof/>
            <w:webHidden/>
          </w:rPr>
          <w:fldChar w:fldCharType="end"/>
        </w:r>
      </w:hyperlink>
    </w:p>
    <w:p w14:paraId="0DAE996F" w14:textId="0D541923" w:rsidR="00E11F3E" w:rsidRDefault="00207CA3">
      <w:pPr>
        <w:pStyle w:val="Obsah2"/>
        <w:rPr>
          <w:rFonts w:eastAsiaTheme="minorEastAsia"/>
          <w:noProof/>
          <w:lang w:eastAsia="cs-CZ"/>
        </w:rPr>
      </w:pPr>
      <w:hyperlink w:anchor="_Toc162269258" w:history="1">
        <w:r w:rsidR="00E11F3E" w:rsidRPr="005021E4">
          <w:rPr>
            <w:rStyle w:val="Hypertextovodkaz"/>
            <w:noProof/>
          </w:rPr>
          <w:t>3.4.</w:t>
        </w:r>
        <w:r w:rsidR="00E11F3E">
          <w:rPr>
            <w:rFonts w:eastAsiaTheme="minorEastAsia"/>
            <w:noProof/>
            <w:lang w:eastAsia="cs-CZ"/>
          </w:rPr>
          <w:tab/>
        </w:r>
        <w:r w:rsidR="00E11F3E" w:rsidRPr="005021E4">
          <w:rPr>
            <w:rStyle w:val="Hypertextovodkaz"/>
            <w:noProof/>
          </w:rPr>
          <w:t>Výdaje na výzkum, vývoj a inovace</w:t>
        </w:r>
        <w:r w:rsidR="00E11F3E">
          <w:rPr>
            <w:noProof/>
            <w:webHidden/>
          </w:rPr>
          <w:tab/>
        </w:r>
        <w:r w:rsidR="00E11F3E">
          <w:rPr>
            <w:noProof/>
            <w:webHidden/>
          </w:rPr>
          <w:fldChar w:fldCharType="begin"/>
        </w:r>
        <w:r w:rsidR="00E11F3E">
          <w:rPr>
            <w:noProof/>
            <w:webHidden/>
          </w:rPr>
          <w:instrText xml:space="preserve"> PAGEREF _Toc162269258 \h </w:instrText>
        </w:r>
        <w:r w:rsidR="00E11F3E">
          <w:rPr>
            <w:noProof/>
            <w:webHidden/>
          </w:rPr>
        </w:r>
        <w:r w:rsidR="00E11F3E">
          <w:rPr>
            <w:noProof/>
            <w:webHidden/>
          </w:rPr>
          <w:fldChar w:fldCharType="separate"/>
        </w:r>
        <w:r w:rsidR="00E11F3E">
          <w:rPr>
            <w:noProof/>
            <w:webHidden/>
          </w:rPr>
          <w:t>58</w:t>
        </w:r>
        <w:r w:rsidR="00E11F3E">
          <w:rPr>
            <w:noProof/>
            <w:webHidden/>
          </w:rPr>
          <w:fldChar w:fldCharType="end"/>
        </w:r>
      </w:hyperlink>
    </w:p>
    <w:p w14:paraId="7E40E70D" w14:textId="643A3AA5" w:rsidR="00E11F3E" w:rsidRDefault="00207CA3">
      <w:pPr>
        <w:pStyle w:val="Obsah2"/>
        <w:rPr>
          <w:rFonts w:eastAsiaTheme="minorEastAsia"/>
          <w:noProof/>
          <w:lang w:eastAsia="cs-CZ"/>
        </w:rPr>
      </w:pPr>
      <w:hyperlink w:anchor="_Toc162269259" w:history="1">
        <w:r w:rsidR="00E11F3E" w:rsidRPr="005021E4">
          <w:rPr>
            <w:rStyle w:val="Hypertextovodkaz"/>
            <w:noProof/>
          </w:rPr>
          <w:t>3.5.</w:t>
        </w:r>
        <w:r w:rsidR="00E11F3E">
          <w:rPr>
            <w:rFonts w:eastAsiaTheme="minorEastAsia"/>
            <w:noProof/>
            <w:lang w:eastAsia="cs-CZ"/>
          </w:rPr>
          <w:tab/>
        </w:r>
        <w:r w:rsidR="00E11F3E" w:rsidRPr="005021E4">
          <w:rPr>
            <w:rStyle w:val="Hypertextovodkaz"/>
            <w:noProof/>
          </w:rPr>
          <w:t>Výdaje kapitoly RISPF (EDS/SMVS a ZED)</w:t>
        </w:r>
        <w:r w:rsidR="00E11F3E">
          <w:rPr>
            <w:noProof/>
            <w:webHidden/>
          </w:rPr>
          <w:tab/>
        </w:r>
        <w:r w:rsidR="00E11F3E">
          <w:rPr>
            <w:noProof/>
            <w:webHidden/>
          </w:rPr>
          <w:fldChar w:fldCharType="begin"/>
        </w:r>
        <w:r w:rsidR="00E11F3E">
          <w:rPr>
            <w:noProof/>
            <w:webHidden/>
          </w:rPr>
          <w:instrText xml:space="preserve"> PAGEREF _Toc162269259 \h </w:instrText>
        </w:r>
        <w:r w:rsidR="00E11F3E">
          <w:rPr>
            <w:noProof/>
            <w:webHidden/>
          </w:rPr>
        </w:r>
        <w:r w:rsidR="00E11F3E">
          <w:rPr>
            <w:noProof/>
            <w:webHidden/>
          </w:rPr>
          <w:fldChar w:fldCharType="separate"/>
        </w:r>
        <w:r w:rsidR="00E11F3E">
          <w:rPr>
            <w:noProof/>
            <w:webHidden/>
          </w:rPr>
          <w:t>60</w:t>
        </w:r>
        <w:r w:rsidR="00E11F3E">
          <w:rPr>
            <w:noProof/>
            <w:webHidden/>
          </w:rPr>
          <w:fldChar w:fldCharType="end"/>
        </w:r>
      </w:hyperlink>
    </w:p>
    <w:p w14:paraId="1AECD29D" w14:textId="40637DB0" w:rsidR="00E11F3E" w:rsidRDefault="00207CA3">
      <w:pPr>
        <w:pStyle w:val="Obsah3"/>
        <w:rPr>
          <w:rFonts w:eastAsiaTheme="minorEastAsia"/>
          <w:noProof/>
          <w:lang w:eastAsia="cs-CZ"/>
        </w:rPr>
      </w:pPr>
      <w:hyperlink w:anchor="_Toc162269260" w:history="1">
        <w:r w:rsidR="00E11F3E" w:rsidRPr="005021E4">
          <w:rPr>
            <w:rStyle w:val="Hypertextovodkaz"/>
            <w:noProof/>
          </w:rPr>
          <w:t>3.5.1.</w:t>
        </w:r>
        <w:r w:rsidR="00E11F3E">
          <w:rPr>
            <w:rFonts w:eastAsiaTheme="minorEastAsia"/>
            <w:noProof/>
            <w:lang w:eastAsia="cs-CZ"/>
          </w:rPr>
          <w:tab/>
        </w:r>
        <w:r w:rsidR="00E11F3E" w:rsidRPr="005021E4">
          <w:rPr>
            <w:rStyle w:val="Hypertextovodkaz"/>
            <w:noProof/>
          </w:rPr>
          <w:t>Modul EDS a SMVS</w:t>
        </w:r>
        <w:r w:rsidR="00E11F3E">
          <w:rPr>
            <w:noProof/>
            <w:webHidden/>
          </w:rPr>
          <w:tab/>
        </w:r>
        <w:r w:rsidR="00E11F3E">
          <w:rPr>
            <w:noProof/>
            <w:webHidden/>
          </w:rPr>
          <w:fldChar w:fldCharType="begin"/>
        </w:r>
        <w:r w:rsidR="00E11F3E">
          <w:rPr>
            <w:noProof/>
            <w:webHidden/>
          </w:rPr>
          <w:instrText xml:space="preserve"> PAGEREF _Toc162269260 \h </w:instrText>
        </w:r>
        <w:r w:rsidR="00E11F3E">
          <w:rPr>
            <w:noProof/>
            <w:webHidden/>
          </w:rPr>
        </w:r>
        <w:r w:rsidR="00E11F3E">
          <w:rPr>
            <w:noProof/>
            <w:webHidden/>
          </w:rPr>
          <w:fldChar w:fldCharType="separate"/>
        </w:r>
        <w:r w:rsidR="00E11F3E">
          <w:rPr>
            <w:noProof/>
            <w:webHidden/>
          </w:rPr>
          <w:t>62</w:t>
        </w:r>
        <w:r w:rsidR="00E11F3E">
          <w:rPr>
            <w:noProof/>
            <w:webHidden/>
          </w:rPr>
          <w:fldChar w:fldCharType="end"/>
        </w:r>
      </w:hyperlink>
    </w:p>
    <w:p w14:paraId="0A58924D" w14:textId="76A1D323" w:rsidR="00E11F3E" w:rsidRDefault="00207CA3">
      <w:pPr>
        <w:pStyle w:val="Obsah3"/>
        <w:rPr>
          <w:rFonts w:eastAsiaTheme="minorEastAsia"/>
          <w:noProof/>
          <w:lang w:eastAsia="cs-CZ"/>
        </w:rPr>
      </w:pPr>
      <w:hyperlink w:anchor="_Toc162269261" w:history="1">
        <w:r w:rsidR="00E11F3E" w:rsidRPr="005021E4">
          <w:rPr>
            <w:rStyle w:val="Hypertextovodkaz"/>
            <w:noProof/>
          </w:rPr>
          <w:t>3.5.2.</w:t>
        </w:r>
        <w:r w:rsidR="00E11F3E">
          <w:rPr>
            <w:rFonts w:eastAsiaTheme="minorEastAsia"/>
            <w:noProof/>
            <w:lang w:eastAsia="cs-CZ"/>
          </w:rPr>
          <w:tab/>
        </w:r>
        <w:r w:rsidR="00E11F3E" w:rsidRPr="005021E4">
          <w:rPr>
            <w:rStyle w:val="Hypertextovodkaz"/>
            <w:noProof/>
          </w:rPr>
          <w:t>Modul RIS ZED</w:t>
        </w:r>
        <w:r w:rsidR="00E11F3E">
          <w:rPr>
            <w:noProof/>
            <w:webHidden/>
          </w:rPr>
          <w:tab/>
        </w:r>
        <w:r w:rsidR="00E11F3E">
          <w:rPr>
            <w:noProof/>
            <w:webHidden/>
          </w:rPr>
          <w:fldChar w:fldCharType="begin"/>
        </w:r>
        <w:r w:rsidR="00E11F3E">
          <w:rPr>
            <w:noProof/>
            <w:webHidden/>
          </w:rPr>
          <w:instrText xml:space="preserve"> PAGEREF _Toc162269261 \h </w:instrText>
        </w:r>
        <w:r w:rsidR="00E11F3E">
          <w:rPr>
            <w:noProof/>
            <w:webHidden/>
          </w:rPr>
        </w:r>
        <w:r w:rsidR="00E11F3E">
          <w:rPr>
            <w:noProof/>
            <w:webHidden/>
          </w:rPr>
          <w:fldChar w:fldCharType="separate"/>
        </w:r>
        <w:r w:rsidR="00E11F3E">
          <w:rPr>
            <w:noProof/>
            <w:webHidden/>
          </w:rPr>
          <w:t>79</w:t>
        </w:r>
        <w:r w:rsidR="00E11F3E">
          <w:rPr>
            <w:noProof/>
            <w:webHidden/>
          </w:rPr>
          <w:fldChar w:fldCharType="end"/>
        </w:r>
      </w:hyperlink>
    </w:p>
    <w:p w14:paraId="02F14F78" w14:textId="14741F47" w:rsidR="00E11F3E" w:rsidRDefault="00207CA3">
      <w:pPr>
        <w:pStyle w:val="Obsah2"/>
        <w:rPr>
          <w:rFonts w:eastAsiaTheme="minorEastAsia"/>
          <w:noProof/>
          <w:lang w:eastAsia="cs-CZ"/>
        </w:rPr>
      </w:pPr>
      <w:hyperlink w:anchor="_Toc162269262" w:history="1">
        <w:r w:rsidR="00E11F3E" w:rsidRPr="005021E4">
          <w:rPr>
            <w:rStyle w:val="Hypertextovodkaz"/>
            <w:noProof/>
          </w:rPr>
          <w:t>3.6.</w:t>
        </w:r>
        <w:r w:rsidR="00E11F3E">
          <w:rPr>
            <w:rFonts w:eastAsiaTheme="minorEastAsia"/>
            <w:noProof/>
            <w:lang w:eastAsia="cs-CZ"/>
          </w:rPr>
          <w:tab/>
        </w:r>
        <w:r w:rsidR="00E11F3E" w:rsidRPr="005021E4">
          <w:rPr>
            <w:rStyle w:val="Hypertextovodkaz"/>
            <w:noProof/>
          </w:rPr>
          <w:t>Výdaje OSS</w:t>
        </w:r>
        <w:r w:rsidR="00E11F3E">
          <w:rPr>
            <w:noProof/>
            <w:webHidden/>
          </w:rPr>
          <w:tab/>
        </w:r>
        <w:r w:rsidR="00E11F3E">
          <w:rPr>
            <w:noProof/>
            <w:webHidden/>
          </w:rPr>
          <w:fldChar w:fldCharType="begin"/>
        </w:r>
        <w:r w:rsidR="00E11F3E">
          <w:rPr>
            <w:noProof/>
            <w:webHidden/>
          </w:rPr>
          <w:instrText xml:space="preserve"> PAGEREF _Toc162269262 \h </w:instrText>
        </w:r>
        <w:r w:rsidR="00E11F3E">
          <w:rPr>
            <w:noProof/>
            <w:webHidden/>
          </w:rPr>
        </w:r>
        <w:r w:rsidR="00E11F3E">
          <w:rPr>
            <w:noProof/>
            <w:webHidden/>
          </w:rPr>
          <w:fldChar w:fldCharType="separate"/>
        </w:r>
        <w:r w:rsidR="00E11F3E">
          <w:rPr>
            <w:noProof/>
            <w:webHidden/>
          </w:rPr>
          <w:t>83</w:t>
        </w:r>
        <w:r w:rsidR="00E11F3E">
          <w:rPr>
            <w:noProof/>
            <w:webHidden/>
          </w:rPr>
          <w:fldChar w:fldCharType="end"/>
        </w:r>
      </w:hyperlink>
    </w:p>
    <w:p w14:paraId="7E826A9C" w14:textId="0EBB627F" w:rsidR="00E11F3E" w:rsidRDefault="00207CA3">
      <w:pPr>
        <w:pStyle w:val="Obsah3"/>
        <w:rPr>
          <w:rFonts w:eastAsiaTheme="minorEastAsia"/>
          <w:noProof/>
          <w:lang w:eastAsia="cs-CZ"/>
        </w:rPr>
      </w:pPr>
      <w:hyperlink w:anchor="_Toc162269263" w:history="1">
        <w:r w:rsidR="00E11F3E" w:rsidRPr="005021E4">
          <w:rPr>
            <w:rStyle w:val="Hypertextovodkaz"/>
            <w:noProof/>
          </w:rPr>
          <w:t>3.6.1.</w:t>
        </w:r>
        <w:r w:rsidR="00E11F3E">
          <w:rPr>
            <w:rFonts w:eastAsiaTheme="minorEastAsia"/>
            <w:noProof/>
            <w:lang w:eastAsia="cs-CZ"/>
          </w:rPr>
          <w:tab/>
        </w:r>
        <w:r w:rsidR="00E11F3E" w:rsidRPr="005021E4">
          <w:rPr>
            <w:rStyle w:val="Hypertextovodkaz"/>
            <w:noProof/>
          </w:rPr>
          <w:t>ÚO Ministerstvo dopravy</w:t>
        </w:r>
        <w:r w:rsidR="00E11F3E">
          <w:rPr>
            <w:noProof/>
            <w:webHidden/>
          </w:rPr>
          <w:tab/>
        </w:r>
        <w:r w:rsidR="00E11F3E">
          <w:rPr>
            <w:noProof/>
            <w:webHidden/>
          </w:rPr>
          <w:fldChar w:fldCharType="begin"/>
        </w:r>
        <w:r w:rsidR="00E11F3E">
          <w:rPr>
            <w:noProof/>
            <w:webHidden/>
          </w:rPr>
          <w:instrText xml:space="preserve"> PAGEREF _Toc162269263 \h </w:instrText>
        </w:r>
        <w:r w:rsidR="00E11F3E">
          <w:rPr>
            <w:noProof/>
            <w:webHidden/>
          </w:rPr>
        </w:r>
        <w:r w:rsidR="00E11F3E">
          <w:rPr>
            <w:noProof/>
            <w:webHidden/>
          </w:rPr>
          <w:fldChar w:fldCharType="separate"/>
        </w:r>
        <w:r w:rsidR="00E11F3E">
          <w:rPr>
            <w:noProof/>
            <w:webHidden/>
          </w:rPr>
          <w:t>83</w:t>
        </w:r>
        <w:r w:rsidR="00E11F3E">
          <w:rPr>
            <w:noProof/>
            <w:webHidden/>
          </w:rPr>
          <w:fldChar w:fldCharType="end"/>
        </w:r>
      </w:hyperlink>
    </w:p>
    <w:p w14:paraId="6C40CF78" w14:textId="35E61A13" w:rsidR="00E11F3E" w:rsidRDefault="00207CA3">
      <w:pPr>
        <w:pStyle w:val="Obsah3"/>
        <w:rPr>
          <w:rFonts w:eastAsiaTheme="minorEastAsia"/>
          <w:noProof/>
          <w:lang w:eastAsia="cs-CZ"/>
        </w:rPr>
      </w:pPr>
      <w:hyperlink w:anchor="_Toc162269264" w:history="1">
        <w:r w:rsidR="00E11F3E" w:rsidRPr="005021E4">
          <w:rPr>
            <w:rStyle w:val="Hypertextovodkaz"/>
            <w:noProof/>
          </w:rPr>
          <w:t>3.6.2.</w:t>
        </w:r>
        <w:r w:rsidR="00E11F3E">
          <w:rPr>
            <w:rFonts w:eastAsiaTheme="minorEastAsia"/>
            <w:noProof/>
            <w:lang w:eastAsia="cs-CZ"/>
          </w:rPr>
          <w:tab/>
        </w:r>
        <w:r w:rsidR="00E11F3E" w:rsidRPr="005021E4">
          <w:rPr>
            <w:rStyle w:val="Hypertextovodkaz"/>
            <w:noProof/>
          </w:rPr>
          <w:t>Úřad pro civilní letectví</w:t>
        </w:r>
        <w:r w:rsidR="00E11F3E">
          <w:rPr>
            <w:noProof/>
            <w:webHidden/>
          </w:rPr>
          <w:tab/>
        </w:r>
        <w:r w:rsidR="00E11F3E">
          <w:rPr>
            <w:noProof/>
            <w:webHidden/>
          </w:rPr>
          <w:fldChar w:fldCharType="begin"/>
        </w:r>
        <w:r w:rsidR="00E11F3E">
          <w:rPr>
            <w:noProof/>
            <w:webHidden/>
          </w:rPr>
          <w:instrText xml:space="preserve"> PAGEREF _Toc162269264 \h </w:instrText>
        </w:r>
        <w:r w:rsidR="00E11F3E">
          <w:rPr>
            <w:noProof/>
            <w:webHidden/>
          </w:rPr>
        </w:r>
        <w:r w:rsidR="00E11F3E">
          <w:rPr>
            <w:noProof/>
            <w:webHidden/>
          </w:rPr>
          <w:fldChar w:fldCharType="separate"/>
        </w:r>
        <w:r w:rsidR="00E11F3E">
          <w:rPr>
            <w:noProof/>
            <w:webHidden/>
          </w:rPr>
          <w:t>87</w:t>
        </w:r>
        <w:r w:rsidR="00E11F3E">
          <w:rPr>
            <w:noProof/>
            <w:webHidden/>
          </w:rPr>
          <w:fldChar w:fldCharType="end"/>
        </w:r>
      </w:hyperlink>
    </w:p>
    <w:p w14:paraId="0D6415A0" w14:textId="09581018" w:rsidR="00E11F3E" w:rsidRDefault="00207CA3">
      <w:pPr>
        <w:pStyle w:val="Obsah3"/>
        <w:rPr>
          <w:rFonts w:eastAsiaTheme="minorEastAsia"/>
          <w:noProof/>
          <w:lang w:eastAsia="cs-CZ"/>
        </w:rPr>
      </w:pPr>
      <w:hyperlink w:anchor="_Toc162269265" w:history="1">
        <w:r w:rsidR="00E11F3E" w:rsidRPr="005021E4">
          <w:rPr>
            <w:rStyle w:val="Hypertextovodkaz"/>
            <w:noProof/>
          </w:rPr>
          <w:t>3.6.3.</w:t>
        </w:r>
        <w:r w:rsidR="00E11F3E">
          <w:rPr>
            <w:rFonts w:eastAsiaTheme="minorEastAsia"/>
            <w:noProof/>
            <w:lang w:eastAsia="cs-CZ"/>
          </w:rPr>
          <w:tab/>
        </w:r>
        <w:r w:rsidR="00E11F3E" w:rsidRPr="005021E4">
          <w:rPr>
            <w:rStyle w:val="Hypertextovodkaz"/>
            <w:noProof/>
          </w:rPr>
          <w:t>Státní plavební správa</w:t>
        </w:r>
        <w:r w:rsidR="00E11F3E">
          <w:rPr>
            <w:noProof/>
            <w:webHidden/>
          </w:rPr>
          <w:tab/>
        </w:r>
        <w:r w:rsidR="00E11F3E">
          <w:rPr>
            <w:noProof/>
            <w:webHidden/>
          </w:rPr>
          <w:fldChar w:fldCharType="begin"/>
        </w:r>
        <w:r w:rsidR="00E11F3E">
          <w:rPr>
            <w:noProof/>
            <w:webHidden/>
          </w:rPr>
          <w:instrText xml:space="preserve"> PAGEREF _Toc162269265 \h </w:instrText>
        </w:r>
        <w:r w:rsidR="00E11F3E">
          <w:rPr>
            <w:noProof/>
            <w:webHidden/>
          </w:rPr>
        </w:r>
        <w:r w:rsidR="00E11F3E">
          <w:rPr>
            <w:noProof/>
            <w:webHidden/>
          </w:rPr>
          <w:fldChar w:fldCharType="separate"/>
        </w:r>
        <w:r w:rsidR="00E11F3E">
          <w:rPr>
            <w:noProof/>
            <w:webHidden/>
          </w:rPr>
          <w:t>89</w:t>
        </w:r>
        <w:r w:rsidR="00E11F3E">
          <w:rPr>
            <w:noProof/>
            <w:webHidden/>
          </w:rPr>
          <w:fldChar w:fldCharType="end"/>
        </w:r>
      </w:hyperlink>
    </w:p>
    <w:p w14:paraId="539E454F" w14:textId="2A2E0C11" w:rsidR="00E11F3E" w:rsidRDefault="00207CA3">
      <w:pPr>
        <w:pStyle w:val="Obsah3"/>
        <w:rPr>
          <w:rFonts w:eastAsiaTheme="minorEastAsia"/>
          <w:noProof/>
          <w:lang w:eastAsia="cs-CZ"/>
        </w:rPr>
      </w:pPr>
      <w:hyperlink w:anchor="_Toc162269266" w:history="1">
        <w:r w:rsidR="00E11F3E" w:rsidRPr="005021E4">
          <w:rPr>
            <w:rStyle w:val="Hypertextovodkaz"/>
            <w:noProof/>
          </w:rPr>
          <w:t>3.6.4.</w:t>
        </w:r>
        <w:r w:rsidR="00E11F3E">
          <w:rPr>
            <w:rFonts w:eastAsiaTheme="minorEastAsia"/>
            <w:noProof/>
            <w:lang w:eastAsia="cs-CZ"/>
          </w:rPr>
          <w:tab/>
        </w:r>
        <w:r w:rsidR="00E11F3E" w:rsidRPr="005021E4">
          <w:rPr>
            <w:rStyle w:val="Hypertextovodkaz"/>
            <w:noProof/>
          </w:rPr>
          <w:t>Drážní úřad</w:t>
        </w:r>
        <w:r w:rsidR="00E11F3E">
          <w:rPr>
            <w:noProof/>
            <w:webHidden/>
          </w:rPr>
          <w:tab/>
        </w:r>
        <w:r w:rsidR="00E11F3E">
          <w:rPr>
            <w:noProof/>
            <w:webHidden/>
          </w:rPr>
          <w:fldChar w:fldCharType="begin"/>
        </w:r>
        <w:r w:rsidR="00E11F3E">
          <w:rPr>
            <w:noProof/>
            <w:webHidden/>
          </w:rPr>
          <w:instrText xml:space="preserve"> PAGEREF _Toc162269266 \h </w:instrText>
        </w:r>
        <w:r w:rsidR="00E11F3E">
          <w:rPr>
            <w:noProof/>
            <w:webHidden/>
          </w:rPr>
        </w:r>
        <w:r w:rsidR="00E11F3E">
          <w:rPr>
            <w:noProof/>
            <w:webHidden/>
          </w:rPr>
          <w:fldChar w:fldCharType="separate"/>
        </w:r>
        <w:r w:rsidR="00E11F3E">
          <w:rPr>
            <w:noProof/>
            <w:webHidden/>
          </w:rPr>
          <w:t>92</w:t>
        </w:r>
        <w:r w:rsidR="00E11F3E">
          <w:rPr>
            <w:noProof/>
            <w:webHidden/>
          </w:rPr>
          <w:fldChar w:fldCharType="end"/>
        </w:r>
      </w:hyperlink>
    </w:p>
    <w:p w14:paraId="79D5CBA6" w14:textId="4F76F141" w:rsidR="00E11F3E" w:rsidRDefault="00207CA3">
      <w:pPr>
        <w:pStyle w:val="Obsah3"/>
        <w:rPr>
          <w:rFonts w:eastAsiaTheme="minorEastAsia"/>
          <w:noProof/>
          <w:lang w:eastAsia="cs-CZ"/>
        </w:rPr>
      </w:pPr>
      <w:hyperlink w:anchor="_Toc162269267" w:history="1">
        <w:r w:rsidR="00E11F3E" w:rsidRPr="005021E4">
          <w:rPr>
            <w:rStyle w:val="Hypertextovodkaz"/>
            <w:noProof/>
          </w:rPr>
          <w:t>3.6.5.</w:t>
        </w:r>
        <w:r w:rsidR="00E11F3E">
          <w:rPr>
            <w:rFonts w:eastAsiaTheme="minorEastAsia"/>
            <w:noProof/>
            <w:lang w:eastAsia="cs-CZ"/>
          </w:rPr>
          <w:tab/>
        </w:r>
        <w:r w:rsidR="00E11F3E" w:rsidRPr="005021E4">
          <w:rPr>
            <w:rStyle w:val="Hypertextovodkaz"/>
            <w:noProof/>
          </w:rPr>
          <w:t>Drážní inspekce</w:t>
        </w:r>
        <w:r w:rsidR="00E11F3E">
          <w:rPr>
            <w:noProof/>
            <w:webHidden/>
          </w:rPr>
          <w:tab/>
        </w:r>
        <w:r w:rsidR="00E11F3E">
          <w:rPr>
            <w:noProof/>
            <w:webHidden/>
          </w:rPr>
          <w:fldChar w:fldCharType="begin"/>
        </w:r>
        <w:r w:rsidR="00E11F3E">
          <w:rPr>
            <w:noProof/>
            <w:webHidden/>
          </w:rPr>
          <w:instrText xml:space="preserve"> PAGEREF _Toc162269267 \h </w:instrText>
        </w:r>
        <w:r w:rsidR="00E11F3E">
          <w:rPr>
            <w:noProof/>
            <w:webHidden/>
          </w:rPr>
        </w:r>
        <w:r w:rsidR="00E11F3E">
          <w:rPr>
            <w:noProof/>
            <w:webHidden/>
          </w:rPr>
          <w:fldChar w:fldCharType="separate"/>
        </w:r>
        <w:r w:rsidR="00E11F3E">
          <w:rPr>
            <w:noProof/>
            <w:webHidden/>
          </w:rPr>
          <w:t>93</w:t>
        </w:r>
        <w:r w:rsidR="00E11F3E">
          <w:rPr>
            <w:noProof/>
            <w:webHidden/>
          </w:rPr>
          <w:fldChar w:fldCharType="end"/>
        </w:r>
      </w:hyperlink>
    </w:p>
    <w:p w14:paraId="19F2AB59" w14:textId="45C4A4F9" w:rsidR="00E11F3E" w:rsidRDefault="00207CA3">
      <w:pPr>
        <w:pStyle w:val="Obsah3"/>
        <w:rPr>
          <w:rFonts w:eastAsiaTheme="minorEastAsia"/>
          <w:noProof/>
          <w:lang w:eastAsia="cs-CZ"/>
        </w:rPr>
      </w:pPr>
      <w:hyperlink w:anchor="_Toc162269268" w:history="1">
        <w:r w:rsidR="00E11F3E" w:rsidRPr="005021E4">
          <w:rPr>
            <w:rStyle w:val="Hypertextovodkaz"/>
            <w:noProof/>
          </w:rPr>
          <w:t>3.6.6.</w:t>
        </w:r>
        <w:r w:rsidR="00E11F3E">
          <w:rPr>
            <w:rFonts w:eastAsiaTheme="minorEastAsia"/>
            <w:noProof/>
            <w:lang w:eastAsia="cs-CZ"/>
          </w:rPr>
          <w:tab/>
        </w:r>
        <w:r w:rsidR="00E11F3E" w:rsidRPr="005021E4">
          <w:rPr>
            <w:rStyle w:val="Hypertextovodkaz"/>
            <w:noProof/>
          </w:rPr>
          <w:t>Ústav pro odborné zjišťování příčin leteckých nehod</w:t>
        </w:r>
        <w:r w:rsidR="00E11F3E">
          <w:rPr>
            <w:noProof/>
            <w:webHidden/>
          </w:rPr>
          <w:tab/>
        </w:r>
        <w:r w:rsidR="00E11F3E">
          <w:rPr>
            <w:noProof/>
            <w:webHidden/>
          </w:rPr>
          <w:fldChar w:fldCharType="begin"/>
        </w:r>
        <w:r w:rsidR="00E11F3E">
          <w:rPr>
            <w:noProof/>
            <w:webHidden/>
          </w:rPr>
          <w:instrText xml:space="preserve"> PAGEREF _Toc162269268 \h </w:instrText>
        </w:r>
        <w:r w:rsidR="00E11F3E">
          <w:rPr>
            <w:noProof/>
            <w:webHidden/>
          </w:rPr>
        </w:r>
        <w:r w:rsidR="00E11F3E">
          <w:rPr>
            <w:noProof/>
            <w:webHidden/>
          </w:rPr>
          <w:fldChar w:fldCharType="separate"/>
        </w:r>
        <w:r w:rsidR="00E11F3E">
          <w:rPr>
            <w:noProof/>
            <w:webHidden/>
          </w:rPr>
          <w:t>95</w:t>
        </w:r>
        <w:r w:rsidR="00E11F3E">
          <w:rPr>
            <w:noProof/>
            <w:webHidden/>
          </w:rPr>
          <w:fldChar w:fldCharType="end"/>
        </w:r>
      </w:hyperlink>
    </w:p>
    <w:p w14:paraId="0DA43B8B" w14:textId="2DEE42FB" w:rsidR="00E11F3E" w:rsidRDefault="00207CA3">
      <w:pPr>
        <w:pStyle w:val="Obsah3"/>
        <w:rPr>
          <w:rFonts w:eastAsiaTheme="minorEastAsia"/>
          <w:noProof/>
          <w:lang w:eastAsia="cs-CZ"/>
        </w:rPr>
      </w:pPr>
      <w:hyperlink w:anchor="_Toc162269269" w:history="1">
        <w:r w:rsidR="00E11F3E" w:rsidRPr="005021E4">
          <w:rPr>
            <w:rStyle w:val="Hypertextovodkaz"/>
            <w:noProof/>
          </w:rPr>
          <w:t>3.6.7.</w:t>
        </w:r>
        <w:r w:rsidR="00E11F3E">
          <w:rPr>
            <w:rFonts w:eastAsiaTheme="minorEastAsia"/>
            <w:noProof/>
            <w:lang w:eastAsia="cs-CZ"/>
          </w:rPr>
          <w:tab/>
        </w:r>
        <w:r w:rsidR="00E11F3E" w:rsidRPr="005021E4">
          <w:rPr>
            <w:rStyle w:val="Hypertextovodkaz"/>
            <w:noProof/>
          </w:rPr>
          <w:t>Dopravní a energetický stavební úřad</w:t>
        </w:r>
        <w:r w:rsidR="00E11F3E">
          <w:rPr>
            <w:noProof/>
            <w:webHidden/>
          </w:rPr>
          <w:tab/>
        </w:r>
        <w:r w:rsidR="00E11F3E">
          <w:rPr>
            <w:noProof/>
            <w:webHidden/>
          </w:rPr>
          <w:fldChar w:fldCharType="begin"/>
        </w:r>
        <w:r w:rsidR="00E11F3E">
          <w:rPr>
            <w:noProof/>
            <w:webHidden/>
          </w:rPr>
          <w:instrText xml:space="preserve"> PAGEREF _Toc162269269 \h </w:instrText>
        </w:r>
        <w:r w:rsidR="00E11F3E">
          <w:rPr>
            <w:noProof/>
            <w:webHidden/>
          </w:rPr>
        </w:r>
        <w:r w:rsidR="00E11F3E">
          <w:rPr>
            <w:noProof/>
            <w:webHidden/>
          </w:rPr>
          <w:fldChar w:fldCharType="separate"/>
        </w:r>
        <w:r w:rsidR="00E11F3E">
          <w:rPr>
            <w:noProof/>
            <w:webHidden/>
          </w:rPr>
          <w:t>99</w:t>
        </w:r>
        <w:r w:rsidR="00E11F3E">
          <w:rPr>
            <w:noProof/>
            <w:webHidden/>
          </w:rPr>
          <w:fldChar w:fldCharType="end"/>
        </w:r>
      </w:hyperlink>
    </w:p>
    <w:p w14:paraId="708CFE89" w14:textId="041884B5" w:rsidR="00E11F3E" w:rsidRDefault="00207CA3">
      <w:pPr>
        <w:pStyle w:val="Obsah2"/>
        <w:rPr>
          <w:rFonts w:eastAsiaTheme="minorEastAsia"/>
          <w:noProof/>
          <w:lang w:eastAsia="cs-CZ"/>
        </w:rPr>
      </w:pPr>
      <w:hyperlink w:anchor="_Toc162269270" w:history="1">
        <w:r w:rsidR="00E11F3E" w:rsidRPr="005021E4">
          <w:rPr>
            <w:rStyle w:val="Hypertextovodkaz"/>
            <w:noProof/>
          </w:rPr>
          <w:t>3.7.</w:t>
        </w:r>
        <w:r w:rsidR="00E11F3E">
          <w:rPr>
            <w:rFonts w:eastAsiaTheme="minorEastAsia"/>
            <w:noProof/>
            <w:lang w:eastAsia="cs-CZ"/>
          </w:rPr>
          <w:tab/>
        </w:r>
        <w:r w:rsidR="00E11F3E" w:rsidRPr="005021E4">
          <w:rPr>
            <w:rStyle w:val="Hypertextovodkaz"/>
            <w:noProof/>
          </w:rPr>
          <w:t>Transfery</w:t>
        </w:r>
        <w:r w:rsidR="00E11F3E">
          <w:rPr>
            <w:noProof/>
            <w:webHidden/>
          </w:rPr>
          <w:tab/>
        </w:r>
        <w:r w:rsidR="00E11F3E">
          <w:rPr>
            <w:noProof/>
            <w:webHidden/>
          </w:rPr>
          <w:fldChar w:fldCharType="begin"/>
        </w:r>
        <w:r w:rsidR="00E11F3E">
          <w:rPr>
            <w:noProof/>
            <w:webHidden/>
          </w:rPr>
          <w:instrText xml:space="preserve"> PAGEREF _Toc162269270 \h </w:instrText>
        </w:r>
        <w:r w:rsidR="00E11F3E">
          <w:rPr>
            <w:noProof/>
            <w:webHidden/>
          </w:rPr>
        </w:r>
        <w:r w:rsidR="00E11F3E">
          <w:rPr>
            <w:noProof/>
            <w:webHidden/>
          </w:rPr>
          <w:fldChar w:fldCharType="separate"/>
        </w:r>
        <w:r w:rsidR="00E11F3E">
          <w:rPr>
            <w:noProof/>
            <w:webHidden/>
          </w:rPr>
          <w:t>100</w:t>
        </w:r>
        <w:r w:rsidR="00E11F3E">
          <w:rPr>
            <w:noProof/>
            <w:webHidden/>
          </w:rPr>
          <w:fldChar w:fldCharType="end"/>
        </w:r>
      </w:hyperlink>
    </w:p>
    <w:p w14:paraId="6C0DD311" w14:textId="3F227A08" w:rsidR="00E11F3E" w:rsidRDefault="00207CA3">
      <w:pPr>
        <w:pStyle w:val="Obsah3"/>
        <w:rPr>
          <w:rFonts w:eastAsiaTheme="minorEastAsia"/>
          <w:noProof/>
          <w:lang w:eastAsia="cs-CZ"/>
        </w:rPr>
      </w:pPr>
      <w:hyperlink w:anchor="_Toc162269271" w:history="1">
        <w:r w:rsidR="00E11F3E" w:rsidRPr="005021E4">
          <w:rPr>
            <w:rStyle w:val="Hypertextovodkaz"/>
            <w:noProof/>
          </w:rPr>
          <w:t>3.7.1.</w:t>
        </w:r>
        <w:r w:rsidR="00E11F3E">
          <w:rPr>
            <w:rFonts w:eastAsiaTheme="minorEastAsia"/>
            <w:noProof/>
            <w:lang w:eastAsia="cs-CZ"/>
          </w:rPr>
          <w:tab/>
        </w:r>
        <w:r w:rsidR="00E11F3E" w:rsidRPr="005021E4">
          <w:rPr>
            <w:rStyle w:val="Hypertextovodkaz"/>
            <w:noProof/>
          </w:rPr>
          <w:t>Transfery příspěvkovým a podobným organizacím</w:t>
        </w:r>
        <w:r w:rsidR="00E11F3E">
          <w:rPr>
            <w:noProof/>
            <w:webHidden/>
          </w:rPr>
          <w:tab/>
        </w:r>
        <w:r w:rsidR="00E11F3E">
          <w:rPr>
            <w:noProof/>
            <w:webHidden/>
          </w:rPr>
          <w:fldChar w:fldCharType="begin"/>
        </w:r>
        <w:r w:rsidR="00E11F3E">
          <w:rPr>
            <w:noProof/>
            <w:webHidden/>
          </w:rPr>
          <w:instrText xml:space="preserve"> PAGEREF _Toc162269271 \h </w:instrText>
        </w:r>
        <w:r w:rsidR="00E11F3E">
          <w:rPr>
            <w:noProof/>
            <w:webHidden/>
          </w:rPr>
        </w:r>
        <w:r w:rsidR="00E11F3E">
          <w:rPr>
            <w:noProof/>
            <w:webHidden/>
          </w:rPr>
          <w:fldChar w:fldCharType="separate"/>
        </w:r>
        <w:r w:rsidR="00E11F3E">
          <w:rPr>
            <w:noProof/>
            <w:webHidden/>
          </w:rPr>
          <w:t>100</w:t>
        </w:r>
        <w:r w:rsidR="00E11F3E">
          <w:rPr>
            <w:noProof/>
            <w:webHidden/>
          </w:rPr>
          <w:fldChar w:fldCharType="end"/>
        </w:r>
      </w:hyperlink>
    </w:p>
    <w:p w14:paraId="69671268" w14:textId="0223D325" w:rsidR="00E11F3E" w:rsidRDefault="00207CA3">
      <w:pPr>
        <w:pStyle w:val="Obsah3"/>
        <w:rPr>
          <w:rFonts w:eastAsiaTheme="minorEastAsia"/>
          <w:noProof/>
          <w:lang w:eastAsia="cs-CZ"/>
        </w:rPr>
      </w:pPr>
      <w:hyperlink w:anchor="_Toc162269272" w:history="1">
        <w:r w:rsidR="00E11F3E" w:rsidRPr="005021E4">
          <w:rPr>
            <w:rStyle w:val="Hypertextovodkaz"/>
            <w:noProof/>
          </w:rPr>
          <w:t>3.7.2.</w:t>
        </w:r>
        <w:r w:rsidR="00E11F3E">
          <w:rPr>
            <w:rFonts w:eastAsiaTheme="minorEastAsia"/>
            <w:noProof/>
            <w:lang w:eastAsia="cs-CZ"/>
          </w:rPr>
          <w:tab/>
        </w:r>
        <w:r w:rsidR="00E11F3E" w:rsidRPr="005021E4">
          <w:rPr>
            <w:rStyle w:val="Hypertextovodkaz"/>
            <w:noProof/>
          </w:rPr>
          <w:t>Transfery ostatním příspěvkovým a podobným organizacím</w:t>
        </w:r>
        <w:r w:rsidR="00E11F3E">
          <w:rPr>
            <w:noProof/>
            <w:webHidden/>
          </w:rPr>
          <w:tab/>
        </w:r>
        <w:r w:rsidR="00E11F3E">
          <w:rPr>
            <w:noProof/>
            <w:webHidden/>
          </w:rPr>
          <w:fldChar w:fldCharType="begin"/>
        </w:r>
        <w:r w:rsidR="00E11F3E">
          <w:rPr>
            <w:noProof/>
            <w:webHidden/>
          </w:rPr>
          <w:instrText xml:space="preserve"> PAGEREF _Toc162269272 \h </w:instrText>
        </w:r>
        <w:r w:rsidR="00E11F3E">
          <w:rPr>
            <w:noProof/>
            <w:webHidden/>
          </w:rPr>
        </w:r>
        <w:r w:rsidR="00E11F3E">
          <w:rPr>
            <w:noProof/>
            <w:webHidden/>
          </w:rPr>
          <w:fldChar w:fldCharType="separate"/>
        </w:r>
        <w:r w:rsidR="00E11F3E">
          <w:rPr>
            <w:noProof/>
            <w:webHidden/>
          </w:rPr>
          <w:t>107</w:t>
        </w:r>
        <w:r w:rsidR="00E11F3E">
          <w:rPr>
            <w:noProof/>
            <w:webHidden/>
          </w:rPr>
          <w:fldChar w:fldCharType="end"/>
        </w:r>
      </w:hyperlink>
    </w:p>
    <w:p w14:paraId="323A1AE4" w14:textId="36C3B572" w:rsidR="00E11F3E" w:rsidRDefault="00207CA3">
      <w:pPr>
        <w:pStyle w:val="Obsah3"/>
        <w:rPr>
          <w:rFonts w:eastAsiaTheme="minorEastAsia"/>
          <w:noProof/>
          <w:lang w:eastAsia="cs-CZ"/>
        </w:rPr>
      </w:pPr>
      <w:hyperlink w:anchor="_Toc162269273" w:history="1">
        <w:r w:rsidR="00E11F3E" w:rsidRPr="005021E4">
          <w:rPr>
            <w:rStyle w:val="Hypertextovodkaz"/>
            <w:noProof/>
          </w:rPr>
          <w:t>3.7.3.</w:t>
        </w:r>
        <w:r w:rsidR="00E11F3E">
          <w:rPr>
            <w:rFonts w:eastAsiaTheme="minorEastAsia"/>
            <w:noProof/>
            <w:lang w:eastAsia="cs-CZ"/>
          </w:rPr>
          <w:tab/>
        </w:r>
        <w:r w:rsidR="00E11F3E" w:rsidRPr="005021E4">
          <w:rPr>
            <w:rStyle w:val="Hypertextovodkaz"/>
            <w:noProof/>
          </w:rPr>
          <w:t>Transfery neziskovým a podobným organizacím</w:t>
        </w:r>
        <w:r w:rsidR="00E11F3E">
          <w:rPr>
            <w:noProof/>
            <w:webHidden/>
          </w:rPr>
          <w:tab/>
        </w:r>
        <w:r w:rsidR="00E11F3E">
          <w:rPr>
            <w:noProof/>
            <w:webHidden/>
          </w:rPr>
          <w:fldChar w:fldCharType="begin"/>
        </w:r>
        <w:r w:rsidR="00E11F3E">
          <w:rPr>
            <w:noProof/>
            <w:webHidden/>
          </w:rPr>
          <w:instrText xml:space="preserve"> PAGEREF _Toc162269273 \h </w:instrText>
        </w:r>
        <w:r w:rsidR="00E11F3E">
          <w:rPr>
            <w:noProof/>
            <w:webHidden/>
          </w:rPr>
        </w:r>
        <w:r w:rsidR="00E11F3E">
          <w:rPr>
            <w:noProof/>
            <w:webHidden/>
          </w:rPr>
          <w:fldChar w:fldCharType="separate"/>
        </w:r>
        <w:r w:rsidR="00E11F3E">
          <w:rPr>
            <w:noProof/>
            <w:webHidden/>
          </w:rPr>
          <w:t>109</w:t>
        </w:r>
        <w:r w:rsidR="00E11F3E">
          <w:rPr>
            <w:noProof/>
            <w:webHidden/>
          </w:rPr>
          <w:fldChar w:fldCharType="end"/>
        </w:r>
      </w:hyperlink>
    </w:p>
    <w:p w14:paraId="7A266102" w14:textId="71F5A44B" w:rsidR="00E11F3E" w:rsidRDefault="00207CA3">
      <w:pPr>
        <w:pStyle w:val="Obsah3"/>
        <w:rPr>
          <w:rFonts w:eastAsiaTheme="minorEastAsia"/>
          <w:noProof/>
          <w:lang w:eastAsia="cs-CZ"/>
        </w:rPr>
      </w:pPr>
      <w:hyperlink w:anchor="_Toc162269274" w:history="1">
        <w:r w:rsidR="00E11F3E" w:rsidRPr="005021E4">
          <w:rPr>
            <w:rStyle w:val="Hypertextovodkaz"/>
            <w:noProof/>
          </w:rPr>
          <w:t>3.7.4.</w:t>
        </w:r>
        <w:r w:rsidR="00E11F3E">
          <w:rPr>
            <w:rFonts w:eastAsiaTheme="minorEastAsia"/>
            <w:noProof/>
            <w:lang w:eastAsia="cs-CZ"/>
          </w:rPr>
          <w:tab/>
        </w:r>
        <w:r w:rsidR="00E11F3E" w:rsidRPr="005021E4">
          <w:rPr>
            <w:rStyle w:val="Hypertextovodkaz"/>
            <w:noProof/>
          </w:rPr>
          <w:t>Transfery do zahraničí</w:t>
        </w:r>
        <w:r w:rsidR="00E11F3E">
          <w:rPr>
            <w:noProof/>
            <w:webHidden/>
          </w:rPr>
          <w:tab/>
        </w:r>
        <w:r w:rsidR="00E11F3E">
          <w:rPr>
            <w:noProof/>
            <w:webHidden/>
          </w:rPr>
          <w:fldChar w:fldCharType="begin"/>
        </w:r>
        <w:r w:rsidR="00E11F3E">
          <w:rPr>
            <w:noProof/>
            <w:webHidden/>
          </w:rPr>
          <w:instrText xml:space="preserve"> PAGEREF _Toc162269274 \h </w:instrText>
        </w:r>
        <w:r w:rsidR="00E11F3E">
          <w:rPr>
            <w:noProof/>
            <w:webHidden/>
          </w:rPr>
        </w:r>
        <w:r w:rsidR="00E11F3E">
          <w:rPr>
            <w:noProof/>
            <w:webHidden/>
          </w:rPr>
          <w:fldChar w:fldCharType="separate"/>
        </w:r>
        <w:r w:rsidR="00E11F3E">
          <w:rPr>
            <w:noProof/>
            <w:webHidden/>
          </w:rPr>
          <w:t>111</w:t>
        </w:r>
        <w:r w:rsidR="00E11F3E">
          <w:rPr>
            <w:noProof/>
            <w:webHidden/>
          </w:rPr>
          <w:fldChar w:fldCharType="end"/>
        </w:r>
      </w:hyperlink>
    </w:p>
    <w:p w14:paraId="2D64952B" w14:textId="65FCC992" w:rsidR="00E11F3E" w:rsidRDefault="00207CA3">
      <w:pPr>
        <w:pStyle w:val="Obsah3"/>
        <w:rPr>
          <w:rFonts w:eastAsiaTheme="minorEastAsia"/>
          <w:noProof/>
          <w:lang w:eastAsia="cs-CZ"/>
        </w:rPr>
      </w:pPr>
      <w:hyperlink w:anchor="_Toc162269275" w:history="1">
        <w:r w:rsidR="00E11F3E" w:rsidRPr="005021E4">
          <w:rPr>
            <w:rStyle w:val="Hypertextovodkaz"/>
            <w:noProof/>
          </w:rPr>
          <w:t>3.7.5.</w:t>
        </w:r>
        <w:r w:rsidR="00E11F3E">
          <w:rPr>
            <w:rFonts w:eastAsiaTheme="minorEastAsia"/>
            <w:noProof/>
            <w:lang w:eastAsia="cs-CZ"/>
          </w:rPr>
          <w:tab/>
        </w:r>
        <w:r w:rsidR="00E11F3E" w:rsidRPr="005021E4">
          <w:rPr>
            <w:rStyle w:val="Hypertextovodkaz"/>
            <w:noProof/>
          </w:rPr>
          <w:t>Transfery podnikatelským subjektům</w:t>
        </w:r>
        <w:r w:rsidR="00E11F3E">
          <w:rPr>
            <w:noProof/>
            <w:webHidden/>
          </w:rPr>
          <w:tab/>
        </w:r>
        <w:r w:rsidR="00E11F3E">
          <w:rPr>
            <w:noProof/>
            <w:webHidden/>
          </w:rPr>
          <w:fldChar w:fldCharType="begin"/>
        </w:r>
        <w:r w:rsidR="00E11F3E">
          <w:rPr>
            <w:noProof/>
            <w:webHidden/>
          </w:rPr>
          <w:instrText xml:space="preserve"> PAGEREF _Toc162269275 \h </w:instrText>
        </w:r>
        <w:r w:rsidR="00E11F3E">
          <w:rPr>
            <w:noProof/>
            <w:webHidden/>
          </w:rPr>
        </w:r>
        <w:r w:rsidR="00E11F3E">
          <w:rPr>
            <w:noProof/>
            <w:webHidden/>
          </w:rPr>
          <w:fldChar w:fldCharType="separate"/>
        </w:r>
        <w:r w:rsidR="00E11F3E">
          <w:rPr>
            <w:noProof/>
            <w:webHidden/>
          </w:rPr>
          <w:t>113</w:t>
        </w:r>
        <w:r w:rsidR="00E11F3E">
          <w:rPr>
            <w:noProof/>
            <w:webHidden/>
          </w:rPr>
          <w:fldChar w:fldCharType="end"/>
        </w:r>
      </w:hyperlink>
    </w:p>
    <w:p w14:paraId="06BB6DD0" w14:textId="6D399A49" w:rsidR="00E11F3E" w:rsidRDefault="00207CA3">
      <w:pPr>
        <w:pStyle w:val="Obsah3"/>
        <w:rPr>
          <w:rFonts w:eastAsiaTheme="minorEastAsia"/>
          <w:noProof/>
          <w:lang w:eastAsia="cs-CZ"/>
        </w:rPr>
      </w:pPr>
      <w:hyperlink w:anchor="_Toc162269276" w:history="1">
        <w:r w:rsidR="00E11F3E" w:rsidRPr="005021E4">
          <w:rPr>
            <w:rStyle w:val="Hypertextovodkaz"/>
            <w:noProof/>
          </w:rPr>
          <w:t>3.7.6.</w:t>
        </w:r>
        <w:r w:rsidR="00E11F3E">
          <w:rPr>
            <w:rFonts w:eastAsiaTheme="minorEastAsia"/>
            <w:noProof/>
            <w:lang w:eastAsia="cs-CZ"/>
          </w:rPr>
          <w:tab/>
        </w:r>
        <w:r w:rsidR="00E11F3E" w:rsidRPr="005021E4">
          <w:rPr>
            <w:rStyle w:val="Hypertextovodkaz"/>
            <w:noProof/>
          </w:rPr>
          <w:t>Transfery státním fondům</w:t>
        </w:r>
        <w:r w:rsidR="00E11F3E">
          <w:rPr>
            <w:noProof/>
            <w:webHidden/>
          </w:rPr>
          <w:tab/>
        </w:r>
        <w:r w:rsidR="00E11F3E">
          <w:rPr>
            <w:noProof/>
            <w:webHidden/>
          </w:rPr>
          <w:fldChar w:fldCharType="begin"/>
        </w:r>
        <w:r w:rsidR="00E11F3E">
          <w:rPr>
            <w:noProof/>
            <w:webHidden/>
          </w:rPr>
          <w:instrText xml:space="preserve"> PAGEREF _Toc162269276 \h </w:instrText>
        </w:r>
        <w:r w:rsidR="00E11F3E">
          <w:rPr>
            <w:noProof/>
            <w:webHidden/>
          </w:rPr>
        </w:r>
        <w:r w:rsidR="00E11F3E">
          <w:rPr>
            <w:noProof/>
            <w:webHidden/>
          </w:rPr>
          <w:fldChar w:fldCharType="separate"/>
        </w:r>
        <w:r w:rsidR="00E11F3E">
          <w:rPr>
            <w:noProof/>
            <w:webHidden/>
          </w:rPr>
          <w:t>119</w:t>
        </w:r>
        <w:r w:rsidR="00E11F3E">
          <w:rPr>
            <w:noProof/>
            <w:webHidden/>
          </w:rPr>
          <w:fldChar w:fldCharType="end"/>
        </w:r>
      </w:hyperlink>
    </w:p>
    <w:p w14:paraId="5F707A36" w14:textId="7E04F0DB" w:rsidR="00E11F3E" w:rsidRDefault="00207CA3">
      <w:pPr>
        <w:pStyle w:val="Obsah3"/>
        <w:rPr>
          <w:rFonts w:eastAsiaTheme="minorEastAsia"/>
          <w:noProof/>
          <w:lang w:eastAsia="cs-CZ"/>
        </w:rPr>
      </w:pPr>
      <w:hyperlink w:anchor="_Toc162269277" w:history="1">
        <w:r w:rsidR="00E11F3E" w:rsidRPr="005021E4">
          <w:rPr>
            <w:rStyle w:val="Hypertextovodkaz"/>
            <w:noProof/>
          </w:rPr>
          <w:t>3.7.7.</w:t>
        </w:r>
        <w:r w:rsidR="00E11F3E">
          <w:rPr>
            <w:rFonts w:eastAsiaTheme="minorEastAsia"/>
            <w:noProof/>
            <w:lang w:eastAsia="cs-CZ"/>
          </w:rPr>
          <w:tab/>
        </w:r>
        <w:r w:rsidR="00E11F3E" w:rsidRPr="005021E4">
          <w:rPr>
            <w:rStyle w:val="Hypertextovodkaz"/>
            <w:noProof/>
          </w:rPr>
          <w:t>Transfery veřejným rozpočtům územní úrovně</w:t>
        </w:r>
        <w:r w:rsidR="00E11F3E">
          <w:rPr>
            <w:noProof/>
            <w:webHidden/>
          </w:rPr>
          <w:tab/>
        </w:r>
        <w:r w:rsidR="00E11F3E">
          <w:rPr>
            <w:noProof/>
            <w:webHidden/>
          </w:rPr>
          <w:fldChar w:fldCharType="begin"/>
        </w:r>
        <w:r w:rsidR="00E11F3E">
          <w:rPr>
            <w:noProof/>
            <w:webHidden/>
          </w:rPr>
          <w:instrText xml:space="preserve"> PAGEREF _Toc162269277 \h </w:instrText>
        </w:r>
        <w:r w:rsidR="00E11F3E">
          <w:rPr>
            <w:noProof/>
            <w:webHidden/>
          </w:rPr>
        </w:r>
        <w:r w:rsidR="00E11F3E">
          <w:rPr>
            <w:noProof/>
            <w:webHidden/>
          </w:rPr>
          <w:fldChar w:fldCharType="separate"/>
        </w:r>
        <w:r w:rsidR="00E11F3E">
          <w:rPr>
            <w:noProof/>
            <w:webHidden/>
          </w:rPr>
          <w:t>124</w:t>
        </w:r>
        <w:r w:rsidR="00E11F3E">
          <w:rPr>
            <w:noProof/>
            <w:webHidden/>
          </w:rPr>
          <w:fldChar w:fldCharType="end"/>
        </w:r>
      </w:hyperlink>
    </w:p>
    <w:p w14:paraId="790D458D" w14:textId="662D3EB1" w:rsidR="00E11F3E" w:rsidRDefault="00207CA3">
      <w:pPr>
        <w:pStyle w:val="Obsah1"/>
        <w:rPr>
          <w:rFonts w:eastAsiaTheme="minorEastAsia"/>
          <w:b w:val="0"/>
          <w:lang w:eastAsia="cs-CZ"/>
        </w:rPr>
      </w:pPr>
      <w:hyperlink w:anchor="_Toc162269278" w:history="1">
        <w:r w:rsidR="00E11F3E" w:rsidRPr="005021E4">
          <w:rPr>
            <w:rStyle w:val="Hypertextovodkaz"/>
          </w:rPr>
          <w:t>4</w:t>
        </w:r>
        <w:r w:rsidR="00E11F3E">
          <w:rPr>
            <w:rFonts w:eastAsiaTheme="minorEastAsia"/>
            <w:b w:val="0"/>
            <w:lang w:eastAsia="cs-CZ"/>
          </w:rPr>
          <w:tab/>
        </w:r>
        <w:r w:rsidR="00E11F3E" w:rsidRPr="005021E4">
          <w:rPr>
            <w:rStyle w:val="Hypertextovodkaz"/>
          </w:rPr>
          <w:t>REZERVNÍ FOND</w:t>
        </w:r>
        <w:r w:rsidR="00E11F3E">
          <w:rPr>
            <w:webHidden/>
          </w:rPr>
          <w:tab/>
        </w:r>
        <w:r w:rsidR="00E11F3E">
          <w:rPr>
            <w:webHidden/>
          </w:rPr>
          <w:fldChar w:fldCharType="begin"/>
        </w:r>
        <w:r w:rsidR="00E11F3E">
          <w:rPr>
            <w:webHidden/>
          </w:rPr>
          <w:instrText xml:space="preserve"> PAGEREF _Toc162269278 \h </w:instrText>
        </w:r>
        <w:r w:rsidR="00E11F3E">
          <w:rPr>
            <w:webHidden/>
          </w:rPr>
        </w:r>
        <w:r w:rsidR="00E11F3E">
          <w:rPr>
            <w:webHidden/>
          </w:rPr>
          <w:fldChar w:fldCharType="separate"/>
        </w:r>
        <w:r w:rsidR="00E11F3E">
          <w:rPr>
            <w:webHidden/>
          </w:rPr>
          <w:t>127</w:t>
        </w:r>
        <w:r w:rsidR="00E11F3E">
          <w:rPr>
            <w:webHidden/>
          </w:rPr>
          <w:fldChar w:fldCharType="end"/>
        </w:r>
      </w:hyperlink>
    </w:p>
    <w:p w14:paraId="0D322D8F" w14:textId="178F9F13" w:rsidR="00E11F3E" w:rsidRDefault="00207CA3">
      <w:pPr>
        <w:pStyle w:val="Obsah1"/>
        <w:rPr>
          <w:rFonts w:eastAsiaTheme="minorEastAsia"/>
          <w:b w:val="0"/>
          <w:lang w:eastAsia="cs-CZ"/>
        </w:rPr>
      </w:pPr>
      <w:hyperlink w:anchor="_Toc162269279" w:history="1">
        <w:r w:rsidR="00E11F3E" w:rsidRPr="005021E4">
          <w:rPr>
            <w:rStyle w:val="Hypertextovodkaz"/>
          </w:rPr>
          <w:t>5</w:t>
        </w:r>
        <w:r w:rsidR="00E11F3E">
          <w:rPr>
            <w:rFonts w:eastAsiaTheme="minorEastAsia"/>
            <w:b w:val="0"/>
            <w:lang w:eastAsia="cs-CZ"/>
          </w:rPr>
          <w:tab/>
        </w:r>
        <w:r w:rsidR="00E11F3E" w:rsidRPr="005021E4">
          <w:rPr>
            <w:rStyle w:val="Hypertextovodkaz"/>
          </w:rPr>
          <w:t>NÁROKY Z NESPOTŘEBOVANÝCH VÝDAJŮ OSS</w:t>
        </w:r>
        <w:r w:rsidR="00E11F3E">
          <w:rPr>
            <w:webHidden/>
          </w:rPr>
          <w:tab/>
        </w:r>
        <w:r w:rsidR="00E11F3E">
          <w:rPr>
            <w:webHidden/>
          </w:rPr>
          <w:fldChar w:fldCharType="begin"/>
        </w:r>
        <w:r w:rsidR="00E11F3E">
          <w:rPr>
            <w:webHidden/>
          </w:rPr>
          <w:instrText xml:space="preserve"> PAGEREF _Toc162269279 \h </w:instrText>
        </w:r>
        <w:r w:rsidR="00E11F3E">
          <w:rPr>
            <w:webHidden/>
          </w:rPr>
        </w:r>
        <w:r w:rsidR="00E11F3E">
          <w:rPr>
            <w:webHidden/>
          </w:rPr>
          <w:fldChar w:fldCharType="separate"/>
        </w:r>
        <w:r w:rsidR="00E11F3E">
          <w:rPr>
            <w:webHidden/>
          </w:rPr>
          <w:t>128</w:t>
        </w:r>
        <w:r w:rsidR="00E11F3E">
          <w:rPr>
            <w:webHidden/>
          </w:rPr>
          <w:fldChar w:fldCharType="end"/>
        </w:r>
      </w:hyperlink>
    </w:p>
    <w:p w14:paraId="590A79D3" w14:textId="2DABB82B" w:rsidR="00E11F3E" w:rsidRDefault="00207CA3">
      <w:pPr>
        <w:pStyle w:val="Obsah1"/>
        <w:rPr>
          <w:rFonts w:eastAsiaTheme="minorEastAsia"/>
          <w:b w:val="0"/>
          <w:lang w:eastAsia="cs-CZ"/>
        </w:rPr>
      </w:pPr>
      <w:hyperlink w:anchor="_Toc162269280" w:history="1">
        <w:r w:rsidR="00E11F3E" w:rsidRPr="005021E4">
          <w:rPr>
            <w:rStyle w:val="Hypertextovodkaz"/>
          </w:rPr>
          <w:t>6</w:t>
        </w:r>
        <w:r w:rsidR="00E11F3E">
          <w:rPr>
            <w:rFonts w:eastAsiaTheme="minorEastAsia"/>
            <w:b w:val="0"/>
            <w:lang w:eastAsia="cs-CZ"/>
          </w:rPr>
          <w:tab/>
        </w:r>
        <w:r w:rsidR="00E11F3E" w:rsidRPr="005021E4">
          <w:rPr>
            <w:rStyle w:val="Hypertextovodkaz"/>
          </w:rPr>
          <w:t>DALŠÍ SPECIFICKÉ OKRUHY</w:t>
        </w:r>
        <w:r w:rsidR="00E11F3E">
          <w:rPr>
            <w:webHidden/>
          </w:rPr>
          <w:tab/>
        </w:r>
        <w:r w:rsidR="00E11F3E">
          <w:rPr>
            <w:webHidden/>
          </w:rPr>
          <w:fldChar w:fldCharType="begin"/>
        </w:r>
        <w:r w:rsidR="00E11F3E">
          <w:rPr>
            <w:webHidden/>
          </w:rPr>
          <w:instrText xml:space="preserve"> PAGEREF _Toc162269280 \h </w:instrText>
        </w:r>
        <w:r w:rsidR="00E11F3E">
          <w:rPr>
            <w:webHidden/>
          </w:rPr>
        </w:r>
        <w:r w:rsidR="00E11F3E">
          <w:rPr>
            <w:webHidden/>
          </w:rPr>
          <w:fldChar w:fldCharType="separate"/>
        </w:r>
        <w:r w:rsidR="00E11F3E">
          <w:rPr>
            <w:webHidden/>
          </w:rPr>
          <w:t>135</w:t>
        </w:r>
        <w:r w:rsidR="00E11F3E">
          <w:rPr>
            <w:webHidden/>
          </w:rPr>
          <w:fldChar w:fldCharType="end"/>
        </w:r>
      </w:hyperlink>
    </w:p>
    <w:p w14:paraId="01F07A4F" w14:textId="605176FC" w:rsidR="00E11F3E" w:rsidRDefault="00207CA3">
      <w:pPr>
        <w:pStyle w:val="Obsah2"/>
        <w:rPr>
          <w:rFonts w:eastAsiaTheme="minorEastAsia"/>
          <w:noProof/>
          <w:lang w:eastAsia="cs-CZ"/>
        </w:rPr>
      </w:pPr>
      <w:hyperlink w:anchor="_Toc162269281" w:history="1">
        <w:r w:rsidR="00E11F3E" w:rsidRPr="005021E4">
          <w:rPr>
            <w:rStyle w:val="Hypertextovodkaz"/>
            <w:noProof/>
          </w:rPr>
          <w:t>6.1.</w:t>
        </w:r>
        <w:r w:rsidR="00E11F3E">
          <w:rPr>
            <w:rFonts w:eastAsiaTheme="minorEastAsia"/>
            <w:noProof/>
            <w:lang w:eastAsia="cs-CZ"/>
          </w:rPr>
          <w:tab/>
        </w:r>
        <w:r w:rsidR="00E11F3E" w:rsidRPr="005021E4">
          <w:rPr>
            <w:rStyle w:val="Hypertextovodkaz"/>
            <w:noProof/>
          </w:rPr>
          <w:t>Zahraniční pracovní cesty</w:t>
        </w:r>
        <w:r w:rsidR="00E11F3E">
          <w:rPr>
            <w:noProof/>
            <w:webHidden/>
          </w:rPr>
          <w:tab/>
        </w:r>
        <w:r w:rsidR="00E11F3E">
          <w:rPr>
            <w:noProof/>
            <w:webHidden/>
          </w:rPr>
          <w:fldChar w:fldCharType="begin"/>
        </w:r>
        <w:r w:rsidR="00E11F3E">
          <w:rPr>
            <w:noProof/>
            <w:webHidden/>
          </w:rPr>
          <w:instrText xml:space="preserve"> PAGEREF _Toc162269281 \h </w:instrText>
        </w:r>
        <w:r w:rsidR="00E11F3E">
          <w:rPr>
            <w:noProof/>
            <w:webHidden/>
          </w:rPr>
        </w:r>
        <w:r w:rsidR="00E11F3E">
          <w:rPr>
            <w:noProof/>
            <w:webHidden/>
          </w:rPr>
          <w:fldChar w:fldCharType="separate"/>
        </w:r>
        <w:r w:rsidR="00E11F3E">
          <w:rPr>
            <w:noProof/>
            <w:webHidden/>
          </w:rPr>
          <w:t>135</w:t>
        </w:r>
        <w:r w:rsidR="00E11F3E">
          <w:rPr>
            <w:noProof/>
            <w:webHidden/>
          </w:rPr>
          <w:fldChar w:fldCharType="end"/>
        </w:r>
      </w:hyperlink>
    </w:p>
    <w:p w14:paraId="0190D656" w14:textId="11DF1919" w:rsidR="00E11F3E" w:rsidRDefault="00207CA3">
      <w:pPr>
        <w:pStyle w:val="Obsah2"/>
        <w:rPr>
          <w:rFonts w:eastAsiaTheme="minorEastAsia"/>
          <w:noProof/>
          <w:lang w:eastAsia="cs-CZ"/>
        </w:rPr>
      </w:pPr>
      <w:hyperlink w:anchor="_Toc162269282" w:history="1">
        <w:r w:rsidR="00E11F3E" w:rsidRPr="005021E4">
          <w:rPr>
            <w:rStyle w:val="Hypertextovodkaz"/>
            <w:noProof/>
          </w:rPr>
          <w:t>6.2.</w:t>
        </w:r>
        <w:r w:rsidR="00E11F3E">
          <w:rPr>
            <w:rFonts w:eastAsiaTheme="minorEastAsia"/>
            <w:noProof/>
            <w:lang w:eastAsia="cs-CZ"/>
          </w:rPr>
          <w:tab/>
        </w:r>
        <w:r w:rsidR="00E11F3E" w:rsidRPr="005021E4">
          <w:rPr>
            <w:rStyle w:val="Hypertextovodkaz"/>
            <w:noProof/>
          </w:rPr>
          <w:t>Zálohové platby</w:t>
        </w:r>
        <w:r w:rsidR="00E11F3E">
          <w:rPr>
            <w:noProof/>
            <w:webHidden/>
          </w:rPr>
          <w:tab/>
        </w:r>
        <w:r w:rsidR="00E11F3E">
          <w:rPr>
            <w:noProof/>
            <w:webHidden/>
          </w:rPr>
          <w:fldChar w:fldCharType="begin"/>
        </w:r>
        <w:r w:rsidR="00E11F3E">
          <w:rPr>
            <w:noProof/>
            <w:webHidden/>
          </w:rPr>
          <w:instrText xml:space="preserve"> PAGEREF _Toc162269282 \h </w:instrText>
        </w:r>
        <w:r w:rsidR="00E11F3E">
          <w:rPr>
            <w:noProof/>
            <w:webHidden/>
          </w:rPr>
        </w:r>
        <w:r w:rsidR="00E11F3E">
          <w:rPr>
            <w:noProof/>
            <w:webHidden/>
          </w:rPr>
          <w:fldChar w:fldCharType="separate"/>
        </w:r>
        <w:r w:rsidR="00E11F3E">
          <w:rPr>
            <w:noProof/>
            <w:webHidden/>
          </w:rPr>
          <w:t>136</w:t>
        </w:r>
        <w:r w:rsidR="00E11F3E">
          <w:rPr>
            <w:noProof/>
            <w:webHidden/>
          </w:rPr>
          <w:fldChar w:fldCharType="end"/>
        </w:r>
      </w:hyperlink>
    </w:p>
    <w:p w14:paraId="2C7B461C" w14:textId="43752336" w:rsidR="00E11F3E" w:rsidRDefault="00207CA3">
      <w:pPr>
        <w:pStyle w:val="Obsah2"/>
        <w:rPr>
          <w:rFonts w:eastAsiaTheme="minorEastAsia"/>
          <w:noProof/>
          <w:lang w:eastAsia="cs-CZ"/>
        </w:rPr>
      </w:pPr>
      <w:hyperlink w:anchor="_Toc162269283" w:history="1">
        <w:r w:rsidR="00E11F3E" w:rsidRPr="005021E4">
          <w:rPr>
            <w:rStyle w:val="Hypertextovodkaz"/>
            <w:noProof/>
          </w:rPr>
          <w:t>6.3.</w:t>
        </w:r>
        <w:r w:rsidR="00E11F3E">
          <w:rPr>
            <w:rFonts w:eastAsiaTheme="minorEastAsia"/>
            <w:noProof/>
            <w:lang w:eastAsia="cs-CZ"/>
          </w:rPr>
          <w:tab/>
        </w:r>
        <w:r w:rsidR="00E11F3E" w:rsidRPr="005021E4">
          <w:rPr>
            <w:rStyle w:val="Hypertextovodkaz"/>
            <w:noProof/>
          </w:rPr>
          <w:t>Mimořádné příjmy a výdaje</w:t>
        </w:r>
        <w:r w:rsidR="00E11F3E">
          <w:rPr>
            <w:noProof/>
            <w:webHidden/>
          </w:rPr>
          <w:tab/>
        </w:r>
        <w:r w:rsidR="00E11F3E">
          <w:rPr>
            <w:noProof/>
            <w:webHidden/>
          </w:rPr>
          <w:fldChar w:fldCharType="begin"/>
        </w:r>
        <w:r w:rsidR="00E11F3E">
          <w:rPr>
            <w:noProof/>
            <w:webHidden/>
          </w:rPr>
          <w:instrText xml:space="preserve"> PAGEREF _Toc162269283 \h </w:instrText>
        </w:r>
        <w:r w:rsidR="00E11F3E">
          <w:rPr>
            <w:noProof/>
            <w:webHidden/>
          </w:rPr>
        </w:r>
        <w:r w:rsidR="00E11F3E">
          <w:rPr>
            <w:noProof/>
            <w:webHidden/>
          </w:rPr>
          <w:fldChar w:fldCharType="separate"/>
        </w:r>
        <w:r w:rsidR="00E11F3E">
          <w:rPr>
            <w:noProof/>
            <w:webHidden/>
          </w:rPr>
          <w:t>137</w:t>
        </w:r>
        <w:r w:rsidR="00E11F3E">
          <w:rPr>
            <w:noProof/>
            <w:webHidden/>
          </w:rPr>
          <w:fldChar w:fldCharType="end"/>
        </w:r>
      </w:hyperlink>
    </w:p>
    <w:p w14:paraId="103D78BC" w14:textId="70686C46" w:rsidR="00E11F3E" w:rsidRDefault="00207CA3">
      <w:pPr>
        <w:pStyle w:val="Obsah3"/>
        <w:rPr>
          <w:rFonts w:eastAsiaTheme="minorEastAsia"/>
          <w:noProof/>
          <w:lang w:eastAsia="cs-CZ"/>
        </w:rPr>
      </w:pPr>
      <w:hyperlink w:anchor="_Toc162269284" w:history="1">
        <w:r w:rsidR="00E11F3E" w:rsidRPr="005021E4">
          <w:rPr>
            <w:rStyle w:val="Hypertextovodkaz"/>
            <w:noProof/>
          </w:rPr>
          <w:t>6.3.1.</w:t>
        </w:r>
        <w:r w:rsidR="00E11F3E">
          <w:rPr>
            <w:rFonts w:eastAsiaTheme="minorEastAsia"/>
            <w:noProof/>
            <w:lang w:eastAsia="cs-CZ"/>
          </w:rPr>
          <w:tab/>
        </w:r>
        <w:r w:rsidR="00E11F3E" w:rsidRPr="005021E4">
          <w:rPr>
            <w:rStyle w:val="Hypertextovodkaz"/>
            <w:noProof/>
          </w:rPr>
          <w:t>Mimořádné příjmy</w:t>
        </w:r>
        <w:r w:rsidR="00E11F3E">
          <w:rPr>
            <w:noProof/>
            <w:webHidden/>
          </w:rPr>
          <w:tab/>
        </w:r>
        <w:r w:rsidR="00E11F3E">
          <w:rPr>
            <w:noProof/>
            <w:webHidden/>
          </w:rPr>
          <w:fldChar w:fldCharType="begin"/>
        </w:r>
        <w:r w:rsidR="00E11F3E">
          <w:rPr>
            <w:noProof/>
            <w:webHidden/>
          </w:rPr>
          <w:instrText xml:space="preserve"> PAGEREF _Toc162269284 \h </w:instrText>
        </w:r>
        <w:r w:rsidR="00E11F3E">
          <w:rPr>
            <w:noProof/>
            <w:webHidden/>
          </w:rPr>
        </w:r>
        <w:r w:rsidR="00E11F3E">
          <w:rPr>
            <w:noProof/>
            <w:webHidden/>
          </w:rPr>
          <w:fldChar w:fldCharType="separate"/>
        </w:r>
        <w:r w:rsidR="00E11F3E">
          <w:rPr>
            <w:noProof/>
            <w:webHidden/>
          </w:rPr>
          <w:t>137</w:t>
        </w:r>
        <w:r w:rsidR="00E11F3E">
          <w:rPr>
            <w:noProof/>
            <w:webHidden/>
          </w:rPr>
          <w:fldChar w:fldCharType="end"/>
        </w:r>
      </w:hyperlink>
    </w:p>
    <w:p w14:paraId="214D7F74" w14:textId="5FAAB02D" w:rsidR="00E11F3E" w:rsidRDefault="00207CA3">
      <w:pPr>
        <w:pStyle w:val="Obsah3"/>
        <w:rPr>
          <w:rFonts w:eastAsiaTheme="minorEastAsia"/>
          <w:noProof/>
          <w:lang w:eastAsia="cs-CZ"/>
        </w:rPr>
      </w:pPr>
      <w:hyperlink w:anchor="_Toc162269285" w:history="1">
        <w:r w:rsidR="00E11F3E" w:rsidRPr="005021E4">
          <w:rPr>
            <w:rStyle w:val="Hypertextovodkaz"/>
            <w:noProof/>
          </w:rPr>
          <w:t>6.3.2.</w:t>
        </w:r>
        <w:r w:rsidR="00E11F3E">
          <w:rPr>
            <w:rFonts w:eastAsiaTheme="minorEastAsia"/>
            <w:noProof/>
            <w:lang w:eastAsia="cs-CZ"/>
          </w:rPr>
          <w:tab/>
        </w:r>
        <w:r w:rsidR="00E11F3E" w:rsidRPr="005021E4">
          <w:rPr>
            <w:rStyle w:val="Hypertextovodkaz"/>
            <w:noProof/>
          </w:rPr>
          <w:t>Mimořádné výdaje</w:t>
        </w:r>
        <w:r w:rsidR="00E11F3E">
          <w:rPr>
            <w:noProof/>
            <w:webHidden/>
          </w:rPr>
          <w:tab/>
        </w:r>
        <w:r w:rsidR="00E11F3E">
          <w:rPr>
            <w:noProof/>
            <w:webHidden/>
          </w:rPr>
          <w:fldChar w:fldCharType="begin"/>
        </w:r>
        <w:r w:rsidR="00E11F3E">
          <w:rPr>
            <w:noProof/>
            <w:webHidden/>
          </w:rPr>
          <w:instrText xml:space="preserve"> PAGEREF _Toc162269285 \h </w:instrText>
        </w:r>
        <w:r w:rsidR="00E11F3E">
          <w:rPr>
            <w:noProof/>
            <w:webHidden/>
          </w:rPr>
        </w:r>
        <w:r w:rsidR="00E11F3E">
          <w:rPr>
            <w:noProof/>
            <w:webHidden/>
          </w:rPr>
          <w:fldChar w:fldCharType="separate"/>
        </w:r>
        <w:r w:rsidR="00E11F3E">
          <w:rPr>
            <w:noProof/>
            <w:webHidden/>
          </w:rPr>
          <w:t>137</w:t>
        </w:r>
        <w:r w:rsidR="00E11F3E">
          <w:rPr>
            <w:noProof/>
            <w:webHidden/>
          </w:rPr>
          <w:fldChar w:fldCharType="end"/>
        </w:r>
      </w:hyperlink>
    </w:p>
    <w:p w14:paraId="351F5B59" w14:textId="6B88D61C" w:rsidR="00E11F3E" w:rsidRDefault="00207CA3">
      <w:pPr>
        <w:pStyle w:val="Obsah2"/>
        <w:rPr>
          <w:rFonts w:eastAsiaTheme="minorEastAsia"/>
          <w:noProof/>
          <w:lang w:eastAsia="cs-CZ"/>
        </w:rPr>
      </w:pPr>
      <w:hyperlink w:anchor="_Toc162269286" w:history="1">
        <w:r w:rsidR="00E11F3E" w:rsidRPr="005021E4">
          <w:rPr>
            <w:rStyle w:val="Hypertextovodkaz"/>
            <w:noProof/>
          </w:rPr>
          <w:t>6.4.</w:t>
        </w:r>
        <w:r w:rsidR="00E11F3E">
          <w:rPr>
            <w:rFonts w:eastAsiaTheme="minorEastAsia"/>
            <w:noProof/>
            <w:lang w:eastAsia="cs-CZ"/>
          </w:rPr>
          <w:tab/>
        </w:r>
        <w:r w:rsidR="00E11F3E" w:rsidRPr="005021E4">
          <w:rPr>
            <w:rStyle w:val="Hypertextovodkaz"/>
            <w:noProof/>
          </w:rPr>
          <w:t>Likvidace státních podniků</w:t>
        </w:r>
        <w:r w:rsidR="00E11F3E">
          <w:rPr>
            <w:noProof/>
            <w:webHidden/>
          </w:rPr>
          <w:tab/>
        </w:r>
        <w:r w:rsidR="00E11F3E">
          <w:rPr>
            <w:noProof/>
            <w:webHidden/>
          </w:rPr>
          <w:fldChar w:fldCharType="begin"/>
        </w:r>
        <w:r w:rsidR="00E11F3E">
          <w:rPr>
            <w:noProof/>
            <w:webHidden/>
          </w:rPr>
          <w:instrText xml:space="preserve"> PAGEREF _Toc162269286 \h </w:instrText>
        </w:r>
        <w:r w:rsidR="00E11F3E">
          <w:rPr>
            <w:noProof/>
            <w:webHidden/>
          </w:rPr>
        </w:r>
        <w:r w:rsidR="00E11F3E">
          <w:rPr>
            <w:noProof/>
            <w:webHidden/>
          </w:rPr>
          <w:fldChar w:fldCharType="separate"/>
        </w:r>
        <w:r w:rsidR="00E11F3E">
          <w:rPr>
            <w:noProof/>
            <w:webHidden/>
          </w:rPr>
          <w:t>137</w:t>
        </w:r>
        <w:r w:rsidR="00E11F3E">
          <w:rPr>
            <w:noProof/>
            <w:webHidden/>
          </w:rPr>
          <w:fldChar w:fldCharType="end"/>
        </w:r>
      </w:hyperlink>
    </w:p>
    <w:p w14:paraId="0F002B22" w14:textId="1B380618" w:rsidR="00E11F3E" w:rsidRDefault="00207CA3">
      <w:pPr>
        <w:pStyle w:val="Obsah2"/>
        <w:rPr>
          <w:rFonts w:eastAsiaTheme="minorEastAsia"/>
          <w:noProof/>
          <w:lang w:eastAsia="cs-CZ"/>
        </w:rPr>
      </w:pPr>
      <w:hyperlink w:anchor="_Toc162269287" w:history="1">
        <w:r w:rsidR="00E11F3E" w:rsidRPr="005021E4">
          <w:rPr>
            <w:rStyle w:val="Hypertextovodkaz"/>
            <w:noProof/>
          </w:rPr>
          <w:t>6.5.</w:t>
        </w:r>
        <w:r w:rsidR="00E11F3E">
          <w:rPr>
            <w:rFonts w:eastAsiaTheme="minorEastAsia"/>
            <w:noProof/>
            <w:lang w:eastAsia="cs-CZ"/>
          </w:rPr>
          <w:tab/>
        </w:r>
        <w:r w:rsidR="00E11F3E" w:rsidRPr="005021E4">
          <w:rPr>
            <w:rStyle w:val="Hypertextovodkaz"/>
            <w:noProof/>
          </w:rPr>
          <w:t>Výdaje vyplývající z veřejných zakázek o předpokládané hodnotě nejméně 300 mil. Kč</w:t>
        </w:r>
        <w:r w:rsidR="00E11F3E">
          <w:rPr>
            <w:noProof/>
            <w:webHidden/>
          </w:rPr>
          <w:tab/>
        </w:r>
        <w:r w:rsidR="00E11F3E">
          <w:rPr>
            <w:noProof/>
            <w:webHidden/>
          </w:rPr>
          <w:fldChar w:fldCharType="begin"/>
        </w:r>
        <w:r w:rsidR="00E11F3E">
          <w:rPr>
            <w:noProof/>
            <w:webHidden/>
          </w:rPr>
          <w:instrText xml:space="preserve"> PAGEREF _Toc162269287 \h </w:instrText>
        </w:r>
        <w:r w:rsidR="00E11F3E">
          <w:rPr>
            <w:noProof/>
            <w:webHidden/>
          </w:rPr>
        </w:r>
        <w:r w:rsidR="00E11F3E">
          <w:rPr>
            <w:noProof/>
            <w:webHidden/>
          </w:rPr>
          <w:fldChar w:fldCharType="separate"/>
        </w:r>
        <w:r w:rsidR="00E11F3E">
          <w:rPr>
            <w:noProof/>
            <w:webHidden/>
          </w:rPr>
          <w:t>138</w:t>
        </w:r>
        <w:r w:rsidR="00E11F3E">
          <w:rPr>
            <w:noProof/>
            <w:webHidden/>
          </w:rPr>
          <w:fldChar w:fldCharType="end"/>
        </w:r>
      </w:hyperlink>
    </w:p>
    <w:p w14:paraId="14835F41" w14:textId="485C9635" w:rsidR="00E11F3E" w:rsidRDefault="00207CA3">
      <w:pPr>
        <w:pStyle w:val="Obsah2"/>
        <w:rPr>
          <w:rFonts w:eastAsiaTheme="minorEastAsia"/>
          <w:noProof/>
          <w:lang w:eastAsia="cs-CZ"/>
        </w:rPr>
      </w:pPr>
      <w:hyperlink w:anchor="_Toc162269288" w:history="1">
        <w:r w:rsidR="00E11F3E" w:rsidRPr="005021E4">
          <w:rPr>
            <w:rStyle w:val="Hypertextovodkaz"/>
            <w:noProof/>
          </w:rPr>
          <w:t>6.6.</w:t>
        </w:r>
        <w:r w:rsidR="00E11F3E">
          <w:rPr>
            <w:rFonts w:eastAsiaTheme="minorEastAsia"/>
            <w:noProof/>
            <w:lang w:eastAsia="cs-CZ"/>
          </w:rPr>
          <w:tab/>
        </w:r>
        <w:r w:rsidR="00E11F3E" w:rsidRPr="005021E4">
          <w:rPr>
            <w:rStyle w:val="Hypertextovodkaz"/>
            <w:noProof/>
          </w:rPr>
          <w:t>Bezúplatné převody majetku</w:t>
        </w:r>
        <w:r w:rsidR="00E11F3E">
          <w:rPr>
            <w:noProof/>
            <w:webHidden/>
          </w:rPr>
          <w:tab/>
        </w:r>
        <w:r w:rsidR="00E11F3E">
          <w:rPr>
            <w:noProof/>
            <w:webHidden/>
          </w:rPr>
          <w:fldChar w:fldCharType="begin"/>
        </w:r>
        <w:r w:rsidR="00E11F3E">
          <w:rPr>
            <w:noProof/>
            <w:webHidden/>
          </w:rPr>
          <w:instrText xml:space="preserve"> PAGEREF _Toc162269288 \h </w:instrText>
        </w:r>
        <w:r w:rsidR="00E11F3E">
          <w:rPr>
            <w:noProof/>
            <w:webHidden/>
          </w:rPr>
        </w:r>
        <w:r w:rsidR="00E11F3E">
          <w:rPr>
            <w:noProof/>
            <w:webHidden/>
          </w:rPr>
          <w:fldChar w:fldCharType="separate"/>
        </w:r>
        <w:r w:rsidR="00E11F3E">
          <w:rPr>
            <w:noProof/>
            <w:webHidden/>
          </w:rPr>
          <w:t>140</w:t>
        </w:r>
        <w:r w:rsidR="00E11F3E">
          <w:rPr>
            <w:noProof/>
            <w:webHidden/>
          </w:rPr>
          <w:fldChar w:fldCharType="end"/>
        </w:r>
      </w:hyperlink>
    </w:p>
    <w:p w14:paraId="0EE9FCAC" w14:textId="63E720AE" w:rsidR="00E11F3E" w:rsidRDefault="00207CA3">
      <w:pPr>
        <w:pStyle w:val="Obsah2"/>
        <w:rPr>
          <w:rFonts w:eastAsiaTheme="minorEastAsia"/>
          <w:noProof/>
          <w:lang w:eastAsia="cs-CZ"/>
        </w:rPr>
      </w:pPr>
      <w:hyperlink w:anchor="_Toc162269289" w:history="1">
        <w:r w:rsidR="00E11F3E" w:rsidRPr="005021E4">
          <w:rPr>
            <w:rStyle w:val="Hypertextovodkaz"/>
            <w:noProof/>
          </w:rPr>
          <w:t>6.7.</w:t>
        </w:r>
        <w:r w:rsidR="00E11F3E">
          <w:rPr>
            <w:rFonts w:eastAsiaTheme="minorEastAsia"/>
            <w:noProof/>
            <w:lang w:eastAsia="cs-CZ"/>
          </w:rPr>
          <w:tab/>
        </w:r>
        <w:r w:rsidR="00E11F3E" w:rsidRPr="005021E4">
          <w:rPr>
            <w:rStyle w:val="Hypertextovodkaz"/>
            <w:noProof/>
          </w:rPr>
          <w:t>Majetkové účasti státu v tuzemských společnostech</w:t>
        </w:r>
        <w:r w:rsidR="00E11F3E">
          <w:rPr>
            <w:noProof/>
            <w:webHidden/>
          </w:rPr>
          <w:tab/>
        </w:r>
        <w:r w:rsidR="00E11F3E">
          <w:rPr>
            <w:noProof/>
            <w:webHidden/>
          </w:rPr>
          <w:fldChar w:fldCharType="begin"/>
        </w:r>
        <w:r w:rsidR="00E11F3E">
          <w:rPr>
            <w:noProof/>
            <w:webHidden/>
          </w:rPr>
          <w:instrText xml:space="preserve"> PAGEREF _Toc162269289 \h </w:instrText>
        </w:r>
        <w:r w:rsidR="00E11F3E">
          <w:rPr>
            <w:noProof/>
            <w:webHidden/>
          </w:rPr>
        </w:r>
        <w:r w:rsidR="00E11F3E">
          <w:rPr>
            <w:noProof/>
            <w:webHidden/>
          </w:rPr>
          <w:fldChar w:fldCharType="separate"/>
        </w:r>
        <w:r w:rsidR="00E11F3E">
          <w:rPr>
            <w:noProof/>
            <w:webHidden/>
          </w:rPr>
          <w:t>140</w:t>
        </w:r>
        <w:r w:rsidR="00E11F3E">
          <w:rPr>
            <w:noProof/>
            <w:webHidden/>
          </w:rPr>
          <w:fldChar w:fldCharType="end"/>
        </w:r>
      </w:hyperlink>
    </w:p>
    <w:p w14:paraId="418F0938" w14:textId="092D0F0A" w:rsidR="00E11F3E" w:rsidRDefault="00207CA3">
      <w:pPr>
        <w:pStyle w:val="Obsah2"/>
        <w:rPr>
          <w:rFonts w:eastAsiaTheme="minorEastAsia"/>
          <w:noProof/>
          <w:lang w:eastAsia="cs-CZ"/>
        </w:rPr>
      </w:pPr>
      <w:hyperlink w:anchor="_Toc162269290" w:history="1">
        <w:r w:rsidR="00E11F3E" w:rsidRPr="005021E4">
          <w:rPr>
            <w:rStyle w:val="Hypertextovodkaz"/>
            <w:noProof/>
          </w:rPr>
          <w:t>6.8.</w:t>
        </w:r>
        <w:r w:rsidR="00E11F3E">
          <w:rPr>
            <w:rFonts w:eastAsiaTheme="minorEastAsia"/>
            <w:noProof/>
            <w:lang w:eastAsia="cs-CZ"/>
          </w:rPr>
          <w:tab/>
        </w:r>
        <w:r w:rsidR="00E11F3E" w:rsidRPr="005021E4">
          <w:rPr>
            <w:rStyle w:val="Hypertextovodkaz"/>
            <w:noProof/>
          </w:rPr>
          <w:t>Půjčené peněžní prostředky</w:t>
        </w:r>
        <w:r w:rsidR="00E11F3E">
          <w:rPr>
            <w:noProof/>
            <w:webHidden/>
          </w:rPr>
          <w:tab/>
        </w:r>
        <w:r w:rsidR="00E11F3E">
          <w:rPr>
            <w:noProof/>
            <w:webHidden/>
          </w:rPr>
          <w:fldChar w:fldCharType="begin"/>
        </w:r>
        <w:r w:rsidR="00E11F3E">
          <w:rPr>
            <w:noProof/>
            <w:webHidden/>
          </w:rPr>
          <w:instrText xml:space="preserve"> PAGEREF _Toc162269290 \h </w:instrText>
        </w:r>
        <w:r w:rsidR="00E11F3E">
          <w:rPr>
            <w:noProof/>
            <w:webHidden/>
          </w:rPr>
        </w:r>
        <w:r w:rsidR="00E11F3E">
          <w:rPr>
            <w:noProof/>
            <w:webHidden/>
          </w:rPr>
          <w:fldChar w:fldCharType="separate"/>
        </w:r>
        <w:r w:rsidR="00E11F3E">
          <w:rPr>
            <w:noProof/>
            <w:webHidden/>
          </w:rPr>
          <w:t>140</w:t>
        </w:r>
        <w:r w:rsidR="00E11F3E">
          <w:rPr>
            <w:noProof/>
            <w:webHidden/>
          </w:rPr>
          <w:fldChar w:fldCharType="end"/>
        </w:r>
      </w:hyperlink>
    </w:p>
    <w:p w14:paraId="27618A6A" w14:textId="2AE16FE1" w:rsidR="00E11F3E" w:rsidRDefault="00207CA3">
      <w:pPr>
        <w:pStyle w:val="Obsah1"/>
        <w:rPr>
          <w:rFonts w:eastAsiaTheme="minorEastAsia"/>
          <w:b w:val="0"/>
          <w:lang w:eastAsia="cs-CZ"/>
        </w:rPr>
      </w:pPr>
      <w:hyperlink w:anchor="_Toc162269291" w:history="1">
        <w:r w:rsidR="00E11F3E" w:rsidRPr="005021E4">
          <w:rPr>
            <w:rStyle w:val="Hypertextovodkaz"/>
          </w:rPr>
          <w:t>7</w:t>
        </w:r>
        <w:r w:rsidR="00E11F3E">
          <w:rPr>
            <w:rFonts w:eastAsiaTheme="minorEastAsia"/>
            <w:b w:val="0"/>
            <w:lang w:eastAsia="cs-CZ"/>
          </w:rPr>
          <w:tab/>
        </w:r>
        <w:r w:rsidR="00E11F3E" w:rsidRPr="005021E4">
          <w:rPr>
            <w:rStyle w:val="Hypertextovodkaz"/>
          </w:rPr>
          <w:t>VÝSLEDKY AUDITŮ A KONTROL</w:t>
        </w:r>
        <w:r w:rsidR="00E11F3E">
          <w:rPr>
            <w:webHidden/>
          </w:rPr>
          <w:tab/>
        </w:r>
        <w:r w:rsidR="00E11F3E">
          <w:rPr>
            <w:webHidden/>
          </w:rPr>
          <w:fldChar w:fldCharType="begin"/>
        </w:r>
        <w:r w:rsidR="00E11F3E">
          <w:rPr>
            <w:webHidden/>
          </w:rPr>
          <w:instrText xml:space="preserve"> PAGEREF _Toc162269291 \h </w:instrText>
        </w:r>
        <w:r w:rsidR="00E11F3E">
          <w:rPr>
            <w:webHidden/>
          </w:rPr>
        </w:r>
        <w:r w:rsidR="00E11F3E">
          <w:rPr>
            <w:webHidden/>
          </w:rPr>
          <w:fldChar w:fldCharType="separate"/>
        </w:r>
        <w:r w:rsidR="00E11F3E">
          <w:rPr>
            <w:webHidden/>
          </w:rPr>
          <w:t>141</w:t>
        </w:r>
        <w:r w:rsidR="00E11F3E">
          <w:rPr>
            <w:webHidden/>
          </w:rPr>
          <w:fldChar w:fldCharType="end"/>
        </w:r>
      </w:hyperlink>
    </w:p>
    <w:p w14:paraId="6407D73A" w14:textId="177DE3BA" w:rsidR="00E11F3E" w:rsidRDefault="00207CA3">
      <w:pPr>
        <w:pStyle w:val="Obsah2"/>
        <w:rPr>
          <w:rFonts w:eastAsiaTheme="minorEastAsia"/>
          <w:noProof/>
          <w:lang w:eastAsia="cs-CZ"/>
        </w:rPr>
      </w:pPr>
      <w:hyperlink w:anchor="_Toc162269292" w:history="1">
        <w:r w:rsidR="00E11F3E" w:rsidRPr="005021E4">
          <w:rPr>
            <w:rStyle w:val="Hypertextovodkaz"/>
            <w:noProof/>
          </w:rPr>
          <w:t>7.1.</w:t>
        </w:r>
        <w:r w:rsidR="00E11F3E">
          <w:rPr>
            <w:rFonts w:eastAsiaTheme="minorEastAsia"/>
            <w:noProof/>
            <w:lang w:eastAsia="cs-CZ"/>
          </w:rPr>
          <w:tab/>
        </w:r>
        <w:r w:rsidR="00E11F3E" w:rsidRPr="005021E4">
          <w:rPr>
            <w:rStyle w:val="Hypertextovodkaz"/>
            <w:noProof/>
          </w:rPr>
          <w:t>Kontroly provedené Nejvyšším kontrolním úřadem</w:t>
        </w:r>
        <w:r w:rsidR="00E11F3E">
          <w:rPr>
            <w:noProof/>
            <w:webHidden/>
          </w:rPr>
          <w:tab/>
        </w:r>
        <w:r w:rsidR="00E11F3E">
          <w:rPr>
            <w:noProof/>
            <w:webHidden/>
          </w:rPr>
          <w:fldChar w:fldCharType="begin"/>
        </w:r>
        <w:r w:rsidR="00E11F3E">
          <w:rPr>
            <w:noProof/>
            <w:webHidden/>
          </w:rPr>
          <w:instrText xml:space="preserve"> PAGEREF _Toc162269292 \h </w:instrText>
        </w:r>
        <w:r w:rsidR="00E11F3E">
          <w:rPr>
            <w:noProof/>
            <w:webHidden/>
          </w:rPr>
        </w:r>
        <w:r w:rsidR="00E11F3E">
          <w:rPr>
            <w:noProof/>
            <w:webHidden/>
          </w:rPr>
          <w:fldChar w:fldCharType="separate"/>
        </w:r>
        <w:r w:rsidR="00E11F3E">
          <w:rPr>
            <w:noProof/>
            <w:webHidden/>
          </w:rPr>
          <w:t>141</w:t>
        </w:r>
        <w:r w:rsidR="00E11F3E">
          <w:rPr>
            <w:noProof/>
            <w:webHidden/>
          </w:rPr>
          <w:fldChar w:fldCharType="end"/>
        </w:r>
      </w:hyperlink>
    </w:p>
    <w:p w14:paraId="1BD8BA4B" w14:textId="4434B4F5" w:rsidR="00E11F3E" w:rsidRDefault="00207CA3">
      <w:pPr>
        <w:pStyle w:val="Obsah3"/>
        <w:rPr>
          <w:rFonts w:eastAsiaTheme="minorEastAsia"/>
          <w:noProof/>
          <w:lang w:eastAsia="cs-CZ"/>
        </w:rPr>
      </w:pPr>
      <w:hyperlink w:anchor="_Toc162269293" w:history="1">
        <w:r w:rsidR="00E11F3E" w:rsidRPr="005021E4">
          <w:rPr>
            <w:rStyle w:val="Hypertextovodkaz"/>
            <w:noProof/>
          </w:rPr>
          <w:t>7.1.1.</w:t>
        </w:r>
        <w:r w:rsidR="00E11F3E">
          <w:rPr>
            <w:rFonts w:eastAsiaTheme="minorEastAsia"/>
            <w:noProof/>
            <w:lang w:eastAsia="cs-CZ"/>
          </w:rPr>
          <w:tab/>
        </w:r>
        <w:r w:rsidR="00E11F3E" w:rsidRPr="005021E4">
          <w:rPr>
            <w:rStyle w:val="Hypertextovodkaz"/>
            <w:noProof/>
          </w:rPr>
          <w:t>Kontrolní akce NKÚ se schváleným kontrolním závěrem projednaným vládou ČR v roce 2023</w:t>
        </w:r>
        <w:r w:rsidR="00E11F3E">
          <w:rPr>
            <w:noProof/>
            <w:webHidden/>
          </w:rPr>
          <w:tab/>
        </w:r>
        <w:r w:rsidR="00E11F3E">
          <w:rPr>
            <w:noProof/>
            <w:webHidden/>
          </w:rPr>
          <w:fldChar w:fldCharType="begin"/>
        </w:r>
        <w:r w:rsidR="00E11F3E">
          <w:rPr>
            <w:noProof/>
            <w:webHidden/>
          </w:rPr>
          <w:instrText xml:space="preserve"> PAGEREF _Toc162269293 \h </w:instrText>
        </w:r>
        <w:r w:rsidR="00E11F3E">
          <w:rPr>
            <w:noProof/>
            <w:webHidden/>
          </w:rPr>
        </w:r>
        <w:r w:rsidR="00E11F3E">
          <w:rPr>
            <w:noProof/>
            <w:webHidden/>
          </w:rPr>
          <w:fldChar w:fldCharType="separate"/>
        </w:r>
        <w:r w:rsidR="00E11F3E">
          <w:rPr>
            <w:noProof/>
            <w:webHidden/>
          </w:rPr>
          <w:t>141</w:t>
        </w:r>
        <w:r w:rsidR="00E11F3E">
          <w:rPr>
            <w:noProof/>
            <w:webHidden/>
          </w:rPr>
          <w:fldChar w:fldCharType="end"/>
        </w:r>
      </w:hyperlink>
    </w:p>
    <w:p w14:paraId="646F8A23" w14:textId="13A8D63E" w:rsidR="00E11F3E" w:rsidRDefault="00207CA3">
      <w:pPr>
        <w:pStyle w:val="Obsah2"/>
        <w:rPr>
          <w:rFonts w:eastAsiaTheme="minorEastAsia"/>
          <w:noProof/>
          <w:lang w:eastAsia="cs-CZ"/>
        </w:rPr>
      </w:pPr>
      <w:hyperlink w:anchor="_Toc162269294" w:history="1">
        <w:r w:rsidR="00E11F3E" w:rsidRPr="005021E4">
          <w:rPr>
            <w:rStyle w:val="Hypertextovodkaz"/>
            <w:noProof/>
          </w:rPr>
          <w:t>7.2.</w:t>
        </w:r>
        <w:r w:rsidR="00E11F3E">
          <w:rPr>
            <w:rFonts w:eastAsiaTheme="minorEastAsia"/>
            <w:noProof/>
            <w:lang w:eastAsia="cs-CZ"/>
          </w:rPr>
          <w:tab/>
        </w:r>
        <w:r w:rsidR="00E11F3E" w:rsidRPr="005021E4">
          <w:rPr>
            <w:rStyle w:val="Hypertextovodkaz"/>
            <w:noProof/>
          </w:rPr>
          <w:t>Veřejnosprávní kontroly provedené MD</w:t>
        </w:r>
        <w:r w:rsidR="00E11F3E">
          <w:rPr>
            <w:noProof/>
            <w:webHidden/>
          </w:rPr>
          <w:tab/>
        </w:r>
        <w:r w:rsidR="00E11F3E">
          <w:rPr>
            <w:noProof/>
            <w:webHidden/>
          </w:rPr>
          <w:fldChar w:fldCharType="begin"/>
        </w:r>
        <w:r w:rsidR="00E11F3E">
          <w:rPr>
            <w:noProof/>
            <w:webHidden/>
          </w:rPr>
          <w:instrText xml:space="preserve"> PAGEREF _Toc162269294 \h </w:instrText>
        </w:r>
        <w:r w:rsidR="00E11F3E">
          <w:rPr>
            <w:noProof/>
            <w:webHidden/>
          </w:rPr>
        </w:r>
        <w:r w:rsidR="00E11F3E">
          <w:rPr>
            <w:noProof/>
            <w:webHidden/>
          </w:rPr>
          <w:fldChar w:fldCharType="separate"/>
        </w:r>
        <w:r w:rsidR="00E11F3E">
          <w:rPr>
            <w:noProof/>
            <w:webHidden/>
          </w:rPr>
          <w:t>147</w:t>
        </w:r>
        <w:r w:rsidR="00E11F3E">
          <w:rPr>
            <w:noProof/>
            <w:webHidden/>
          </w:rPr>
          <w:fldChar w:fldCharType="end"/>
        </w:r>
      </w:hyperlink>
    </w:p>
    <w:p w14:paraId="26135814" w14:textId="290CB7C5" w:rsidR="00E11F3E" w:rsidRDefault="00207CA3">
      <w:pPr>
        <w:pStyle w:val="Obsah2"/>
        <w:rPr>
          <w:rFonts w:eastAsiaTheme="minorEastAsia"/>
          <w:noProof/>
          <w:lang w:eastAsia="cs-CZ"/>
        </w:rPr>
      </w:pPr>
      <w:hyperlink w:anchor="_Toc162269295" w:history="1">
        <w:r w:rsidR="00E11F3E" w:rsidRPr="005021E4">
          <w:rPr>
            <w:rStyle w:val="Hypertextovodkaz"/>
            <w:noProof/>
          </w:rPr>
          <w:t>7.3.</w:t>
        </w:r>
        <w:r w:rsidR="00E11F3E">
          <w:rPr>
            <w:rFonts w:eastAsiaTheme="minorEastAsia"/>
            <w:noProof/>
            <w:lang w:eastAsia="cs-CZ"/>
          </w:rPr>
          <w:tab/>
        </w:r>
        <w:r w:rsidR="00E11F3E" w:rsidRPr="005021E4">
          <w:rPr>
            <w:rStyle w:val="Hypertextovodkaz"/>
            <w:noProof/>
          </w:rPr>
          <w:t>Interní audity</w:t>
        </w:r>
        <w:r w:rsidR="00E11F3E">
          <w:rPr>
            <w:noProof/>
            <w:webHidden/>
          </w:rPr>
          <w:tab/>
        </w:r>
        <w:r w:rsidR="00E11F3E">
          <w:rPr>
            <w:noProof/>
            <w:webHidden/>
          </w:rPr>
          <w:fldChar w:fldCharType="begin"/>
        </w:r>
        <w:r w:rsidR="00E11F3E">
          <w:rPr>
            <w:noProof/>
            <w:webHidden/>
          </w:rPr>
          <w:instrText xml:space="preserve"> PAGEREF _Toc162269295 \h </w:instrText>
        </w:r>
        <w:r w:rsidR="00E11F3E">
          <w:rPr>
            <w:noProof/>
            <w:webHidden/>
          </w:rPr>
        </w:r>
        <w:r w:rsidR="00E11F3E">
          <w:rPr>
            <w:noProof/>
            <w:webHidden/>
          </w:rPr>
          <w:fldChar w:fldCharType="separate"/>
        </w:r>
        <w:r w:rsidR="00E11F3E">
          <w:rPr>
            <w:noProof/>
            <w:webHidden/>
          </w:rPr>
          <w:t>150</w:t>
        </w:r>
        <w:r w:rsidR="00E11F3E">
          <w:rPr>
            <w:noProof/>
            <w:webHidden/>
          </w:rPr>
          <w:fldChar w:fldCharType="end"/>
        </w:r>
      </w:hyperlink>
    </w:p>
    <w:p w14:paraId="4F26B84E" w14:textId="6FE7A239" w:rsidR="00E11F3E" w:rsidRDefault="00207CA3">
      <w:pPr>
        <w:pStyle w:val="Obsah3"/>
        <w:rPr>
          <w:rFonts w:eastAsiaTheme="minorEastAsia"/>
          <w:noProof/>
          <w:lang w:eastAsia="cs-CZ"/>
        </w:rPr>
      </w:pPr>
      <w:hyperlink w:anchor="_Toc162269296" w:history="1">
        <w:r w:rsidR="00E11F3E" w:rsidRPr="005021E4">
          <w:rPr>
            <w:rStyle w:val="Hypertextovodkaz"/>
            <w:noProof/>
          </w:rPr>
          <w:t>7.3.1.</w:t>
        </w:r>
        <w:r w:rsidR="00E11F3E">
          <w:rPr>
            <w:rFonts w:eastAsiaTheme="minorEastAsia"/>
            <w:noProof/>
            <w:lang w:eastAsia="cs-CZ"/>
          </w:rPr>
          <w:tab/>
        </w:r>
        <w:r w:rsidR="00E11F3E" w:rsidRPr="005021E4">
          <w:rPr>
            <w:rStyle w:val="Hypertextovodkaz"/>
            <w:noProof/>
          </w:rPr>
          <w:t>Audit systému plánování, evidence a nakládání s dlouhodobým majetkem státu</w:t>
        </w:r>
        <w:r w:rsidR="00E11F3E">
          <w:rPr>
            <w:noProof/>
            <w:webHidden/>
          </w:rPr>
          <w:tab/>
        </w:r>
        <w:r w:rsidR="00E11F3E">
          <w:rPr>
            <w:noProof/>
            <w:webHidden/>
          </w:rPr>
          <w:fldChar w:fldCharType="begin"/>
        </w:r>
        <w:r w:rsidR="00E11F3E">
          <w:rPr>
            <w:noProof/>
            <w:webHidden/>
          </w:rPr>
          <w:instrText xml:space="preserve"> PAGEREF _Toc162269296 \h </w:instrText>
        </w:r>
        <w:r w:rsidR="00E11F3E">
          <w:rPr>
            <w:noProof/>
            <w:webHidden/>
          </w:rPr>
        </w:r>
        <w:r w:rsidR="00E11F3E">
          <w:rPr>
            <w:noProof/>
            <w:webHidden/>
          </w:rPr>
          <w:fldChar w:fldCharType="separate"/>
        </w:r>
        <w:r w:rsidR="00E11F3E">
          <w:rPr>
            <w:noProof/>
            <w:webHidden/>
          </w:rPr>
          <w:t>150</w:t>
        </w:r>
        <w:r w:rsidR="00E11F3E">
          <w:rPr>
            <w:noProof/>
            <w:webHidden/>
          </w:rPr>
          <w:fldChar w:fldCharType="end"/>
        </w:r>
      </w:hyperlink>
    </w:p>
    <w:p w14:paraId="1B79554A" w14:textId="3345605B" w:rsidR="00E11F3E" w:rsidRDefault="00207CA3">
      <w:pPr>
        <w:pStyle w:val="Obsah3"/>
        <w:rPr>
          <w:rFonts w:eastAsiaTheme="minorEastAsia"/>
          <w:noProof/>
          <w:lang w:eastAsia="cs-CZ"/>
        </w:rPr>
      </w:pPr>
      <w:hyperlink w:anchor="_Toc162269297" w:history="1">
        <w:r w:rsidR="00E11F3E" w:rsidRPr="005021E4">
          <w:rPr>
            <w:rStyle w:val="Hypertextovodkaz"/>
            <w:noProof/>
          </w:rPr>
          <w:t>7.3.2.</w:t>
        </w:r>
        <w:r w:rsidR="00E11F3E">
          <w:rPr>
            <w:rFonts w:eastAsiaTheme="minorEastAsia"/>
            <w:noProof/>
            <w:lang w:eastAsia="cs-CZ"/>
          </w:rPr>
          <w:tab/>
        </w:r>
        <w:r w:rsidR="00E11F3E" w:rsidRPr="005021E4">
          <w:rPr>
            <w:rStyle w:val="Hypertextovodkaz"/>
            <w:noProof/>
          </w:rPr>
          <w:t>Audit systému přípravy a schvalování dopravních staveb</w:t>
        </w:r>
        <w:r w:rsidR="00E11F3E">
          <w:rPr>
            <w:noProof/>
            <w:webHidden/>
          </w:rPr>
          <w:tab/>
        </w:r>
        <w:r w:rsidR="00E11F3E">
          <w:rPr>
            <w:noProof/>
            <w:webHidden/>
          </w:rPr>
          <w:fldChar w:fldCharType="begin"/>
        </w:r>
        <w:r w:rsidR="00E11F3E">
          <w:rPr>
            <w:noProof/>
            <w:webHidden/>
          </w:rPr>
          <w:instrText xml:space="preserve"> PAGEREF _Toc162269297 \h </w:instrText>
        </w:r>
        <w:r w:rsidR="00E11F3E">
          <w:rPr>
            <w:noProof/>
            <w:webHidden/>
          </w:rPr>
        </w:r>
        <w:r w:rsidR="00E11F3E">
          <w:rPr>
            <w:noProof/>
            <w:webHidden/>
          </w:rPr>
          <w:fldChar w:fldCharType="separate"/>
        </w:r>
        <w:r w:rsidR="00E11F3E">
          <w:rPr>
            <w:noProof/>
            <w:webHidden/>
          </w:rPr>
          <w:t>151</w:t>
        </w:r>
        <w:r w:rsidR="00E11F3E">
          <w:rPr>
            <w:noProof/>
            <w:webHidden/>
          </w:rPr>
          <w:fldChar w:fldCharType="end"/>
        </w:r>
      </w:hyperlink>
    </w:p>
    <w:p w14:paraId="18C9C044" w14:textId="78386B34" w:rsidR="00E11F3E" w:rsidRDefault="00207CA3">
      <w:pPr>
        <w:pStyle w:val="Obsah3"/>
        <w:rPr>
          <w:rFonts w:eastAsiaTheme="minorEastAsia"/>
          <w:noProof/>
          <w:lang w:eastAsia="cs-CZ"/>
        </w:rPr>
      </w:pPr>
      <w:hyperlink w:anchor="_Toc162269298" w:history="1">
        <w:r w:rsidR="00E11F3E" w:rsidRPr="005021E4">
          <w:rPr>
            <w:rStyle w:val="Hypertextovodkaz"/>
            <w:noProof/>
          </w:rPr>
          <w:t>7.3.3.</w:t>
        </w:r>
        <w:r w:rsidR="00E11F3E">
          <w:rPr>
            <w:rFonts w:eastAsiaTheme="minorEastAsia"/>
            <w:noProof/>
            <w:lang w:eastAsia="cs-CZ"/>
          </w:rPr>
          <w:tab/>
        </w:r>
        <w:r w:rsidR="00E11F3E" w:rsidRPr="005021E4">
          <w:rPr>
            <w:rStyle w:val="Hypertextovodkaz"/>
            <w:noProof/>
          </w:rPr>
          <w:t>Audit prostředků výpočetní techniky</w:t>
        </w:r>
        <w:r w:rsidR="00E11F3E">
          <w:rPr>
            <w:noProof/>
            <w:webHidden/>
          </w:rPr>
          <w:tab/>
        </w:r>
        <w:r w:rsidR="00E11F3E">
          <w:rPr>
            <w:noProof/>
            <w:webHidden/>
          </w:rPr>
          <w:fldChar w:fldCharType="begin"/>
        </w:r>
        <w:r w:rsidR="00E11F3E">
          <w:rPr>
            <w:noProof/>
            <w:webHidden/>
          </w:rPr>
          <w:instrText xml:space="preserve"> PAGEREF _Toc162269298 \h </w:instrText>
        </w:r>
        <w:r w:rsidR="00E11F3E">
          <w:rPr>
            <w:noProof/>
            <w:webHidden/>
          </w:rPr>
        </w:r>
        <w:r w:rsidR="00E11F3E">
          <w:rPr>
            <w:noProof/>
            <w:webHidden/>
          </w:rPr>
          <w:fldChar w:fldCharType="separate"/>
        </w:r>
        <w:r w:rsidR="00E11F3E">
          <w:rPr>
            <w:noProof/>
            <w:webHidden/>
          </w:rPr>
          <w:t>152</w:t>
        </w:r>
        <w:r w:rsidR="00E11F3E">
          <w:rPr>
            <w:noProof/>
            <w:webHidden/>
          </w:rPr>
          <w:fldChar w:fldCharType="end"/>
        </w:r>
      </w:hyperlink>
    </w:p>
    <w:p w14:paraId="0EE1B604" w14:textId="18EA4CF5" w:rsidR="00E11F3E" w:rsidRDefault="00207CA3">
      <w:pPr>
        <w:pStyle w:val="Obsah3"/>
        <w:rPr>
          <w:rFonts w:eastAsiaTheme="minorEastAsia"/>
          <w:noProof/>
          <w:lang w:eastAsia="cs-CZ"/>
        </w:rPr>
      </w:pPr>
      <w:hyperlink w:anchor="_Toc162269299" w:history="1">
        <w:r w:rsidR="00E11F3E" w:rsidRPr="005021E4">
          <w:rPr>
            <w:rStyle w:val="Hypertextovodkaz"/>
            <w:noProof/>
          </w:rPr>
          <w:t>7.3.4.</w:t>
        </w:r>
        <w:r w:rsidR="00E11F3E">
          <w:rPr>
            <w:rFonts w:eastAsiaTheme="minorEastAsia"/>
            <w:noProof/>
            <w:lang w:eastAsia="cs-CZ"/>
          </w:rPr>
          <w:tab/>
        </w:r>
        <w:r w:rsidR="00E11F3E" w:rsidRPr="005021E4">
          <w:rPr>
            <w:rStyle w:val="Hypertextovodkaz"/>
            <w:noProof/>
          </w:rPr>
          <w:t>Audit kybernetické bezpečnosti</w:t>
        </w:r>
        <w:r w:rsidR="00E11F3E">
          <w:rPr>
            <w:noProof/>
            <w:webHidden/>
          </w:rPr>
          <w:tab/>
        </w:r>
        <w:r w:rsidR="00E11F3E">
          <w:rPr>
            <w:noProof/>
            <w:webHidden/>
          </w:rPr>
          <w:fldChar w:fldCharType="begin"/>
        </w:r>
        <w:r w:rsidR="00E11F3E">
          <w:rPr>
            <w:noProof/>
            <w:webHidden/>
          </w:rPr>
          <w:instrText xml:space="preserve"> PAGEREF _Toc162269299 \h </w:instrText>
        </w:r>
        <w:r w:rsidR="00E11F3E">
          <w:rPr>
            <w:noProof/>
            <w:webHidden/>
          </w:rPr>
        </w:r>
        <w:r w:rsidR="00E11F3E">
          <w:rPr>
            <w:noProof/>
            <w:webHidden/>
          </w:rPr>
          <w:fldChar w:fldCharType="separate"/>
        </w:r>
        <w:r w:rsidR="00E11F3E">
          <w:rPr>
            <w:noProof/>
            <w:webHidden/>
          </w:rPr>
          <w:t>152</w:t>
        </w:r>
        <w:r w:rsidR="00E11F3E">
          <w:rPr>
            <w:noProof/>
            <w:webHidden/>
          </w:rPr>
          <w:fldChar w:fldCharType="end"/>
        </w:r>
      </w:hyperlink>
    </w:p>
    <w:p w14:paraId="04106B9B" w14:textId="79098430" w:rsidR="00E11F3E" w:rsidRDefault="00207CA3">
      <w:pPr>
        <w:pStyle w:val="Obsah2"/>
        <w:rPr>
          <w:rFonts w:eastAsiaTheme="minorEastAsia"/>
          <w:noProof/>
          <w:lang w:eastAsia="cs-CZ"/>
        </w:rPr>
      </w:pPr>
      <w:hyperlink w:anchor="_Toc162269300" w:history="1">
        <w:r w:rsidR="00E11F3E" w:rsidRPr="005021E4">
          <w:rPr>
            <w:rStyle w:val="Hypertextovodkaz"/>
            <w:noProof/>
          </w:rPr>
          <w:t>7.4.</w:t>
        </w:r>
        <w:r w:rsidR="00E11F3E">
          <w:rPr>
            <w:rFonts w:eastAsiaTheme="minorEastAsia"/>
            <w:noProof/>
            <w:lang w:eastAsia="cs-CZ"/>
          </w:rPr>
          <w:tab/>
        </w:r>
        <w:r w:rsidR="00E11F3E" w:rsidRPr="005021E4">
          <w:rPr>
            <w:rStyle w:val="Hypertextovodkaz"/>
            <w:noProof/>
          </w:rPr>
          <w:t>HLÁŠENÍ NESROVNALOSTÍ – KONTAKTNÍ BOD AFCOS</w:t>
        </w:r>
        <w:r w:rsidR="00E11F3E">
          <w:rPr>
            <w:noProof/>
            <w:webHidden/>
          </w:rPr>
          <w:tab/>
        </w:r>
        <w:r w:rsidR="00E11F3E">
          <w:rPr>
            <w:noProof/>
            <w:webHidden/>
          </w:rPr>
          <w:fldChar w:fldCharType="begin"/>
        </w:r>
        <w:r w:rsidR="00E11F3E">
          <w:rPr>
            <w:noProof/>
            <w:webHidden/>
          </w:rPr>
          <w:instrText xml:space="preserve"> PAGEREF _Toc162269300 \h </w:instrText>
        </w:r>
        <w:r w:rsidR="00E11F3E">
          <w:rPr>
            <w:noProof/>
            <w:webHidden/>
          </w:rPr>
        </w:r>
        <w:r w:rsidR="00E11F3E">
          <w:rPr>
            <w:noProof/>
            <w:webHidden/>
          </w:rPr>
          <w:fldChar w:fldCharType="separate"/>
        </w:r>
        <w:r w:rsidR="00E11F3E">
          <w:rPr>
            <w:noProof/>
            <w:webHidden/>
          </w:rPr>
          <w:t>153</w:t>
        </w:r>
        <w:r w:rsidR="00E11F3E">
          <w:rPr>
            <w:noProof/>
            <w:webHidden/>
          </w:rPr>
          <w:fldChar w:fldCharType="end"/>
        </w:r>
      </w:hyperlink>
    </w:p>
    <w:p w14:paraId="0B0F9AA1" w14:textId="04FCDCF9" w:rsidR="00FB650C" w:rsidRPr="0077128B" w:rsidRDefault="00452FC2" w:rsidP="00BA4E5A">
      <w:pPr>
        <w:spacing w:after="0"/>
        <w:rPr>
          <w:b/>
          <w:color w:val="FF0000"/>
          <w:u w:val="single"/>
        </w:rPr>
      </w:pPr>
      <w:r w:rsidRPr="0077128B">
        <w:rPr>
          <w:rFonts w:cstheme="minorHAnsi"/>
          <w:b/>
          <w:color w:val="FF0000"/>
          <w:u w:val="single"/>
        </w:rPr>
        <w:fldChar w:fldCharType="end"/>
      </w:r>
    </w:p>
    <w:p w14:paraId="70ABD4A6" w14:textId="509AEDAE" w:rsidR="00FB650C" w:rsidRPr="009B49AB" w:rsidRDefault="003C4602">
      <w:pPr>
        <w:rPr>
          <w:rFonts w:cstheme="minorHAnsi"/>
          <w:b/>
          <w:sz w:val="24"/>
          <w:szCs w:val="24"/>
        </w:rPr>
      </w:pPr>
      <w:r w:rsidRPr="009B49AB">
        <w:rPr>
          <w:rFonts w:cstheme="minorHAnsi"/>
          <w:b/>
          <w:sz w:val="24"/>
          <w:szCs w:val="24"/>
        </w:rPr>
        <w:t>SEZNAM GRAFŮ</w:t>
      </w:r>
    </w:p>
    <w:p w14:paraId="78815D94" w14:textId="30F9391F" w:rsidR="00EF7043" w:rsidRDefault="00471E06">
      <w:pPr>
        <w:pStyle w:val="Seznamobrzk"/>
        <w:tabs>
          <w:tab w:val="right" w:leader="dot" w:pos="9062"/>
        </w:tabs>
        <w:rPr>
          <w:rFonts w:eastAsiaTheme="minorEastAsia"/>
          <w:noProof/>
          <w:kern w:val="2"/>
          <w:lang w:eastAsia="cs-CZ"/>
          <w14:ligatures w14:val="standardContextual"/>
        </w:rPr>
      </w:pPr>
      <w:r w:rsidRPr="0077128B">
        <w:rPr>
          <w:rFonts w:ascii="Times New Roman" w:hAnsi="Times New Roman" w:cs="Times New Roman"/>
          <w:color w:val="FF0000"/>
          <w:sz w:val="24"/>
          <w:szCs w:val="24"/>
        </w:rPr>
        <w:fldChar w:fldCharType="begin"/>
      </w:r>
      <w:r w:rsidRPr="0077128B">
        <w:rPr>
          <w:rFonts w:ascii="Times New Roman" w:hAnsi="Times New Roman" w:cs="Times New Roman"/>
          <w:color w:val="FF0000"/>
          <w:sz w:val="24"/>
          <w:szCs w:val="24"/>
        </w:rPr>
        <w:instrText xml:space="preserve"> TOC \h \z \t "KOMGrafy" \c </w:instrText>
      </w:r>
      <w:r w:rsidRPr="0077128B">
        <w:rPr>
          <w:rFonts w:ascii="Times New Roman" w:hAnsi="Times New Roman" w:cs="Times New Roman"/>
          <w:color w:val="FF0000"/>
          <w:sz w:val="24"/>
          <w:szCs w:val="24"/>
        </w:rPr>
        <w:fldChar w:fldCharType="separate"/>
      </w:r>
      <w:hyperlink w:anchor="_Toc160457118" w:history="1">
        <w:r w:rsidR="00EF7043" w:rsidRPr="004674B4">
          <w:rPr>
            <w:rStyle w:val="Hypertextovodkaz"/>
            <w:noProof/>
          </w:rPr>
          <w:t>Graf č. 1:</w:t>
        </w:r>
        <w:r w:rsidR="00EF7043" w:rsidRPr="004674B4">
          <w:rPr>
            <w:rStyle w:val="Hypertextovodkaz"/>
            <w:bCs/>
            <w:noProof/>
          </w:rPr>
          <w:t xml:space="preserve"> Porovnání výdajů kapitoly 327-MD</w:t>
        </w:r>
        <w:r w:rsidR="00EF7043">
          <w:rPr>
            <w:noProof/>
            <w:webHidden/>
          </w:rPr>
          <w:tab/>
        </w:r>
        <w:r w:rsidR="00EF7043">
          <w:rPr>
            <w:noProof/>
            <w:webHidden/>
          </w:rPr>
          <w:fldChar w:fldCharType="begin"/>
        </w:r>
        <w:r w:rsidR="00EF7043">
          <w:rPr>
            <w:noProof/>
            <w:webHidden/>
          </w:rPr>
          <w:instrText xml:space="preserve"> PAGEREF _Toc160457118 \h </w:instrText>
        </w:r>
        <w:r w:rsidR="00EF7043">
          <w:rPr>
            <w:noProof/>
            <w:webHidden/>
          </w:rPr>
        </w:r>
        <w:r w:rsidR="00EF7043">
          <w:rPr>
            <w:noProof/>
            <w:webHidden/>
          </w:rPr>
          <w:fldChar w:fldCharType="separate"/>
        </w:r>
        <w:r w:rsidR="00013820">
          <w:rPr>
            <w:noProof/>
            <w:webHidden/>
          </w:rPr>
          <w:t>7</w:t>
        </w:r>
        <w:r w:rsidR="00EF7043">
          <w:rPr>
            <w:noProof/>
            <w:webHidden/>
          </w:rPr>
          <w:fldChar w:fldCharType="end"/>
        </w:r>
      </w:hyperlink>
    </w:p>
    <w:p w14:paraId="15F000C9" w14:textId="02CC3DD6" w:rsidR="00EF7043" w:rsidRDefault="00207CA3">
      <w:pPr>
        <w:pStyle w:val="Seznamobrzk"/>
        <w:tabs>
          <w:tab w:val="right" w:leader="dot" w:pos="9062"/>
        </w:tabs>
        <w:rPr>
          <w:rFonts w:eastAsiaTheme="minorEastAsia"/>
          <w:noProof/>
          <w:kern w:val="2"/>
          <w:lang w:eastAsia="cs-CZ"/>
          <w14:ligatures w14:val="standardContextual"/>
        </w:rPr>
      </w:pPr>
      <w:hyperlink w:anchor="_Toc160457119" w:history="1">
        <w:r w:rsidR="00EF7043" w:rsidRPr="004674B4">
          <w:rPr>
            <w:rStyle w:val="Hypertextovodkaz"/>
            <w:noProof/>
          </w:rPr>
          <w:t>Graf č. 2: Daňové, nedaňové a kapitálové příjmy kapitoly 327-MD (v tis. Kč)</w:t>
        </w:r>
        <w:r w:rsidR="00EF7043">
          <w:rPr>
            <w:noProof/>
            <w:webHidden/>
          </w:rPr>
          <w:tab/>
        </w:r>
        <w:r w:rsidR="00EF7043">
          <w:rPr>
            <w:noProof/>
            <w:webHidden/>
          </w:rPr>
          <w:fldChar w:fldCharType="begin"/>
        </w:r>
        <w:r w:rsidR="00EF7043">
          <w:rPr>
            <w:noProof/>
            <w:webHidden/>
          </w:rPr>
          <w:instrText xml:space="preserve"> PAGEREF _Toc160457119 \h </w:instrText>
        </w:r>
        <w:r w:rsidR="00EF7043">
          <w:rPr>
            <w:noProof/>
            <w:webHidden/>
          </w:rPr>
        </w:r>
        <w:r w:rsidR="00EF7043">
          <w:rPr>
            <w:noProof/>
            <w:webHidden/>
          </w:rPr>
          <w:fldChar w:fldCharType="separate"/>
        </w:r>
        <w:r w:rsidR="00013820">
          <w:rPr>
            <w:noProof/>
            <w:webHidden/>
          </w:rPr>
          <w:t>12</w:t>
        </w:r>
        <w:r w:rsidR="00EF7043">
          <w:rPr>
            <w:noProof/>
            <w:webHidden/>
          </w:rPr>
          <w:fldChar w:fldCharType="end"/>
        </w:r>
      </w:hyperlink>
    </w:p>
    <w:p w14:paraId="335AE8FA" w14:textId="1F62FBDB" w:rsidR="00EF7043" w:rsidRDefault="00207CA3">
      <w:pPr>
        <w:pStyle w:val="Seznamobrzk"/>
        <w:tabs>
          <w:tab w:val="right" w:leader="dot" w:pos="9062"/>
        </w:tabs>
        <w:rPr>
          <w:rFonts w:eastAsiaTheme="minorEastAsia"/>
          <w:noProof/>
          <w:kern w:val="2"/>
          <w:lang w:eastAsia="cs-CZ"/>
          <w14:ligatures w14:val="standardContextual"/>
        </w:rPr>
      </w:pPr>
      <w:hyperlink w:anchor="_Toc160457120" w:history="1">
        <w:r w:rsidR="00EF7043" w:rsidRPr="004674B4">
          <w:rPr>
            <w:rStyle w:val="Hypertextovodkaz"/>
            <w:noProof/>
          </w:rPr>
          <w:t>Graf č. 3: Přijaté transfery kapitoly 327-MD (v tis. Kč)</w:t>
        </w:r>
        <w:r w:rsidR="00EF7043">
          <w:rPr>
            <w:noProof/>
            <w:webHidden/>
          </w:rPr>
          <w:tab/>
        </w:r>
        <w:r w:rsidR="00EF7043">
          <w:rPr>
            <w:noProof/>
            <w:webHidden/>
          </w:rPr>
          <w:fldChar w:fldCharType="begin"/>
        </w:r>
        <w:r w:rsidR="00EF7043">
          <w:rPr>
            <w:noProof/>
            <w:webHidden/>
          </w:rPr>
          <w:instrText xml:space="preserve"> PAGEREF _Toc160457120 \h </w:instrText>
        </w:r>
        <w:r w:rsidR="00EF7043">
          <w:rPr>
            <w:noProof/>
            <w:webHidden/>
          </w:rPr>
        </w:r>
        <w:r w:rsidR="00EF7043">
          <w:rPr>
            <w:noProof/>
            <w:webHidden/>
          </w:rPr>
          <w:fldChar w:fldCharType="separate"/>
        </w:r>
        <w:r w:rsidR="00013820">
          <w:rPr>
            <w:noProof/>
            <w:webHidden/>
          </w:rPr>
          <w:t>12</w:t>
        </w:r>
        <w:r w:rsidR="00EF7043">
          <w:rPr>
            <w:noProof/>
            <w:webHidden/>
          </w:rPr>
          <w:fldChar w:fldCharType="end"/>
        </w:r>
      </w:hyperlink>
    </w:p>
    <w:p w14:paraId="41A87D03" w14:textId="3A474456" w:rsidR="00EF7043" w:rsidRDefault="00207CA3">
      <w:pPr>
        <w:pStyle w:val="Seznamobrzk"/>
        <w:tabs>
          <w:tab w:val="right" w:leader="dot" w:pos="9062"/>
        </w:tabs>
        <w:rPr>
          <w:rFonts w:eastAsiaTheme="minorEastAsia"/>
          <w:noProof/>
          <w:kern w:val="2"/>
          <w:lang w:eastAsia="cs-CZ"/>
          <w14:ligatures w14:val="standardContextual"/>
        </w:rPr>
      </w:pPr>
      <w:hyperlink w:anchor="_Toc160457121" w:history="1">
        <w:r w:rsidR="00EF7043" w:rsidRPr="004674B4">
          <w:rPr>
            <w:rStyle w:val="Hypertextovodkaz"/>
            <w:rFonts w:cstheme="minorHAnsi"/>
            <w:noProof/>
          </w:rPr>
          <w:t xml:space="preserve">Graf č. </w:t>
        </w:r>
        <w:r w:rsidR="00EF7043" w:rsidRPr="004674B4">
          <w:rPr>
            <w:rStyle w:val="Hypertextovodkaz"/>
            <w:noProof/>
          </w:rPr>
          <w:t>4</w:t>
        </w:r>
        <w:r w:rsidR="00EF7043" w:rsidRPr="004674B4">
          <w:rPr>
            <w:rStyle w:val="Hypertextovodkaz"/>
            <w:rFonts w:cstheme="minorHAnsi"/>
            <w:noProof/>
          </w:rPr>
          <w:t>: Výdaje státního rozpočtu za rok 2023 (v mil. Kč)</w:t>
        </w:r>
        <w:r w:rsidR="00EF7043">
          <w:rPr>
            <w:noProof/>
            <w:webHidden/>
          </w:rPr>
          <w:tab/>
        </w:r>
        <w:r w:rsidR="00EF7043">
          <w:rPr>
            <w:noProof/>
            <w:webHidden/>
          </w:rPr>
          <w:fldChar w:fldCharType="begin"/>
        </w:r>
        <w:r w:rsidR="00EF7043">
          <w:rPr>
            <w:noProof/>
            <w:webHidden/>
          </w:rPr>
          <w:instrText xml:space="preserve"> PAGEREF _Toc160457121 \h </w:instrText>
        </w:r>
        <w:r w:rsidR="00EF7043">
          <w:rPr>
            <w:noProof/>
            <w:webHidden/>
          </w:rPr>
        </w:r>
        <w:r w:rsidR="00EF7043">
          <w:rPr>
            <w:noProof/>
            <w:webHidden/>
          </w:rPr>
          <w:fldChar w:fldCharType="separate"/>
        </w:r>
        <w:r w:rsidR="00013820">
          <w:rPr>
            <w:noProof/>
            <w:webHidden/>
          </w:rPr>
          <w:t>16</w:t>
        </w:r>
        <w:r w:rsidR="00EF7043">
          <w:rPr>
            <w:noProof/>
            <w:webHidden/>
          </w:rPr>
          <w:fldChar w:fldCharType="end"/>
        </w:r>
      </w:hyperlink>
    </w:p>
    <w:p w14:paraId="77D0ACC9" w14:textId="61A87867" w:rsidR="00EF7043" w:rsidRDefault="00207CA3">
      <w:pPr>
        <w:pStyle w:val="Seznamobrzk"/>
        <w:tabs>
          <w:tab w:val="right" w:leader="dot" w:pos="9062"/>
        </w:tabs>
        <w:rPr>
          <w:rFonts w:eastAsiaTheme="minorEastAsia"/>
          <w:noProof/>
          <w:kern w:val="2"/>
          <w:lang w:eastAsia="cs-CZ"/>
          <w14:ligatures w14:val="standardContextual"/>
        </w:rPr>
      </w:pPr>
      <w:hyperlink w:anchor="_Toc160457122" w:history="1">
        <w:r w:rsidR="00EF7043" w:rsidRPr="004674B4">
          <w:rPr>
            <w:rStyle w:val="Hypertextovodkaz"/>
            <w:rFonts w:cstheme="minorHAnsi"/>
            <w:noProof/>
          </w:rPr>
          <w:t xml:space="preserve">Graf č. </w:t>
        </w:r>
        <w:r w:rsidR="00EF7043" w:rsidRPr="004674B4">
          <w:rPr>
            <w:rStyle w:val="Hypertextovodkaz"/>
            <w:noProof/>
          </w:rPr>
          <w:t>5</w:t>
        </w:r>
        <w:r w:rsidR="00EF7043" w:rsidRPr="004674B4">
          <w:rPr>
            <w:rStyle w:val="Hypertextovodkaz"/>
            <w:rFonts w:cstheme="minorHAnsi"/>
            <w:noProof/>
          </w:rPr>
          <w:t>: Členění běžných výdajů kapitoly 327-MD</w:t>
        </w:r>
        <w:r w:rsidR="00EF7043">
          <w:rPr>
            <w:noProof/>
            <w:webHidden/>
          </w:rPr>
          <w:tab/>
        </w:r>
        <w:r w:rsidR="00EF7043">
          <w:rPr>
            <w:noProof/>
            <w:webHidden/>
          </w:rPr>
          <w:fldChar w:fldCharType="begin"/>
        </w:r>
        <w:r w:rsidR="00EF7043">
          <w:rPr>
            <w:noProof/>
            <w:webHidden/>
          </w:rPr>
          <w:instrText xml:space="preserve"> PAGEREF _Toc160457122 \h </w:instrText>
        </w:r>
        <w:r w:rsidR="00EF7043">
          <w:rPr>
            <w:noProof/>
            <w:webHidden/>
          </w:rPr>
        </w:r>
        <w:r w:rsidR="00EF7043">
          <w:rPr>
            <w:noProof/>
            <w:webHidden/>
          </w:rPr>
          <w:fldChar w:fldCharType="separate"/>
        </w:r>
        <w:r w:rsidR="00013820">
          <w:rPr>
            <w:noProof/>
            <w:webHidden/>
          </w:rPr>
          <w:t>18</w:t>
        </w:r>
        <w:r w:rsidR="00EF7043">
          <w:rPr>
            <w:noProof/>
            <w:webHidden/>
          </w:rPr>
          <w:fldChar w:fldCharType="end"/>
        </w:r>
      </w:hyperlink>
    </w:p>
    <w:p w14:paraId="1B818CEA" w14:textId="3DACABAA" w:rsidR="00EF7043" w:rsidRDefault="00207CA3">
      <w:pPr>
        <w:pStyle w:val="Seznamobrzk"/>
        <w:tabs>
          <w:tab w:val="right" w:leader="dot" w:pos="9062"/>
        </w:tabs>
        <w:rPr>
          <w:rFonts w:eastAsiaTheme="minorEastAsia"/>
          <w:noProof/>
          <w:kern w:val="2"/>
          <w:lang w:eastAsia="cs-CZ"/>
          <w14:ligatures w14:val="standardContextual"/>
        </w:rPr>
      </w:pPr>
      <w:hyperlink w:anchor="_Toc160457123" w:history="1">
        <w:r w:rsidR="00EF7043" w:rsidRPr="004674B4">
          <w:rPr>
            <w:rStyle w:val="Hypertextovodkaz"/>
            <w:rFonts w:cstheme="minorHAnsi"/>
            <w:noProof/>
          </w:rPr>
          <w:t xml:space="preserve">Graf č. </w:t>
        </w:r>
        <w:r w:rsidR="00EF7043" w:rsidRPr="004674B4">
          <w:rPr>
            <w:rStyle w:val="Hypertextovodkaz"/>
            <w:noProof/>
          </w:rPr>
          <w:t>6</w:t>
        </w:r>
        <w:r w:rsidR="00EF7043" w:rsidRPr="004674B4">
          <w:rPr>
            <w:rStyle w:val="Hypertextovodkaz"/>
            <w:rFonts w:cstheme="minorHAnsi"/>
            <w:noProof/>
          </w:rPr>
          <w:t>: Členění kapitálových výdajů kapitoly 327 MD</w:t>
        </w:r>
        <w:r w:rsidR="00EF7043">
          <w:rPr>
            <w:noProof/>
            <w:webHidden/>
          </w:rPr>
          <w:tab/>
        </w:r>
        <w:r w:rsidR="00EF7043">
          <w:rPr>
            <w:noProof/>
            <w:webHidden/>
          </w:rPr>
          <w:fldChar w:fldCharType="begin"/>
        </w:r>
        <w:r w:rsidR="00EF7043">
          <w:rPr>
            <w:noProof/>
            <w:webHidden/>
          </w:rPr>
          <w:instrText xml:space="preserve"> PAGEREF _Toc160457123 \h </w:instrText>
        </w:r>
        <w:r w:rsidR="00EF7043">
          <w:rPr>
            <w:noProof/>
            <w:webHidden/>
          </w:rPr>
        </w:r>
        <w:r w:rsidR="00EF7043">
          <w:rPr>
            <w:noProof/>
            <w:webHidden/>
          </w:rPr>
          <w:fldChar w:fldCharType="separate"/>
        </w:r>
        <w:r w:rsidR="00013820">
          <w:rPr>
            <w:noProof/>
            <w:webHidden/>
          </w:rPr>
          <w:t>21</w:t>
        </w:r>
        <w:r w:rsidR="00EF7043">
          <w:rPr>
            <w:noProof/>
            <w:webHidden/>
          </w:rPr>
          <w:fldChar w:fldCharType="end"/>
        </w:r>
      </w:hyperlink>
    </w:p>
    <w:p w14:paraId="5407A414" w14:textId="25471CD7" w:rsidR="00EF7043" w:rsidRDefault="00207CA3">
      <w:pPr>
        <w:pStyle w:val="Seznamobrzk"/>
        <w:tabs>
          <w:tab w:val="right" w:leader="dot" w:pos="9062"/>
        </w:tabs>
        <w:rPr>
          <w:rFonts w:eastAsiaTheme="minorEastAsia"/>
          <w:noProof/>
          <w:kern w:val="2"/>
          <w:lang w:eastAsia="cs-CZ"/>
          <w14:ligatures w14:val="standardContextual"/>
        </w:rPr>
      </w:pPr>
      <w:hyperlink w:anchor="_Toc160457124" w:history="1">
        <w:r w:rsidR="00EF7043" w:rsidRPr="004674B4">
          <w:rPr>
            <w:rStyle w:val="Hypertextovodkaz"/>
            <w:noProof/>
          </w:rPr>
          <w:t>Graf č. 7: Specifické výdajové ukazatele kapitoly 327-MD za rok 2023</w:t>
        </w:r>
        <w:r w:rsidR="00EF7043">
          <w:rPr>
            <w:noProof/>
            <w:webHidden/>
          </w:rPr>
          <w:tab/>
        </w:r>
        <w:r w:rsidR="00EF7043">
          <w:rPr>
            <w:noProof/>
            <w:webHidden/>
          </w:rPr>
          <w:fldChar w:fldCharType="begin"/>
        </w:r>
        <w:r w:rsidR="00EF7043">
          <w:rPr>
            <w:noProof/>
            <w:webHidden/>
          </w:rPr>
          <w:instrText xml:space="preserve"> PAGEREF _Toc160457124 \h </w:instrText>
        </w:r>
        <w:r w:rsidR="00EF7043">
          <w:rPr>
            <w:noProof/>
            <w:webHidden/>
          </w:rPr>
        </w:r>
        <w:r w:rsidR="00EF7043">
          <w:rPr>
            <w:noProof/>
            <w:webHidden/>
          </w:rPr>
          <w:fldChar w:fldCharType="separate"/>
        </w:r>
        <w:r w:rsidR="00013820">
          <w:rPr>
            <w:noProof/>
            <w:webHidden/>
          </w:rPr>
          <w:t>28</w:t>
        </w:r>
        <w:r w:rsidR="00EF7043">
          <w:rPr>
            <w:noProof/>
            <w:webHidden/>
          </w:rPr>
          <w:fldChar w:fldCharType="end"/>
        </w:r>
      </w:hyperlink>
    </w:p>
    <w:p w14:paraId="442E8083" w14:textId="51BA140E" w:rsidR="00EF7043" w:rsidRDefault="00207CA3">
      <w:pPr>
        <w:pStyle w:val="Seznamobrzk"/>
        <w:tabs>
          <w:tab w:val="right" w:leader="dot" w:pos="9062"/>
        </w:tabs>
        <w:rPr>
          <w:rFonts w:eastAsiaTheme="minorEastAsia"/>
          <w:noProof/>
          <w:kern w:val="2"/>
          <w:lang w:eastAsia="cs-CZ"/>
          <w14:ligatures w14:val="standardContextual"/>
        </w:rPr>
      </w:pPr>
      <w:hyperlink w:anchor="_Toc160457125" w:history="1">
        <w:r w:rsidR="00EF7043" w:rsidRPr="004674B4">
          <w:rPr>
            <w:rStyle w:val="Hypertextovodkaz"/>
            <w:noProof/>
          </w:rPr>
          <w:t>Graf č. 8: Srovnání vázaných platových prostředků v kapitole 327 MD (v tis. Kč)</w:t>
        </w:r>
        <w:r w:rsidR="00EF7043">
          <w:rPr>
            <w:noProof/>
            <w:webHidden/>
          </w:rPr>
          <w:tab/>
        </w:r>
        <w:r w:rsidR="00EF7043">
          <w:rPr>
            <w:noProof/>
            <w:webHidden/>
          </w:rPr>
          <w:fldChar w:fldCharType="begin"/>
        </w:r>
        <w:r w:rsidR="00EF7043">
          <w:rPr>
            <w:noProof/>
            <w:webHidden/>
          </w:rPr>
          <w:instrText xml:space="preserve"> PAGEREF _Toc160457125 \h </w:instrText>
        </w:r>
        <w:r w:rsidR="00EF7043">
          <w:rPr>
            <w:noProof/>
            <w:webHidden/>
          </w:rPr>
        </w:r>
        <w:r w:rsidR="00EF7043">
          <w:rPr>
            <w:noProof/>
            <w:webHidden/>
          </w:rPr>
          <w:fldChar w:fldCharType="separate"/>
        </w:r>
        <w:r w:rsidR="00013820">
          <w:rPr>
            <w:noProof/>
            <w:webHidden/>
          </w:rPr>
          <w:t>31</w:t>
        </w:r>
        <w:r w:rsidR="00EF7043">
          <w:rPr>
            <w:noProof/>
            <w:webHidden/>
          </w:rPr>
          <w:fldChar w:fldCharType="end"/>
        </w:r>
      </w:hyperlink>
    </w:p>
    <w:p w14:paraId="4704F4FC" w14:textId="1E5F7FAB" w:rsidR="00EF7043" w:rsidRDefault="00207CA3">
      <w:pPr>
        <w:pStyle w:val="Seznamobrzk"/>
        <w:tabs>
          <w:tab w:val="right" w:leader="dot" w:pos="9062"/>
        </w:tabs>
        <w:rPr>
          <w:rFonts w:eastAsiaTheme="minorEastAsia"/>
          <w:noProof/>
          <w:kern w:val="2"/>
          <w:lang w:eastAsia="cs-CZ"/>
          <w14:ligatures w14:val="standardContextual"/>
        </w:rPr>
      </w:pPr>
      <w:hyperlink w:anchor="_Toc160457126" w:history="1">
        <w:r w:rsidR="00EF7043" w:rsidRPr="004674B4">
          <w:rPr>
            <w:rStyle w:val="Hypertextovodkaz"/>
            <w:noProof/>
          </w:rPr>
          <w:t>Graf č. 9: Přehled neúspěšných výběrových řízení u organizačních složek státu za rok 2023</w:t>
        </w:r>
        <w:r w:rsidR="00EF7043">
          <w:rPr>
            <w:noProof/>
            <w:webHidden/>
          </w:rPr>
          <w:tab/>
        </w:r>
        <w:r w:rsidR="00EF7043">
          <w:rPr>
            <w:noProof/>
            <w:webHidden/>
          </w:rPr>
          <w:fldChar w:fldCharType="begin"/>
        </w:r>
        <w:r w:rsidR="00EF7043">
          <w:rPr>
            <w:noProof/>
            <w:webHidden/>
          </w:rPr>
          <w:instrText xml:space="preserve"> PAGEREF _Toc160457126 \h </w:instrText>
        </w:r>
        <w:r w:rsidR="00EF7043">
          <w:rPr>
            <w:noProof/>
            <w:webHidden/>
          </w:rPr>
        </w:r>
        <w:r w:rsidR="00EF7043">
          <w:rPr>
            <w:noProof/>
            <w:webHidden/>
          </w:rPr>
          <w:fldChar w:fldCharType="separate"/>
        </w:r>
        <w:r w:rsidR="00013820">
          <w:rPr>
            <w:noProof/>
            <w:webHidden/>
          </w:rPr>
          <w:t>33</w:t>
        </w:r>
        <w:r w:rsidR="00EF7043">
          <w:rPr>
            <w:noProof/>
            <w:webHidden/>
          </w:rPr>
          <w:fldChar w:fldCharType="end"/>
        </w:r>
      </w:hyperlink>
    </w:p>
    <w:p w14:paraId="243747C2" w14:textId="4821A393" w:rsidR="00EF7043" w:rsidRDefault="00207CA3" w:rsidP="00592B92">
      <w:pPr>
        <w:pStyle w:val="Seznamobrzk"/>
        <w:tabs>
          <w:tab w:val="right" w:leader="dot" w:pos="9062"/>
        </w:tabs>
        <w:ind w:left="993" w:hanging="993"/>
        <w:rPr>
          <w:rFonts w:eastAsiaTheme="minorEastAsia"/>
          <w:noProof/>
          <w:kern w:val="2"/>
          <w:lang w:eastAsia="cs-CZ"/>
          <w14:ligatures w14:val="standardContextual"/>
        </w:rPr>
      </w:pPr>
      <w:hyperlink w:anchor="_Toc160457127" w:history="1">
        <w:r w:rsidR="00EF7043" w:rsidRPr="004674B4">
          <w:rPr>
            <w:rStyle w:val="Hypertextovodkaz"/>
            <w:noProof/>
          </w:rPr>
          <w:t xml:space="preserve">Graf č. 10: Podíl čerpání platových prostředků a ostatních plateb za provedenou práci </w:t>
        </w:r>
        <w:r w:rsidR="00592B92">
          <w:rPr>
            <w:rStyle w:val="Hypertextovodkaz"/>
            <w:noProof/>
          </w:rPr>
          <w:br/>
        </w:r>
        <w:r w:rsidR="00EF7043" w:rsidRPr="004674B4">
          <w:rPr>
            <w:rStyle w:val="Hypertextovodkaz"/>
            <w:noProof/>
          </w:rPr>
          <w:t>z prostředků fondů EU a finančních mechanismů (SR a EU podíl) v roce 2023</w:t>
        </w:r>
        <w:r w:rsidR="00EF7043">
          <w:rPr>
            <w:noProof/>
            <w:webHidden/>
          </w:rPr>
          <w:tab/>
        </w:r>
        <w:r w:rsidR="00EF7043">
          <w:rPr>
            <w:noProof/>
            <w:webHidden/>
          </w:rPr>
          <w:fldChar w:fldCharType="begin"/>
        </w:r>
        <w:r w:rsidR="00EF7043">
          <w:rPr>
            <w:noProof/>
            <w:webHidden/>
          </w:rPr>
          <w:instrText xml:space="preserve"> PAGEREF _Toc160457127 \h </w:instrText>
        </w:r>
        <w:r w:rsidR="00EF7043">
          <w:rPr>
            <w:noProof/>
            <w:webHidden/>
          </w:rPr>
        </w:r>
        <w:r w:rsidR="00EF7043">
          <w:rPr>
            <w:noProof/>
            <w:webHidden/>
          </w:rPr>
          <w:fldChar w:fldCharType="separate"/>
        </w:r>
        <w:r w:rsidR="00013820">
          <w:rPr>
            <w:noProof/>
            <w:webHidden/>
          </w:rPr>
          <w:t>36</w:t>
        </w:r>
        <w:r w:rsidR="00EF7043">
          <w:rPr>
            <w:noProof/>
            <w:webHidden/>
          </w:rPr>
          <w:fldChar w:fldCharType="end"/>
        </w:r>
      </w:hyperlink>
    </w:p>
    <w:p w14:paraId="77C899A4" w14:textId="395ACF06" w:rsidR="00EF7043" w:rsidRDefault="00207CA3">
      <w:pPr>
        <w:pStyle w:val="Seznamobrzk"/>
        <w:tabs>
          <w:tab w:val="right" w:leader="dot" w:pos="9062"/>
        </w:tabs>
        <w:rPr>
          <w:rFonts w:eastAsiaTheme="minorEastAsia"/>
          <w:noProof/>
          <w:kern w:val="2"/>
          <w:lang w:eastAsia="cs-CZ"/>
          <w14:ligatures w14:val="standardContextual"/>
        </w:rPr>
      </w:pPr>
      <w:hyperlink w:anchor="_Toc160457128" w:history="1">
        <w:r w:rsidR="00EF7043" w:rsidRPr="004674B4">
          <w:rPr>
            <w:rStyle w:val="Hypertextovodkaz"/>
            <w:noProof/>
          </w:rPr>
          <w:t>Graf č. 11: Přehled čerpání finančních prostředků fondů Evropské unie</w:t>
        </w:r>
        <w:r w:rsidR="00EF7043">
          <w:rPr>
            <w:noProof/>
            <w:webHidden/>
          </w:rPr>
          <w:tab/>
        </w:r>
        <w:r w:rsidR="00EF7043">
          <w:rPr>
            <w:noProof/>
            <w:webHidden/>
          </w:rPr>
          <w:fldChar w:fldCharType="begin"/>
        </w:r>
        <w:r w:rsidR="00EF7043">
          <w:rPr>
            <w:noProof/>
            <w:webHidden/>
          </w:rPr>
          <w:instrText xml:space="preserve"> PAGEREF _Toc160457128 \h </w:instrText>
        </w:r>
        <w:r w:rsidR="00EF7043">
          <w:rPr>
            <w:noProof/>
            <w:webHidden/>
          </w:rPr>
        </w:r>
        <w:r w:rsidR="00EF7043">
          <w:rPr>
            <w:noProof/>
            <w:webHidden/>
          </w:rPr>
          <w:fldChar w:fldCharType="separate"/>
        </w:r>
        <w:r w:rsidR="00013820">
          <w:rPr>
            <w:noProof/>
            <w:webHidden/>
          </w:rPr>
          <w:t>58</w:t>
        </w:r>
        <w:r w:rsidR="00EF7043">
          <w:rPr>
            <w:noProof/>
            <w:webHidden/>
          </w:rPr>
          <w:fldChar w:fldCharType="end"/>
        </w:r>
      </w:hyperlink>
    </w:p>
    <w:p w14:paraId="65BB234F" w14:textId="7BE5ACEB" w:rsidR="00EF7043" w:rsidRDefault="00207CA3">
      <w:pPr>
        <w:pStyle w:val="Seznamobrzk"/>
        <w:tabs>
          <w:tab w:val="right" w:leader="dot" w:pos="9062"/>
        </w:tabs>
        <w:rPr>
          <w:rFonts w:eastAsiaTheme="minorEastAsia"/>
          <w:noProof/>
          <w:kern w:val="2"/>
          <w:lang w:eastAsia="cs-CZ"/>
          <w14:ligatures w14:val="standardContextual"/>
        </w:rPr>
      </w:pPr>
      <w:hyperlink w:anchor="_Toc160457129" w:history="1">
        <w:r w:rsidR="00EF7043" w:rsidRPr="004674B4">
          <w:rPr>
            <w:rStyle w:val="Hypertextovodkaz"/>
            <w:noProof/>
          </w:rPr>
          <w:t>Graf č. 12: Porovnání výdajů na výzkum, vývoj a inovace</w:t>
        </w:r>
        <w:r w:rsidR="00EF7043">
          <w:rPr>
            <w:noProof/>
            <w:webHidden/>
          </w:rPr>
          <w:tab/>
        </w:r>
        <w:r w:rsidR="00EF7043">
          <w:rPr>
            <w:noProof/>
            <w:webHidden/>
          </w:rPr>
          <w:fldChar w:fldCharType="begin"/>
        </w:r>
        <w:r w:rsidR="00EF7043">
          <w:rPr>
            <w:noProof/>
            <w:webHidden/>
          </w:rPr>
          <w:instrText xml:space="preserve"> PAGEREF _Toc160457129 \h </w:instrText>
        </w:r>
        <w:r w:rsidR="00EF7043">
          <w:rPr>
            <w:noProof/>
            <w:webHidden/>
          </w:rPr>
        </w:r>
        <w:r w:rsidR="00EF7043">
          <w:rPr>
            <w:noProof/>
            <w:webHidden/>
          </w:rPr>
          <w:fldChar w:fldCharType="separate"/>
        </w:r>
        <w:r w:rsidR="00013820">
          <w:rPr>
            <w:noProof/>
            <w:webHidden/>
          </w:rPr>
          <w:t>58</w:t>
        </w:r>
        <w:r w:rsidR="00EF7043">
          <w:rPr>
            <w:noProof/>
            <w:webHidden/>
          </w:rPr>
          <w:fldChar w:fldCharType="end"/>
        </w:r>
      </w:hyperlink>
    </w:p>
    <w:p w14:paraId="57467BEB" w14:textId="4EE762BC" w:rsidR="00EF7043" w:rsidRDefault="00207CA3">
      <w:pPr>
        <w:pStyle w:val="Seznamobrzk"/>
        <w:tabs>
          <w:tab w:val="right" w:leader="dot" w:pos="9062"/>
        </w:tabs>
        <w:rPr>
          <w:rFonts w:eastAsiaTheme="minorEastAsia"/>
          <w:noProof/>
          <w:kern w:val="2"/>
          <w:lang w:eastAsia="cs-CZ"/>
          <w14:ligatures w14:val="standardContextual"/>
        </w:rPr>
      </w:pPr>
      <w:hyperlink w:anchor="_Toc160457130" w:history="1">
        <w:r w:rsidR="00EF7043" w:rsidRPr="004674B4">
          <w:rPr>
            <w:rStyle w:val="Hypertextovodkaz"/>
            <w:noProof/>
          </w:rPr>
          <w:t>Graf č. 13: Celkové výdaje vedené v RISPF (v mil. Kč)</w:t>
        </w:r>
        <w:r w:rsidR="00EF7043">
          <w:rPr>
            <w:noProof/>
            <w:webHidden/>
          </w:rPr>
          <w:tab/>
        </w:r>
        <w:r w:rsidR="00EF7043">
          <w:rPr>
            <w:noProof/>
            <w:webHidden/>
          </w:rPr>
          <w:fldChar w:fldCharType="begin"/>
        </w:r>
        <w:r w:rsidR="00EF7043">
          <w:rPr>
            <w:noProof/>
            <w:webHidden/>
          </w:rPr>
          <w:instrText xml:space="preserve"> PAGEREF _Toc160457130 \h </w:instrText>
        </w:r>
        <w:r w:rsidR="00EF7043">
          <w:rPr>
            <w:noProof/>
            <w:webHidden/>
          </w:rPr>
        </w:r>
        <w:r w:rsidR="00EF7043">
          <w:rPr>
            <w:noProof/>
            <w:webHidden/>
          </w:rPr>
          <w:fldChar w:fldCharType="separate"/>
        </w:r>
        <w:r w:rsidR="00013820">
          <w:rPr>
            <w:noProof/>
            <w:webHidden/>
          </w:rPr>
          <w:t>61</w:t>
        </w:r>
        <w:r w:rsidR="00EF7043">
          <w:rPr>
            <w:noProof/>
            <w:webHidden/>
          </w:rPr>
          <w:fldChar w:fldCharType="end"/>
        </w:r>
      </w:hyperlink>
    </w:p>
    <w:p w14:paraId="460CC7A1" w14:textId="76B7BB4E" w:rsidR="00EF7043" w:rsidRDefault="00207CA3">
      <w:pPr>
        <w:pStyle w:val="Seznamobrzk"/>
        <w:tabs>
          <w:tab w:val="right" w:leader="dot" w:pos="9062"/>
        </w:tabs>
        <w:rPr>
          <w:rFonts w:eastAsiaTheme="minorEastAsia"/>
          <w:noProof/>
          <w:kern w:val="2"/>
          <w:lang w:eastAsia="cs-CZ"/>
          <w14:ligatures w14:val="standardContextual"/>
        </w:rPr>
      </w:pPr>
      <w:hyperlink w:anchor="_Toc160457131" w:history="1">
        <w:r w:rsidR="00EF7043" w:rsidRPr="004674B4">
          <w:rPr>
            <w:rStyle w:val="Hypertextovodkaz"/>
            <w:noProof/>
          </w:rPr>
          <w:t>Graf č. 14: Celkové schválené výdaje programu 127 03 (v tis. Kč)</w:t>
        </w:r>
        <w:r w:rsidR="00EF7043">
          <w:rPr>
            <w:noProof/>
            <w:webHidden/>
          </w:rPr>
          <w:tab/>
        </w:r>
        <w:r w:rsidR="00EF7043">
          <w:rPr>
            <w:noProof/>
            <w:webHidden/>
          </w:rPr>
          <w:fldChar w:fldCharType="begin"/>
        </w:r>
        <w:r w:rsidR="00EF7043">
          <w:rPr>
            <w:noProof/>
            <w:webHidden/>
          </w:rPr>
          <w:instrText xml:space="preserve"> PAGEREF _Toc160457131 \h </w:instrText>
        </w:r>
        <w:r w:rsidR="00EF7043">
          <w:rPr>
            <w:noProof/>
            <w:webHidden/>
          </w:rPr>
        </w:r>
        <w:r w:rsidR="00EF7043">
          <w:rPr>
            <w:noProof/>
            <w:webHidden/>
          </w:rPr>
          <w:fldChar w:fldCharType="separate"/>
        </w:r>
        <w:r w:rsidR="00013820">
          <w:rPr>
            <w:noProof/>
            <w:webHidden/>
          </w:rPr>
          <w:t>63</w:t>
        </w:r>
        <w:r w:rsidR="00EF7043">
          <w:rPr>
            <w:noProof/>
            <w:webHidden/>
          </w:rPr>
          <w:fldChar w:fldCharType="end"/>
        </w:r>
      </w:hyperlink>
    </w:p>
    <w:p w14:paraId="73533C7C" w14:textId="7A8AC555" w:rsidR="00EF7043" w:rsidRDefault="00207CA3">
      <w:pPr>
        <w:pStyle w:val="Seznamobrzk"/>
        <w:tabs>
          <w:tab w:val="right" w:leader="dot" w:pos="9062"/>
        </w:tabs>
        <w:rPr>
          <w:rFonts w:eastAsiaTheme="minorEastAsia"/>
          <w:noProof/>
          <w:kern w:val="2"/>
          <w:lang w:eastAsia="cs-CZ"/>
          <w14:ligatures w14:val="standardContextual"/>
        </w:rPr>
      </w:pPr>
      <w:hyperlink w:anchor="_Toc160457132" w:history="1">
        <w:r w:rsidR="00EF7043" w:rsidRPr="004674B4">
          <w:rPr>
            <w:rStyle w:val="Hypertextovodkaz"/>
            <w:noProof/>
          </w:rPr>
          <w:t>Graf č. 15: Celkové schválené výdaje programu 127 06 (v tis. Kč)</w:t>
        </w:r>
        <w:r w:rsidR="00EF7043">
          <w:rPr>
            <w:noProof/>
            <w:webHidden/>
          </w:rPr>
          <w:tab/>
        </w:r>
        <w:r w:rsidR="00EF7043">
          <w:rPr>
            <w:noProof/>
            <w:webHidden/>
          </w:rPr>
          <w:fldChar w:fldCharType="begin"/>
        </w:r>
        <w:r w:rsidR="00EF7043">
          <w:rPr>
            <w:noProof/>
            <w:webHidden/>
          </w:rPr>
          <w:instrText xml:space="preserve"> PAGEREF _Toc160457132 \h </w:instrText>
        </w:r>
        <w:r w:rsidR="00EF7043">
          <w:rPr>
            <w:noProof/>
            <w:webHidden/>
          </w:rPr>
        </w:r>
        <w:r w:rsidR="00EF7043">
          <w:rPr>
            <w:noProof/>
            <w:webHidden/>
          </w:rPr>
          <w:fldChar w:fldCharType="separate"/>
        </w:r>
        <w:r w:rsidR="00013820">
          <w:rPr>
            <w:noProof/>
            <w:webHidden/>
          </w:rPr>
          <w:t>67</w:t>
        </w:r>
        <w:r w:rsidR="00EF7043">
          <w:rPr>
            <w:noProof/>
            <w:webHidden/>
          </w:rPr>
          <w:fldChar w:fldCharType="end"/>
        </w:r>
      </w:hyperlink>
    </w:p>
    <w:p w14:paraId="5B444872" w14:textId="68F78EB2" w:rsidR="00EF7043" w:rsidRDefault="00207CA3">
      <w:pPr>
        <w:pStyle w:val="Seznamobrzk"/>
        <w:tabs>
          <w:tab w:val="right" w:leader="dot" w:pos="9062"/>
        </w:tabs>
        <w:rPr>
          <w:rFonts w:eastAsiaTheme="minorEastAsia"/>
          <w:noProof/>
          <w:kern w:val="2"/>
          <w:lang w:eastAsia="cs-CZ"/>
          <w14:ligatures w14:val="standardContextual"/>
        </w:rPr>
      </w:pPr>
      <w:hyperlink w:anchor="_Toc160457133" w:history="1">
        <w:r w:rsidR="00EF7043" w:rsidRPr="004674B4">
          <w:rPr>
            <w:rStyle w:val="Hypertextovodkaz"/>
            <w:noProof/>
          </w:rPr>
          <w:t>Graf č. 16: Celkový schválené výdaje programu 127 07 (v tis. Kč)</w:t>
        </w:r>
        <w:r w:rsidR="00EF7043">
          <w:rPr>
            <w:noProof/>
            <w:webHidden/>
          </w:rPr>
          <w:tab/>
        </w:r>
        <w:r w:rsidR="00EF7043">
          <w:rPr>
            <w:noProof/>
            <w:webHidden/>
          </w:rPr>
          <w:fldChar w:fldCharType="begin"/>
        </w:r>
        <w:r w:rsidR="00EF7043">
          <w:rPr>
            <w:noProof/>
            <w:webHidden/>
          </w:rPr>
          <w:instrText xml:space="preserve"> PAGEREF _Toc160457133 \h </w:instrText>
        </w:r>
        <w:r w:rsidR="00EF7043">
          <w:rPr>
            <w:noProof/>
            <w:webHidden/>
          </w:rPr>
        </w:r>
        <w:r w:rsidR="00EF7043">
          <w:rPr>
            <w:noProof/>
            <w:webHidden/>
          </w:rPr>
          <w:fldChar w:fldCharType="separate"/>
        </w:r>
        <w:r w:rsidR="00013820">
          <w:rPr>
            <w:noProof/>
            <w:webHidden/>
          </w:rPr>
          <w:t>70</w:t>
        </w:r>
        <w:r w:rsidR="00EF7043">
          <w:rPr>
            <w:noProof/>
            <w:webHidden/>
          </w:rPr>
          <w:fldChar w:fldCharType="end"/>
        </w:r>
      </w:hyperlink>
    </w:p>
    <w:p w14:paraId="659C30BA" w14:textId="773DEAE7" w:rsidR="00EF7043" w:rsidRDefault="00207CA3">
      <w:pPr>
        <w:pStyle w:val="Seznamobrzk"/>
        <w:tabs>
          <w:tab w:val="right" w:leader="dot" w:pos="9062"/>
        </w:tabs>
        <w:rPr>
          <w:rFonts w:eastAsiaTheme="minorEastAsia"/>
          <w:noProof/>
          <w:kern w:val="2"/>
          <w:lang w:eastAsia="cs-CZ"/>
          <w14:ligatures w14:val="standardContextual"/>
        </w:rPr>
      </w:pPr>
      <w:hyperlink w:anchor="_Toc160457134" w:history="1">
        <w:r w:rsidR="00EF7043" w:rsidRPr="004674B4">
          <w:rPr>
            <w:rStyle w:val="Hypertextovodkaz"/>
            <w:noProof/>
          </w:rPr>
          <w:t>Graf č. 17: Celkové schválené výdaje programu 127 65 (v tis. Kč)</w:t>
        </w:r>
        <w:r w:rsidR="00EF7043">
          <w:rPr>
            <w:noProof/>
            <w:webHidden/>
          </w:rPr>
          <w:tab/>
        </w:r>
        <w:r w:rsidR="00EF7043">
          <w:rPr>
            <w:noProof/>
            <w:webHidden/>
          </w:rPr>
          <w:fldChar w:fldCharType="begin"/>
        </w:r>
        <w:r w:rsidR="00EF7043">
          <w:rPr>
            <w:noProof/>
            <w:webHidden/>
          </w:rPr>
          <w:instrText xml:space="preserve"> PAGEREF _Toc160457134 \h </w:instrText>
        </w:r>
        <w:r w:rsidR="00EF7043">
          <w:rPr>
            <w:noProof/>
            <w:webHidden/>
          </w:rPr>
        </w:r>
        <w:r w:rsidR="00EF7043">
          <w:rPr>
            <w:noProof/>
            <w:webHidden/>
          </w:rPr>
          <w:fldChar w:fldCharType="separate"/>
        </w:r>
        <w:r w:rsidR="00013820">
          <w:rPr>
            <w:noProof/>
            <w:webHidden/>
          </w:rPr>
          <w:t>73</w:t>
        </w:r>
        <w:r w:rsidR="00EF7043">
          <w:rPr>
            <w:noProof/>
            <w:webHidden/>
          </w:rPr>
          <w:fldChar w:fldCharType="end"/>
        </w:r>
      </w:hyperlink>
    </w:p>
    <w:p w14:paraId="34063E51" w14:textId="7630EE07" w:rsidR="00EF7043" w:rsidRDefault="00207CA3">
      <w:pPr>
        <w:pStyle w:val="Seznamobrzk"/>
        <w:tabs>
          <w:tab w:val="right" w:leader="dot" w:pos="9062"/>
        </w:tabs>
        <w:rPr>
          <w:rFonts w:eastAsiaTheme="minorEastAsia"/>
          <w:noProof/>
          <w:kern w:val="2"/>
          <w:lang w:eastAsia="cs-CZ"/>
          <w14:ligatures w14:val="standardContextual"/>
        </w:rPr>
      </w:pPr>
      <w:hyperlink w:anchor="_Toc160457135" w:history="1">
        <w:r w:rsidR="00EF7043" w:rsidRPr="004674B4">
          <w:rPr>
            <w:rStyle w:val="Hypertextovodkaz"/>
            <w:noProof/>
          </w:rPr>
          <w:t>Graf č. 18: Celkové schválené výdaje programu 127 67 (v tis. Kč)</w:t>
        </w:r>
        <w:r w:rsidR="00EF7043">
          <w:rPr>
            <w:noProof/>
            <w:webHidden/>
          </w:rPr>
          <w:tab/>
        </w:r>
        <w:r w:rsidR="00EF7043">
          <w:rPr>
            <w:noProof/>
            <w:webHidden/>
          </w:rPr>
          <w:fldChar w:fldCharType="begin"/>
        </w:r>
        <w:r w:rsidR="00EF7043">
          <w:rPr>
            <w:noProof/>
            <w:webHidden/>
          </w:rPr>
          <w:instrText xml:space="preserve"> PAGEREF _Toc160457135 \h </w:instrText>
        </w:r>
        <w:r w:rsidR="00EF7043">
          <w:rPr>
            <w:noProof/>
            <w:webHidden/>
          </w:rPr>
        </w:r>
        <w:r w:rsidR="00EF7043">
          <w:rPr>
            <w:noProof/>
            <w:webHidden/>
          </w:rPr>
          <w:fldChar w:fldCharType="separate"/>
        </w:r>
        <w:r w:rsidR="00013820">
          <w:rPr>
            <w:noProof/>
            <w:webHidden/>
          </w:rPr>
          <w:t>74</w:t>
        </w:r>
        <w:r w:rsidR="00EF7043">
          <w:rPr>
            <w:noProof/>
            <w:webHidden/>
          </w:rPr>
          <w:fldChar w:fldCharType="end"/>
        </w:r>
      </w:hyperlink>
    </w:p>
    <w:p w14:paraId="6E916EBB" w14:textId="7F193A00" w:rsidR="00EF7043" w:rsidRDefault="00207CA3">
      <w:pPr>
        <w:pStyle w:val="Seznamobrzk"/>
        <w:tabs>
          <w:tab w:val="right" w:leader="dot" w:pos="9062"/>
        </w:tabs>
        <w:rPr>
          <w:rFonts w:eastAsiaTheme="minorEastAsia"/>
          <w:noProof/>
          <w:kern w:val="2"/>
          <w:lang w:eastAsia="cs-CZ"/>
          <w14:ligatures w14:val="standardContextual"/>
        </w:rPr>
      </w:pPr>
      <w:hyperlink w:anchor="_Toc160457136" w:history="1">
        <w:r w:rsidR="00EF7043" w:rsidRPr="004674B4">
          <w:rPr>
            <w:rStyle w:val="Hypertextovodkaz"/>
            <w:noProof/>
          </w:rPr>
          <w:t>Graf č. 19: Celkové schválené výdaje programu 127 77 (v tis. Kč)</w:t>
        </w:r>
        <w:r w:rsidR="00EF7043">
          <w:rPr>
            <w:noProof/>
            <w:webHidden/>
          </w:rPr>
          <w:tab/>
        </w:r>
        <w:r w:rsidR="00EF7043">
          <w:rPr>
            <w:noProof/>
            <w:webHidden/>
          </w:rPr>
          <w:fldChar w:fldCharType="begin"/>
        </w:r>
        <w:r w:rsidR="00EF7043">
          <w:rPr>
            <w:noProof/>
            <w:webHidden/>
          </w:rPr>
          <w:instrText xml:space="preserve"> PAGEREF _Toc160457136 \h </w:instrText>
        </w:r>
        <w:r w:rsidR="00EF7043">
          <w:rPr>
            <w:noProof/>
            <w:webHidden/>
          </w:rPr>
        </w:r>
        <w:r w:rsidR="00EF7043">
          <w:rPr>
            <w:noProof/>
            <w:webHidden/>
          </w:rPr>
          <w:fldChar w:fldCharType="separate"/>
        </w:r>
        <w:r w:rsidR="00013820">
          <w:rPr>
            <w:noProof/>
            <w:webHidden/>
          </w:rPr>
          <w:t>76</w:t>
        </w:r>
        <w:r w:rsidR="00EF7043">
          <w:rPr>
            <w:noProof/>
            <w:webHidden/>
          </w:rPr>
          <w:fldChar w:fldCharType="end"/>
        </w:r>
      </w:hyperlink>
    </w:p>
    <w:p w14:paraId="5C51FCCF" w14:textId="0D5447E1" w:rsidR="00EF7043" w:rsidRDefault="00207CA3">
      <w:pPr>
        <w:pStyle w:val="Seznamobrzk"/>
        <w:tabs>
          <w:tab w:val="right" w:leader="dot" w:pos="9062"/>
        </w:tabs>
        <w:rPr>
          <w:rFonts w:eastAsiaTheme="minorEastAsia"/>
          <w:noProof/>
          <w:kern w:val="2"/>
          <w:lang w:eastAsia="cs-CZ"/>
          <w14:ligatures w14:val="standardContextual"/>
        </w:rPr>
      </w:pPr>
      <w:hyperlink w:anchor="_Toc160457137" w:history="1">
        <w:r w:rsidR="00EF7043" w:rsidRPr="004674B4">
          <w:rPr>
            <w:rStyle w:val="Hypertextovodkaz"/>
            <w:noProof/>
          </w:rPr>
          <w:t>Graf č. 20: Srovnání skutečností v letech 2022 a 2023 u Ústředního orgánu MD (v tis. Kč)</w:t>
        </w:r>
        <w:r w:rsidR="00EF7043">
          <w:rPr>
            <w:noProof/>
            <w:webHidden/>
          </w:rPr>
          <w:tab/>
        </w:r>
        <w:r w:rsidR="00EF7043">
          <w:rPr>
            <w:noProof/>
            <w:webHidden/>
          </w:rPr>
          <w:fldChar w:fldCharType="begin"/>
        </w:r>
        <w:r w:rsidR="00EF7043">
          <w:rPr>
            <w:noProof/>
            <w:webHidden/>
          </w:rPr>
          <w:instrText xml:space="preserve"> PAGEREF _Toc160457137 \h </w:instrText>
        </w:r>
        <w:r w:rsidR="00EF7043">
          <w:rPr>
            <w:noProof/>
            <w:webHidden/>
          </w:rPr>
        </w:r>
        <w:r w:rsidR="00EF7043">
          <w:rPr>
            <w:noProof/>
            <w:webHidden/>
          </w:rPr>
          <w:fldChar w:fldCharType="separate"/>
        </w:r>
        <w:r w:rsidR="00013820">
          <w:rPr>
            <w:noProof/>
            <w:webHidden/>
          </w:rPr>
          <w:t>83</w:t>
        </w:r>
        <w:r w:rsidR="00EF7043">
          <w:rPr>
            <w:noProof/>
            <w:webHidden/>
          </w:rPr>
          <w:fldChar w:fldCharType="end"/>
        </w:r>
      </w:hyperlink>
    </w:p>
    <w:p w14:paraId="505C7B39" w14:textId="093F3893" w:rsidR="00EF7043" w:rsidRDefault="00207CA3">
      <w:pPr>
        <w:pStyle w:val="Seznamobrzk"/>
        <w:tabs>
          <w:tab w:val="right" w:leader="dot" w:pos="9062"/>
        </w:tabs>
        <w:rPr>
          <w:rFonts w:eastAsiaTheme="minorEastAsia"/>
          <w:noProof/>
          <w:kern w:val="2"/>
          <w:lang w:eastAsia="cs-CZ"/>
          <w14:ligatures w14:val="standardContextual"/>
        </w:rPr>
      </w:pPr>
      <w:hyperlink w:anchor="_Toc160457138" w:history="1">
        <w:r w:rsidR="00EF7043" w:rsidRPr="004674B4">
          <w:rPr>
            <w:rStyle w:val="Hypertextovodkaz"/>
            <w:noProof/>
          </w:rPr>
          <w:t>Graf č. 21: Srovnání skutečností v letech 2022 a 2023 u Úřadu pro civilní letectví (v tis. Kč)</w:t>
        </w:r>
        <w:r w:rsidR="00EF7043">
          <w:rPr>
            <w:noProof/>
            <w:webHidden/>
          </w:rPr>
          <w:tab/>
        </w:r>
        <w:r w:rsidR="00EF7043">
          <w:rPr>
            <w:noProof/>
            <w:webHidden/>
          </w:rPr>
          <w:fldChar w:fldCharType="begin"/>
        </w:r>
        <w:r w:rsidR="00EF7043">
          <w:rPr>
            <w:noProof/>
            <w:webHidden/>
          </w:rPr>
          <w:instrText xml:space="preserve"> PAGEREF _Toc160457138 \h </w:instrText>
        </w:r>
        <w:r w:rsidR="00EF7043">
          <w:rPr>
            <w:noProof/>
            <w:webHidden/>
          </w:rPr>
        </w:r>
        <w:r w:rsidR="00EF7043">
          <w:rPr>
            <w:noProof/>
            <w:webHidden/>
          </w:rPr>
          <w:fldChar w:fldCharType="separate"/>
        </w:r>
        <w:r w:rsidR="00013820">
          <w:rPr>
            <w:noProof/>
            <w:webHidden/>
          </w:rPr>
          <w:t>88</w:t>
        </w:r>
        <w:r w:rsidR="00EF7043">
          <w:rPr>
            <w:noProof/>
            <w:webHidden/>
          </w:rPr>
          <w:fldChar w:fldCharType="end"/>
        </w:r>
      </w:hyperlink>
    </w:p>
    <w:p w14:paraId="06F01460" w14:textId="58263398" w:rsidR="00EF7043" w:rsidRDefault="00207CA3">
      <w:pPr>
        <w:pStyle w:val="Seznamobrzk"/>
        <w:tabs>
          <w:tab w:val="right" w:leader="dot" w:pos="9062"/>
        </w:tabs>
        <w:rPr>
          <w:rFonts w:eastAsiaTheme="minorEastAsia"/>
          <w:noProof/>
          <w:kern w:val="2"/>
          <w:lang w:eastAsia="cs-CZ"/>
          <w14:ligatures w14:val="standardContextual"/>
        </w:rPr>
      </w:pPr>
      <w:hyperlink w:anchor="_Toc160457139" w:history="1">
        <w:r w:rsidR="00EF7043" w:rsidRPr="004674B4">
          <w:rPr>
            <w:rStyle w:val="Hypertextovodkaz"/>
            <w:noProof/>
          </w:rPr>
          <w:t>Graf č. 22: Srovnání skutečností v letech 2022 a 2023 u Státní plavební správy (v tis. Kč)</w:t>
        </w:r>
        <w:r w:rsidR="00EF7043">
          <w:rPr>
            <w:noProof/>
            <w:webHidden/>
          </w:rPr>
          <w:tab/>
        </w:r>
        <w:r w:rsidR="00EF7043">
          <w:rPr>
            <w:noProof/>
            <w:webHidden/>
          </w:rPr>
          <w:fldChar w:fldCharType="begin"/>
        </w:r>
        <w:r w:rsidR="00EF7043">
          <w:rPr>
            <w:noProof/>
            <w:webHidden/>
          </w:rPr>
          <w:instrText xml:space="preserve"> PAGEREF _Toc160457139 \h </w:instrText>
        </w:r>
        <w:r w:rsidR="00EF7043">
          <w:rPr>
            <w:noProof/>
            <w:webHidden/>
          </w:rPr>
        </w:r>
        <w:r w:rsidR="00EF7043">
          <w:rPr>
            <w:noProof/>
            <w:webHidden/>
          </w:rPr>
          <w:fldChar w:fldCharType="separate"/>
        </w:r>
        <w:r w:rsidR="00013820">
          <w:rPr>
            <w:noProof/>
            <w:webHidden/>
          </w:rPr>
          <w:t>90</w:t>
        </w:r>
        <w:r w:rsidR="00EF7043">
          <w:rPr>
            <w:noProof/>
            <w:webHidden/>
          </w:rPr>
          <w:fldChar w:fldCharType="end"/>
        </w:r>
      </w:hyperlink>
    </w:p>
    <w:p w14:paraId="434A521C" w14:textId="3AC773E0" w:rsidR="00EF7043" w:rsidRDefault="00207CA3">
      <w:pPr>
        <w:pStyle w:val="Seznamobrzk"/>
        <w:tabs>
          <w:tab w:val="right" w:leader="dot" w:pos="9062"/>
        </w:tabs>
        <w:rPr>
          <w:rFonts w:eastAsiaTheme="minorEastAsia"/>
          <w:noProof/>
          <w:kern w:val="2"/>
          <w:lang w:eastAsia="cs-CZ"/>
          <w14:ligatures w14:val="standardContextual"/>
        </w:rPr>
      </w:pPr>
      <w:hyperlink w:anchor="_Toc160457140" w:history="1">
        <w:r w:rsidR="00EF7043" w:rsidRPr="004674B4">
          <w:rPr>
            <w:rStyle w:val="Hypertextovodkaz"/>
            <w:noProof/>
          </w:rPr>
          <w:t>Graf č. 23: Srovnání skutečností v letech 2022 a 2023 u Drážního úřadu (v tis. Kč)</w:t>
        </w:r>
        <w:r w:rsidR="00EF7043">
          <w:rPr>
            <w:noProof/>
            <w:webHidden/>
          </w:rPr>
          <w:tab/>
        </w:r>
        <w:r w:rsidR="00EF7043">
          <w:rPr>
            <w:noProof/>
            <w:webHidden/>
          </w:rPr>
          <w:fldChar w:fldCharType="begin"/>
        </w:r>
        <w:r w:rsidR="00EF7043">
          <w:rPr>
            <w:noProof/>
            <w:webHidden/>
          </w:rPr>
          <w:instrText xml:space="preserve"> PAGEREF _Toc160457140 \h </w:instrText>
        </w:r>
        <w:r w:rsidR="00EF7043">
          <w:rPr>
            <w:noProof/>
            <w:webHidden/>
          </w:rPr>
        </w:r>
        <w:r w:rsidR="00EF7043">
          <w:rPr>
            <w:noProof/>
            <w:webHidden/>
          </w:rPr>
          <w:fldChar w:fldCharType="separate"/>
        </w:r>
        <w:r w:rsidR="00013820">
          <w:rPr>
            <w:noProof/>
            <w:webHidden/>
          </w:rPr>
          <w:t>92</w:t>
        </w:r>
        <w:r w:rsidR="00EF7043">
          <w:rPr>
            <w:noProof/>
            <w:webHidden/>
          </w:rPr>
          <w:fldChar w:fldCharType="end"/>
        </w:r>
      </w:hyperlink>
    </w:p>
    <w:p w14:paraId="153CCE99" w14:textId="129EF64B" w:rsidR="00EF7043" w:rsidRDefault="00207CA3">
      <w:pPr>
        <w:pStyle w:val="Seznamobrzk"/>
        <w:tabs>
          <w:tab w:val="right" w:leader="dot" w:pos="9062"/>
        </w:tabs>
        <w:rPr>
          <w:rFonts w:eastAsiaTheme="minorEastAsia"/>
          <w:noProof/>
          <w:kern w:val="2"/>
          <w:lang w:eastAsia="cs-CZ"/>
          <w14:ligatures w14:val="standardContextual"/>
        </w:rPr>
      </w:pPr>
      <w:hyperlink w:anchor="_Toc160457141" w:history="1">
        <w:r w:rsidR="00EF7043" w:rsidRPr="004674B4">
          <w:rPr>
            <w:rStyle w:val="Hypertextovodkaz"/>
            <w:noProof/>
          </w:rPr>
          <w:t>Graf č. 24: Srovnání skutečností v letech 2022 a 2023 u Drážní inspekce (v tis. Kč)</w:t>
        </w:r>
        <w:r w:rsidR="00EF7043">
          <w:rPr>
            <w:noProof/>
            <w:webHidden/>
          </w:rPr>
          <w:tab/>
        </w:r>
        <w:r w:rsidR="00EF7043">
          <w:rPr>
            <w:noProof/>
            <w:webHidden/>
          </w:rPr>
          <w:fldChar w:fldCharType="begin"/>
        </w:r>
        <w:r w:rsidR="00EF7043">
          <w:rPr>
            <w:noProof/>
            <w:webHidden/>
          </w:rPr>
          <w:instrText xml:space="preserve"> PAGEREF _Toc160457141 \h </w:instrText>
        </w:r>
        <w:r w:rsidR="00EF7043">
          <w:rPr>
            <w:noProof/>
            <w:webHidden/>
          </w:rPr>
        </w:r>
        <w:r w:rsidR="00EF7043">
          <w:rPr>
            <w:noProof/>
            <w:webHidden/>
          </w:rPr>
          <w:fldChar w:fldCharType="separate"/>
        </w:r>
        <w:r w:rsidR="00013820">
          <w:rPr>
            <w:noProof/>
            <w:webHidden/>
          </w:rPr>
          <w:t>94</w:t>
        </w:r>
        <w:r w:rsidR="00EF7043">
          <w:rPr>
            <w:noProof/>
            <w:webHidden/>
          </w:rPr>
          <w:fldChar w:fldCharType="end"/>
        </w:r>
      </w:hyperlink>
    </w:p>
    <w:p w14:paraId="58CE6F90" w14:textId="060753F3" w:rsidR="00EF7043" w:rsidRDefault="00207CA3" w:rsidP="008A6694">
      <w:pPr>
        <w:pStyle w:val="Seznamobrzk"/>
        <w:tabs>
          <w:tab w:val="right" w:leader="dot" w:pos="9062"/>
        </w:tabs>
        <w:ind w:left="993" w:hanging="993"/>
        <w:rPr>
          <w:rFonts w:eastAsiaTheme="minorEastAsia"/>
          <w:noProof/>
          <w:kern w:val="2"/>
          <w:lang w:eastAsia="cs-CZ"/>
          <w14:ligatures w14:val="standardContextual"/>
        </w:rPr>
      </w:pPr>
      <w:hyperlink w:anchor="_Toc160457142" w:history="1">
        <w:r w:rsidR="00EF7043" w:rsidRPr="004674B4">
          <w:rPr>
            <w:rStyle w:val="Hypertextovodkaz"/>
            <w:noProof/>
          </w:rPr>
          <w:t xml:space="preserve">Graf č. 25: Srovnání skutečností v letech 2022 a 2023 u Ústavu pro odborné zjišťování </w:t>
        </w:r>
        <w:r w:rsidR="008A6694">
          <w:rPr>
            <w:rStyle w:val="Hypertextovodkaz"/>
            <w:noProof/>
          </w:rPr>
          <w:br/>
        </w:r>
        <w:r w:rsidR="00EF7043" w:rsidRPr="004674B4">
          <w:rPr>
            <w:rStyle w:val="Hypertextovodkaz"/>
            <w:noProof/>
          </w:rPr>
          <w:t>příčin leteckých nehod (v tis. Kč)</w:t>
        </w:r>
        <w:r w:rsidR="00EF7043">
          <w:rPr>
            <w:noProof/>
            <w:webHidden/>
          </w:rPr>
          <w:tab/>
        </w:r>
        <w:r w:rsidR="00EF7043">
          <w:rPr>
            <w:noProof/>
            <w:webHidden/>
          </w:rPr>
          <w:fldChar w:fldCharType="begin"/>
        </w:r>
        <w:r w:rsidR="00EF7043">
          <w:rPr>
            <w:noProof/>
            <w:webHidden/>
          </w:rPr>
          <w:instrText xml:space="preserve"> PAGEREF _Toc160457142 \h </w:instrText>
        </w:r>
        <w:r w:rsidR="00EF7043">
          <w:rPr>
            <w:noProof/>
            <w:webHidden/>
          </w:rPr>
        </w:r>
        <w:r w:rsidR="00EF7043">
          <w:rPr>
            <w:noProof/>
            <w:webHidden/>
          </w:rPr>
          <w:fldChar w:fldCharType="separate"/>
        </w:r>
        <w:r w:rsidR="00013820">
          <w:rPr>
            <w:noProof/>
            <w:webHidden/>
          </w:rPr>
          <w:t>96</w:t>
        </w:r>
        <w:r w:rsidR="00EF7043">
          <w:rPr>
            <w:noProof/>
            <w:webHidden/>
          </w:rPr>
          <w:fldChar w:fldCharType="end"/>
        </w:r>
      </w:hyperlink>
    </w:p>
    <w:p w14:paraId="029AD90F" w14:textId="58C6613B" w:rsidR="00EF7043" w:rsidRDefault="00207CA3">
      <w:pPr>
        <w:pStyle w:val="Seznamobrzk"/>
        <w:tabs>
          <w:tab w:val="right" w:leader="dot" w:pos="9062"/>
        </w:tabs>
        <w:rPr>
          <w:rFonts w:eastAsiaTheme="minorEastAsia"/>
          <w:noProof/>
          <w:kern w:val="2"/>
          <w:lang w:eastAsia="cs-CZ"/>
          <w14:ligatures w14:val="standardContextual"/>
        </w:rPr>
      </w:pPr>
      <w:hyperlink w:anchor="_Toc160457143" w:history="1">
        <w:r w:rsidR="00EF7043" w:rsidRPr="004674B4">
          <w:rPr>
            <w:rStyle w:val="Hypertextovodkaz"/>
            <w:noProof/>
          </w:rPr>
          <w:t>Graf č. 26: Srovnání skutečností v letech 2022 a 2023 u Ředitelství vodních cest (v tis. Kč)</w:t>
        </w:r>
        <w:r w:rsidR="00EF7043">
          <w:rPr>
            <w:noProof/>
            <w:webHidden/>
          </w:rPr>
          <w:tab/>
        </w:r>
        <w:r w:rsidR="00EF7043">
          <w:rPr>
            <w:noProof/>
            <w:webHidden/>
          </w:rPr>
          <w:fldChar w:fldCharType="begin"/>
        </w:r>
        <w:r w:rsidR="00EF7043">
          <w:rPr>
            <w:noProof/>
            <w:webHidden/>
          </w:rPr>
          <w:instrText xml:space="preserve"> PAGEREF _Toc160457143 \h </w:instrText>
        </w:r>
        <w:r w:rsidR="00EF7043">
          <w:rPr>
            <w:noProof/>
            <w:webHidden/>
          </w:rPr>
        </w:r>
        <w:r w:rsidR="00EF7043">
          <w:rPr>
            <w:noProof/>
            <w:webHidden/>
          </w:rPr>
          <w:fldChar w:fldCharType="separate"/>
        </w:r>
        <w:r w:rsidR="00013820">
          <w:rPr>
            <w:noProof/>
            <w:webHidden/>
          </w:rPr>
          <w:t>98</w:t>
        </w:r>
        <w:r w:rsidR="00EF7043">
          <w:rPr>
            <w:noProof/>
            <w:webHidden/>
          </w:rPr>
          <w:fldChar w:fldCharType="end"/>
        </w:r>
      </w:hyperlink>
    </w:p>
    <w:p w14:paraId="0985BD97" w14:textId="33FC7553" w:rsidR="00EF7043" w:rsidRDefault="00207CA3">
      <w:pPr>
        <w:pStyle w:val="Seznamobrzk"/>
        <w:tabs>
          <w:tab w:val="right" w:leader="dot" w:pos="9062"/>
        </w:tabs>
        <w:rPr>
          <w:rFonts w:eastAsiaTheme="minorEastAsia"/>
          <w:noProof/>
          <w:kern w:val="2"/>
          <w:lang w:eastAsia="cs-CZ"/>
          <w14:ligatures w14:val="standardContextual"/>
        </w:rPr>
      </w:pPr>
      <w:hyperlink w:anchor="_Toc160457144" w:history="1">
        <w:r w:rsidR="00EF7043" w:rsidRPr="004674B4">
          <w:rPr>
            <w:rStyle w:val="Hypertextovodkaz"/>
            <w:noProof/>
          </w:rPr>
          <w:t>Graf č. 27: Transfery zřízeným příspěvkovým organizacím za rok 2023 (v tis. Kč)</w:t>
        </w:r>
        <w:r w:rsidR="00EF7043">
          <w:rPr>
            <w:noProof/>
            <w:webHidden/>
          </w:rPr>
          <w:tab/>
        </w:r>
        <w:r w:rsidR="00EF7043">
          <w:rPr>
            <w:noProof/>
            <w:webHidden/>
          </w:rPr>
          <w:fldChar w:fldCharType="begin"/>
        </w:r>
        <w:r w:rsidR="00EF7043">
          <w:rPr>
            <w:noProof/>
            <w:webHidden/>
          </w:rPr>
          <w:instrText xml:space="preserve"> PAGEREF _Toc160457144 \h </w:instrText>
        </w:r>
        <w:r w:rsidR="00EF7043">
          <w:rPr>
            <w:noProof/>
            <w:webHidden/>
          </w:rPr>
        </w:r>
        <w:r w:rsidR="00EF7043">
          <w:rPr>
            <w:noProof/>
            <w:webHidden/>
          </w:rPr>
          <w:fldChar w:fldCharType="separate"/>
        </w:r>
        <w:r w:rsidR="00013820">
          <w:rPr>
            <w:noProof/>
            <w:webHidden/>
          </w:rPr>
          <w:t>100</w:t>
        </w:r>
        <w:r w:rsidR="00EF7043">
          <w:rPr>
            <w:noProof/>
            <w:webHidden/>
          </w:rPr>
          <w:fldChar w:fldCharType="end"/>
        </w:r>
      </w:hyperlink>
    </w:p>
    <w:p w14:paraId="6AC6F29E" w14:textId="3224CBB5" w:rsidR="00EF7043" w:rsidRDefault="00207CA3">
      <w:pPr>
        <w:pStyle w:val="Seznamobrzk"/>
        <w:tabs>
          <w:tab w:val="right" w:leader="dot" w:pos="9062"/>
        </w:tabs>
        <w:rPr>
          <w:rFonts w:eastAsiaTheme="minorEastAsia"/>
          <w:noProof/>
          <w:kern w:val="2"/>
          <w:lang w:eastAsia="cs-CZ"/>
          <w14:ligatures w14:val="standardContextual"/>
        </w:rPr>
      </w:pPr>
      <w:hyperlink w:anchor="_Toc160457145" w:history="1">
        <w:r w:rsidR="00EF7043" w:rsidRPr="004674B4">
          <w:rPr>
            <w:rStyle w:val="Hypertextovodkaz"/>
            <w:noProof/>
          </w:rPr>
          <w:t>Graf č. 28: Srovnání skutečností u Ředitelství silnic a dálnic ČR v letech 2022 a 2023 (v tis. Kč)</w:t>
        </w:r>
        <w:r w:rsidR="00EF7043">
          <w:rPr>
            <w:noProof/>
            <w:webHidden/>
          </w:rPr>
          <w:tab/>
        </w:r>
        <w:r w:rsidR="00EF7043">
          <w:rPr>
            <w:noProof/>
            <w:webHidden/>
          </w:rPr>
          <w:fldChar w:fldCharType="begin"/>
        </w:r>
        <w:r w:rsidR="00EF7043">
          <w:rPr>
            <w:noProof/>
            <w:webHidden/>
          </w:rPr>
          <w:instrText xml:space="preserve"> PAGEREF _Toc160457145 \h </w:instrText>
        </w:r>
        <w:r w:rsidR="00EF7043">
          <w:rPr>
            <w:noProof/>
            <w:webHidden/>
          </w:rPr>
        </w:r>
        <w:r w:rsidR="00EF7043">
          <w:rPr>
            <w:noProof/>
            <w:webHidden/>
          </w:rPr>
          <w:fldChar w:fldCharType="separate"/>
        </w:r>
        <w:r w:rsidR="00013820">
          <w:rPr>
            <w:noProof/>
            <w:webHidden/>
          </w:rPr>
          <w:t>102</w:t>
        </w:r>
        <w:r w:rsidR="00EF7043">
          <w:rPr>
            <w:noProof/>
            <w:webHidden/>
          </w:rPr>
          <w:fldChar w:fldCharType="end"/>
        </w:r>
      </w:hyperlink>
    </w:p>
    <w:p w14:paraId="6D568109" w14:textId="62259622" w:rsidR="00EF7043" w:rsidRDefault="00207CA3" w:rsidP="008A6694">
      <w:pPr>
        <w:pStyle w:val="Seznamobrzk"/>
        <w:tabs>
          <w:tab w:val="right" w:leader="dot" w:pos="9062"/>
        </w:tabs>
        <w:ind w:left="851" w:hanging="851"/>
        <w:rPr>
          <w:rFonts w:eastAsiaTheme="minorEastAsia"/>
          <w:noProof/>
          <w:kern w:val="2"/>
          <w:lang w:eastAsia="cs-CZ"/>
          <w14:ligatures w14:val="standardContextual"/>
        </w:rPr>
      </w:pPr>
      <w:hyperlink w:anchor="_Toc160457146" w:history="1">
        <w:r w:rsidR="00EF7043" w:rsidRPr="004674B4">
          <w:rPr>
            <w:rStyle w:val="Hypertextovodkaz"/>
            <w:noProof/>
          </w:rPr>
          <w:t xml:space="preserve">Graf č. 29 Srovnání skutečností u Centra služeb pro silniční dopravu </w:t>
        </w:r>
        <w:r w:rsidR="008A6694">
          <w:rPr>
            <w:rStyle w:val="Hypertextovodkaz"/>
            <w:noProof/>
          </w:rPr>
          <w:br/>
        </w:r>
        <w:r w:rsidR="00EF7043" w:rsidRPr="004674B4">
          <w:rPr>
            <w:rStyle w:val="Hypertextovodkaz"/>
            <w:noProof/>
          </w:rPr>
          <w:t>v letech 2022 a 2023  (v tis. Kč)</w:t>
        </w:r>
        <w:r w:rsidR="00EF7043">
          <w:rPr>
            <w:noProof/>
            <w:webHidden/>
          </w:rPr>
          <w:tab/>
        </w:r>
        <w:r w:rsidR="00EF7043">
          <w:rPr>
            <w:noProof/>
            <w:webHidden/>
          </w:rPr>
          <w:fldChar w:fldCharType="begin"/>
        </w:r>
        <w:r w:rsidR="00EF7043">
          <w:rPr>
            <w:noProof/>
            <w:webHidden/>
          </w:rPr>
          <w:instrText xml:space="preserve"> PAGEREF _Toc160457146 \h </w:instrText>
        </w:r>
        <w:r w:rsidR="00EF7043">
          <w:rPr>
            <w:noProof/>
            <w:webHidden/>
          </w:rPr>
        </w:r>
        <w:r w:rsidR="00EF7043">
          <w:rPr>
            <w:noProof/>
            <w:webHidden/>
          </w:rPr>
          <w:fldChar w:fldCharType="separate"/>
        </w:r>
        <w:r w:rsidR="00013820">
          <w:rPr>
            <w:noProof/>
            <w:webHidden/>
          </w:rPr>
          <w:t>104</w:t>
        </w:r>
        <w:r w:rsidR="00EF7043">
          <w:rPr>
            <w:noProof/>
            <w:webHidden/>
          </w:rPr>
          <w:fldChar w:fldCharType="end"/>
        </w:r>
      </w:hyperlink>
    </w:p>
    <w:p w14:paraId="2AA12BAF" w14:textId="59185C2C" w:rsidR="00EF7043" w:rsidRDefault="00207CA3">
      <w:pPr>
        <w:pStyle w:val="Seznamobrzk"/>
        <w:tabs>
          <w:tab w:val="right" w:leader="dot" w:pos="9062"/>
        </w:tabs>
        <w:rPr>
          <w:rFonts w:eastAsiaTheme="minorEastAsia"/>
          <w:noProof/>
          <w:kern w:val="2"/>
          <w:lang w:eastAsia="cs-CZ"/>
          <w14:ligatures w14:val="standardContextual"/>
        </w:rPr>
      </w:pPr>
      <w:hyperlink w:anchor="_Toc160457147" w:history="1">
        <w:r w:rsidR="00EF7043" w:rsidRPr="004674B4">
          <w:rPr>
            <w:rStyle w:val="Hypertextovodkaz"/>
            <w:noProof/>
          </w:rPr>
          <w:t>Graf č. 30: Srovnání dotací poskytnutých SFDI v letech 2022 a 2023 (v tis. Kč)</w:t>
        </w:r>
        <w:r w:rsidR="00EF7043">
          <w:rPr>
            <w:noProof/>
            <w:webHidden/>
          </w:rPr>
          <w:tab/>
        </w:r>
        <w:r w:rsidR="00EF7043">
          <w:rPr>
            <w:noProof/>
            <w:webHidden/>
          </w:rPr>
          <w:fldChar w:fldCharType="begin"/>
        </w:r>
        <w:r w:rsidR="00EF7043">
          <w:rPr>
            <w:noProof/>
            <w:webHidden/>
          </w:rPr>
          <w:instrText xml:space="preserve"> PAGEREF _Toc160457147 \h </w:instrText>
        </w:r>
        <w:r w:rsidR="00EF7043">
          <w:rPr>
            <w:noProof/>
            <w:webHidden/>
          </w:rPr>
        </w:r>
        <w:r w:rsidR="00EF7043">
          <w:rPr>
            <w:noProof/>
            <w:webHidden/>
          </w:rPr>
          <w:fldChar w:fldCharType="separate"/>
        </w:r>
        <w:r w:rsidR="00013820">
          <w:rPr>
            <w:noProof/>
            <w:webHidden/>
          </w:rPr>
          <w:t>123</w:t>
        </w:r>
        <w:r w:rsidR="00EF7043">
          <w:rPr>
            <w:noProof/>
            <w:webHidden/>
          </w:rPr>
          <w:fldChar w:fldCharType="end"/>
        </w:r>
      </w:hyperlink>
    </w:p>
    <w:p w14:paraId="0415A455" w14:textId="687634AB" w:rsidR="00EF7043" w:rsidRDefault="00207CA3">
      <w:pPr>
        <w:pStyle w:val="Seznamobrzk"/>
        <w:tabs>
          <w:tab w:val="right" w:leader="dot" w:pos="9062"/>
        </w:tabs>
        <w:rPr>
          <w:rFonts w:eastAsiaTheme="minorEastAsia"/>
          <w:noProof/>
          <w:kern w:val="2"/>
          <w:lang w:eastAsia="cs-CZ"/>
          <w14:ligatures w14:val="standardContextual"/>
        </w:rPr>
      </w:pPr>
      <w:hyperlink w:anchor="_Toc160457148" w:history="1">
        <w:r w:rsidR="00EF7043" w:rsidRPr="004674B4">
          <w:rPr>
            <w:rStyle w:val="Hypertextovodkaz"/>
            <w:noProof/>
          </w:rPr>
          <w:t>Graf č. 31: Stav čerpání nároků z nespotřebovaných výdajů dle jednotlivých OSS (v tis. Kč)</w:t>
        </w:r>
        <w:r w:rsidR="00EF7043">
          <w:rPr>
            <w:noProof/>
            <w:webHidden/>
          </w:rPr>
          <w:tab/>
        </w:r>
        <w:r w:rsidR="00EF7043">
          <w:rPr>
            <w:noProof/>
            <w:webHidden/>
          </w:rPr>
          <w:fldChar w:fldCharType="begin"/>
        </w:r>
        <w:r w:rsidR="00EF7043">
          <w:rPr>
            <w:noProof/>
            <w:webHidden/>
          </w:rPr>
          <w:instrText xml:space="preserve"> PAGEREF _Toc160457148 \h </w:instrText>
        </w:r>
        <w:r w:rsidR="00EF7043">
          <w:rPr>
            <w:noProof/>
            <w:webHidden/>
          </w:rPr>
        </w:r>
        <w:r w:rsidR="00EF7043">
          <w:rPr>
            <w:noProof/>
            <w:webHidden/>
          </w:rPr>
          <w:fldChar w:fldCharType="separate"/>
        </w:r>
        <w:r w:rsidR="00013820">
          <w:rPr>
            <w:noProof/>
            <w:webHidden/>
          </w:rPr>
          <w:t>130</w:t>
        </w:r>
        <w:r w:rsidR="00EF7043">
          <w:rPr>
            <w:noProof/>
            <w:webHidden/>
          </w:rPr>
          <w:fldChar w:fldCharType="end"/>
        </w:r>
      </w:hyperlink>
    </w:p>
    <w:p w14:paraId="4D4DF67E" w14:textId="4406B005" w:rsidR="00EF7043" w:rsidRDefault="00207CA3">
      <w:pPr>
        <w:pStyle w:val="Seznamobrzk"/>
        <w:tabs>
          <w:tab w:val="right" w:leader="dot" w:pos="9062"/>
        </w:tabs>
        <w:rPr>
          <w:rFonts w:eastAsiaTheme="minorEastAsia"/>
          <w:noProof/>
          <w:kern w:val="2"/>
          <w:lang w:eastAsia="cs-CZ"/>
          <w14:ligatures w14:val="standardContextual"/>
        </w:rPr>
      </w:pPr>
      <w:hyperlink w:anchor="_Toc160457149" w:history="1">
        <w:r w:rsidR="00EF7043" w:rsidRPr="004674B4">
          <w:rPr>
            <w:rStyle w:val="Hypertextovodkaz"/>
            <w:noProof/>
          </w:rPr>
          <w:t>Graf č. 32: Čerpání nároků dle specifických ukazatelů</w:t>
        </w:r>
        <w:r w:rsidR="00EF7043">
          <w:rPr>
            <w:noProof/>
            <w:webHidden/>
          </w:rPr>
          <w:tab/>
        </w:r>
        <w:r w:rsidR="00EF7043">
          <w:rPr>
            <w:noProof/>
            <w:webHidden/>
          </w:rPr>
          <w:fldChar w:fldCharType="begin"/>
        </w:r>
        <w:r w:rsidR="00EF7043">
          <w:rPr>
            <w:noProof/>
            <w:webHidden/>
          </w:rPr>
          <w:instrText xml:space="preserve"> PAGEREF _Toc160457149 \h </w:instrText>
        </w:r>
        <w:r w:rsidR="00EF7043">
          <w:rPr>
            <w:noProof/>
            <w:webHidden/>
          </w:rPr>
        </w:r>
        <w:r w:rsidR="00EF7043">
          <w:rPr>
            <w:noProof/>
            <w:webHidden/>
          </w:rPr>
          <w:fldChar w:fldCharType="separate"/>
        </w:r>
        <w:r w:rsidR="00013820">
          <w:rPr>
            <w:noProof/>
            <w:webHidden/>
          </w:rPr>
          <w:t>131</w:t>
        </w:r>
        <w:r w:rsidR="00EF7043">
          <w:rPr>
            <w:noProof/>
            <w:webHidden/>
          </w:rPr>
          <w:fldChar w:fldCharType="end"/>
        </w:r>
      </w:hyperlink>
    </w:p>
    <w:p w14:paraId="629D19C1" w14:textId="42F620A8" w:rsidR="00F1008E" w:rsidRPr="0077128B" w:rsidRDefault="00471E06">
      <w:pPr>
        <w:rPr>
          <w:rFonts w:ascii="Times New Roman" w:hAnsi="Times New Roman" w:cs="Times New Roman"/>
          <w:color w:val="FF0000"/>
          <w:sz w:val="24"/>
          <w:szCs w:val="24"/>
        </w:rPr>
      </w:pPr>
      <w:r w:rsidRPr="0077128B">
        <w:rPr>
          <w:rFonts w:ascii="Times New Roman" w:hAnsi="Times New Roman" w:cs="Times New Roman"/>
          <w:color w:val="FF0000"/>
          <w:sz w:val="24"/>
          <w:szCs w:val="24"/>
        </w:rPr>
        <w:fldChar w:fldCharType="end"/>
      </w:r>
    </w:p>
    <w:p w14:paraId="0B09CD0F" w14:textId="77777777" w:rsidR="00FB650C" w:rsidRPr="0077128B" w:rsidRDefault="00FB650C">
      <w:pPr>
        <w:rPr>
          <w:b/>
          <w:color w:val="FF0000"/>
          <w:u w:val="single"/>
        </w:rPr>
      </w:pPr>
    </w:p>
    <w:p w14:paraId="0B8978BF" w14:textId="77777777" w:rsidR="003C4602" w:rsidRPr="0077128B" w:rsidRDefault="003C4602">
      <w:pPr>
        <w:rPr>
          <w:b/>
          <w:color w:val="FF0000"/>
          <w:u w:val="single"/>
        </w:rPr>
        <w:sectPr w:rsidR="003C4602" w:rsidRPr="0077128B" w:rsidSect="002A0ABA">
          <w:footerReference w:type="default" r:id="rId13"/>
          <w:pgSz w:w="11906" w:h="16838"/>
          <w:pgMar w:top="1417" w:right="1417" w:bottom="1417" w:left="1417" w:header="708" w:footer="708" w:gutter="0"/>
          <w:cols w:space="708"/>
          <w:docGrid w:linePitch="360"/>
        </w:sectPr>
      </w:pPr>
    </w:p>
    <w:p w14:paraId="33E9E5E1" w14:textId="1D2424C3" w:rsidR="000B0D76" w:rsidRPr="006B6D61" w:rsidRDefault="00342109">
      <w:pPr>
        <w:pStyle w:val="KOMNadp1"/>
      </w:pPr>
      <w:bookmarkStart w:id="0" w:name="_Toc128399994"/>
      <w:bookmarkStart w:id="1" w:name="_Toc162269230"/>
      <w:r w:rsidRPr="006B6D61">
        <w:lastRenderedPageBreak/>
        <w:t>ÚVOD</w:t>
      </w:r>
      <w:bookmarkEnd w:id="0"/>
      <w:bookmarkEnd w:id="1"/>
      <w:r w:rsidRPr="006B6D61">
        <w:t xml:space="preserve"> </w:t>
      </w:r>
    </w:p>
    <w:p w14:paraId="4439965E" w14:textId="255F3B69" w:rsidR="009B7DE1" w:rsidRPr="0077128B" w:rsidRDefault="009B7DE1" w:rsidP="009B7DE1">
      <w:pPr>
        <w:pStyle w:val="KOMtext"/>
        <w:rPr>
          <w:color w:val="FF0000"/>
          <w:szCs w:val="24"/>
        </w:rPr>
      </w:pPr>
      <w:r w:rsidRPr="006B6D61">
        <w:rPr>
          <w:szCs w:val="24"/>
        </w:rPr>
        <w:t>Rozpočet příjmů a výdajů na rok 202</w:t>
      </w:r>
      <w:r w:rsidR="00AF0262" w:rsidRPr="006B6D61">
        <w:rPr>
          <w:szCs w:val="24"/>
        </w:rPr>
        <w:t>3</w:t>
      </w:r>
      <w:r w:rsidRPr="006B6D61">
        <w:rPr>
          <w:szCs w:val="24"/>
        </w:rPr>
        <w:t xml:space="preserve"> byl kapitole 327 Ministerstvo dopravy stanoven zákonem č. </w:t>
      </w:r>
      <w:r w:rsidR="007E43A8" w:rsidRPr="006B6D61">
        <w:rPr>
          <w:szCs w:val="24"/>
        </w:rPr>
        <w:t>449</w:t>
      </w:r>
      <w:r w:rsidRPr="006B6D61">
        <w:rPr>
          <w:szCs w:val="24"/>
        </w:rPr>
        <w:t>/20</w:t>
      </w:r>
      <w:r w:rsidR="007E43A8" w:rsidRPr="006B6D61">
        <w:rPr>
          <w:szCs w:val="24"/>
        </w:rPr>
        <w:t>22</w:t>
      </w:r>
      <w:r w:rsidRPr="006B6D61">
        <w:rPr>
          <w:szCs w:val="24"/>
        </w:rPr>
        <w:t xml:space="preserve"> Sb., o státním rozpočtu České republiky na rok 202</w:t>
      </w:r>
      <w:r w:rsidR="00AF0262" w:rsidRPr="006B6D61">
        <w:rPr>
          <w:szCs w:val="24"/>
        </w:rPr>
        <w:t>3</w:t>
      </w:r>
      <w:r w:rsidR="004D6D5F" w:rsidRPr="006B6D61">
        <w:rPr>
          <w:szCs w:val="24"/>
        </w:rPr>
        <w:t xml:space="preserve">. </w:t>
      </w:r>
    </w:p>
    <w:p w14:paraId="704A8044" w14:textId="1BCF1030" w:rsidR="009B7DE1" w:rsidRPr="006B6D61" w:rsidRDefault="009B7DE1" w:rsidP="009B7DE1">
      <w:pPr>
        <w:pStyle w:val="KOMtext"/>
        <w:rPr>
          <w:szCs w:val="24"/>
        </w:rPr>
      </w:pPr>
      <w:r w:rsidRPr="006B6D61">
        <w:rPr>
          <w:szCs w:val="24"/>
        </w:rPr>
        <w:t xml:space="preserve">Ministerstvo dopravy je ústředním orgánem státní správy ve věcech dopravy a odpovídá </w:t>
      </w:r>
      <w:r w:rsidRPr="006B6D61">
        <w:rPr>
          <w:szCs w:val="24"/>
        </w:rPr>
        <w:br/>
        <w:t xml:space="preserve">za tvorbu a uskutečňování státní politiky v oblasti dopravy v rozsahu své působnosti. </w:t>
      </w:r>
      <w:r w:rsidRPr="006B6D61">
        <w:rPr>
          <w:szCs w:val="24"/>
        </w:rPr>
        <w:br/>
        <w:t>Ze zásadních činností Ministerstva dopravy vyplývají hlavní výdajové priority, které se odvíjí od úkolů stanovených příslušnými požadavky vlády České republiky (výstavba a provozování dopravní infrastruktury) a zákonnými normami, zejména zákonem č. 77/2002 Sb., o akciové společnosti České dráhy, státní organizaci Správa železniční dopravní cesty a o změně zákona č. 266/1994 Sb., o dráhách, ve znění pozdějších předpisů, a zákona č. 77/1997 Sb., o státním podniku, ve znění pozdějších předpisů. Dále je to soubor zákonů souvisejících se zajištěním činností spojených s dopravně správními agendami.</w:t>
      </w:r>
    </w:p>
    <w:p w14:paraId="7527B506" w14:textId="517703A2" w:rsidR="009B7DE1" w:rsidRPr="006B6D61" w:rsidRDefault="009B7DE1" w:rsidP="009B7DE1">
      <w:pPr>
        <w:pStyle w:val="KOMtext"/>
        <w:rPr>
          <w:szCs w:val="24"/>
        </w:rPr>
      </w:pPr>
      <w:r w:rsidRPr="006B6D61">
        <w:rPr>
          <w:szCs w:val="24"/>
        </w:rPr>
        <w:t xml:space="preserve">Rok </w:t>
      </w:r>
      <w:r w:rsidR="00465B15" w:rsidRPr="006B6D61">
        <w:rPr>
          <w:szCs w:val="24"/>
        </w:rPr>
        <w:t xml:space="preserve">2023 </w:t>
      </w:r>
      <w:r w:rsidRPr="006B6D61">
        <w:rPr>
          <w:szCs w:val="24"/>
        </w:rPr>
        <w:t>proběhl v </w:t>
      </w:r>
      <w:proofErr w:type="gramStart"/>
      <w:r w:rsidRPr="006B6D61">
        <w:rPr>
          <w:szCs w:val="24"/>
        </w:rPr>
        <w:t>rezortu</w:t>
      </w:r>
      <w:proofErr w:type="gramEnd"/>
      <w:r w:rsidRPr="006B6D61">
        <w:rPr>
          <w:szCs w:val="24"/>
        </w:rPr>
        <w:t xml:space="preserve"> dopravy v souladu s Programovým prohlášením vlády ČR. Tomu odpovídalo i průběžné zajišťování hlavních rozpočtových priorit, mezi které byly zařazeny:</w:t>
      </w:r>
    </w:p>
    <w:p w14:paraId="0F589EFE" w14:textId="77777777" w:rsidR="009B7DE1" w:rsidRPr="006B6D61" w:rsidRDefault="009B7DE1">
      <w:pPr>
        <w:pStyle w:val="KOModrky"/>
      </w:pPr>
      <w:r w:rsidRPr="006B6D61">
        <w:t>Výdaje na financování společných programů EU a ČR;</w:t>
      </w:r>
    </w:p>
    <w:p w14:paraId="55D83AD5" w14:textId="77777777" w:rsidR="009B7DE1" w:rsidRPr="006B6D61" w:rsidRDefault="009B7DE1">
      <w:pPr>
        <w:pStyle w:val="KOModrky"/>
      </w:pPr>
      <w:r w:rsidRPr="006B6D61">
        <w:t>Úhrada ztráty ze závazku veřejné služby ve veřejné drážní osobní dopravě;</w:t>
      </w:r>
    </w:p>
    <w:p w14:paraId="6355DEEF" w14:textId="77777777" w:rsidR="009B7DE1" w:rsidRPr="006B6D61" w:rsidRDefault="009B7DE1">
      <w:pPr>
        <w:pStyle w:val="KOModrky"/>
      </w:pPr>
      <w:r w:rsidRPr="006B6D61">
        <w:t>Dotace Státnímu fondu dopravní infrastruktury;</w:t>
      </w:r>
    </w:p>
    <w:p w14:paraId="705663B1" w14:textId="77777777" w:rsidR="009B7DE1" w:rsidRPr="006B6D61" w:rsidRDefault="009B7DE1">
      <w:pPr>
        <w:pStyle w:val="KOModrky"/>
      </w:pPr>
      <w:r w:rsidRPr="006B6D61">
        <w:t>Výdaje na volitelné programy ESA;</w:t>
      </w:r>
    </w:p>
    <w:p w14:paraId="3D3B7A95" w14:textId="77777777" w:rsidR="009B7DE1" w:rsidRPr="006B6D61" w:rsidRDefault="009B7DE1">
      <w:pPr>
        <w:pStyle w:val="KOModrky"/>
      </w:pPr>
      <w:r w:rsidRPr="006B6D61">
        <w:t>Výdaje na financování programů reprodukce majetku;</w:t>
      </w:r>
    </w:p>
    <w:p w14:paraId="2DDA7495" w14:textId="77777777" w:rsidR="009B7DE1" w:rsidRPr="006B6D61" w:rsidRDefault="009B7DE1">
      <w:pPr>
        <w:pStyle w:val="KOModrky"/>
      </w:pPr>
      <w:r w:rsidRPr="006B6D61">
        <w:t>Kompenzace slev jízdného;</w:t>
      </w:r>
    </w:p>
    <w:p w14:paraId="30B7326D" w14:textId="77777777" w:rsidR="009B7DE1" w:rsidRPr="006B6D61" w:rsidRDefault="009B7DE1">
      <w:pPr>
        <w:pStyle w:val="KOModrky"/>
      </w:pPr>
      <w:r w:rsidRPr="006B6D61">
        <w:t>Výdaje na zabezpečení činností orgánů státní správy.</w:t>
      </w:r>
    </w:p>
    <w:p w14:paraId="7F163F35" w14:textId="4BB19FCA" w:rsidR="009B7DE1" w:rsidRPr="006B6D61" w:rsidRDefault="009B7DE1" w:rsidP="009B7DE1">
      <w:pPr>
        <w:pStyle w:val="KOMtext"/>
        <w:rPr>
          <w:szCs w:val="24"/>
        </w:rPr>
      </w:pPr>
      <w:r w:rsidRPr="006B6D61">
        <w:rPr>
          <w:szCs w:val="24"/>
        </w:rPr>
        <w:t xml:space="preserve">Ministerstvo dopravy se i nadále ve své práci opírá o dva klíčové koncepční dokumenty – „Dopravní politika České republiky pro období </w:t>
      </w:r>
      <w:proofErr w:type="gramStart"/>
      <w:r w:rsidRPr="006B6D61">
        <w:rPr>
          <w:szCs w:val="24"/>
        </w:rPr>
        <w:t>2021 – 2027</w:t>
      </w:r>
      <w:proofErr w:type="gramEnd"/>
      <w:r w:rsidRPr="006B6D61">
        <w:rPr>
          <w:szCs w:val="24"/>
        </w:rPr>
        <w:t xml:space="preserve"> s</w:t>
      </w:r>
      <w:r w:rsidR="000E1C32" w:rsidRPr="006B6D61">
        <w:rPr>
          <w:szCs w:val="24"/>
        </w:rPr>
        <w:t xml:space="preserve"> </w:t>
      </w:r>
      <w:r w:rsidRPr="006B6D61">
        <w:rPr>
          <w:szCs w:val="24"/>
        </w:rPr>
        <w:t xml:space="preserve">výhledem do roku 2050“ schválená usnesením vlády č. 259 ze dne 8. 3. 2021 a „Dopravní sektorové strategie, 2. fáze“. V roce 2018 byl schválen usnesením vlády č. 136 z 27. února materiál „Dopravní sektorové strategie – aktualizace 2017“. V souladu s těmito platnými a aktualizovanými koncepčními dokumenty pokračovalo Ministerstvo dopravy i v roce </w:t>
      </w:r>
      <w:r w:rsidR="002A4F64" w:rsidRPr="006B6D61">
        <w:rPr>
          <w:szCs w:val="24"/>
        </w:rPr>
        <w:t xml:space="preserve">2023 </w:t>
      </w:r>
      <w:r w:rsidRPr="006B6D61">
        <w:rPr>
          <w:szCs w:val="24"/>
        </w:rPr>
        <w:t xml:space="preserve">zejména prostřednictvím </w:t>
      </w:r>
      <w:proofErr w:type="gramStart"/>
      <w:r w:rsidRPr="006B6D61">
        <w:rPr>
          <w:szCs w:val="24"/>
        </w:rPr>
        <w:t>rezortních</w:t>
      </w:r>
      <w:proofErr w:type="gramEnd"/>
      <w:r w:rsidRPr="006B6D61">
        <w:rPr>
          <w:szCs w:val="24"/>
        </w:rPr>
        <w:t xml:space="preserve"> organizací a Státního fondu dopravní infrastruktury v přípravě, výstavbě, modernizaci a opravách dálnic, silnic I. třídy</w:t>
      </w:r>
      <w:r w:rsidR="00446AD7" w:rsidRPr="006B6D61">
        <w:rPr>
          <w:szCs w:val="24"/>
        </w:rPr>
        <w:t xml:space="preserve"> </w:t>
      </w:r>
      <w:r w:rsidRPr="006B6D61">
        <w:rPr>
          <w:szCs w:val="24"/>
        </w:rPr>
        <w:t xml:space="preserve">a železniční infrastruktury na síti TEN-T i mimo TEN-T, včetně menších stavebních akcí vodní infrastruktury. </w:t>
      </w:r>
      <w:r w:rsidR="00A53A78" w:rsidRPr="00A53A78">
        <w:rPr>
          <w:szCs w:val="24"/>
        </w:rPr>
        <w:t>V prosinci roku 2023 vzal vláda ČR na vědomí materiál „Dopravní sektorová strategie, 3.fáze“.</w:t>
      </w:r>
    </w:p>
    <w:p w14:paraId="3C76D3D2" w14:textId="13F5C214" w:rsidR="009B7DE1" w:rsidRDefault="009B7DE1" w:rsidP="009B7DE1">
      <w:pPr>
        <w:pStyle w:val="KOMtext"/>
        <w:rPr>
          <w:szCs w:val="24"/>
        </w:rPr>
      </w:pPr>
      <w:r w:rsidRPr="006B6D61">
        <w:t xml:space="preserve">Ministerstvo dopravy v roce </w:t>
      </w:r>
      <w:r w:rsidR="00876BF1" w:rsidRPr="006B6D61">
        <w:t>2023</w:t>
      </w:r>
      <w:r w:rsidR="00876BF1" w:rsidRPr="006B6D61">
        <w:tab/>
      </w:r>
      <w:r w:rsidRPr="006B6D61">
        <w:t xml:space="preserve">evidovalo výrazné navýšení tempa realizace dopravních staveb, mírně rostoucí trend je možné sledovat i v počtu připravovaných dopravních staveb </w:t>
      </w:r>
      <w:r w:rsidRPr="006B6D61">
        <w:br/>
        <w:t xml:space="preserve">(cca </w:t>
      </w:r>
      <w:r w:rsidR="00BB0222" w:rsidRPr="006B6D61">
        <w:t xml:space="preserve">900 </w:t>
      </w:r>
      <w:r w:rsidRPr="006B6D61">
        <w:t xml:space="preserve">dopravních staveb v přípravě ve všech dopravních </w:t>
      </w:r>
      <w:proofErr w:type="gramStart"/>
      <w:r w:rsidRPr="006B6D61">
        <w:t>módech - dálnice</w:t>
      </w:r>
      <w:proofErr w:type="gramEnd"/>
      <w:r w:rsidRPr="006B6D61">
        <w:t>, silnice</w:t>
      </w:r>
      <w:r w:rsidR="00003B0A" w:rsidRPr="006B6D61">
        <w:t xml:space="preserve"> I. třídy</w:t>
      </w:r>
      <w:r w:rsidRPr="006B6D61">
        <w:t>, železnice</w:t>
      </w:r>
      <w:r w:rsidR="004D1035" w:rsidRPr="006B6D61">
        <w:t xml:space="preserve"> konvenční </w:t>
      </w:r>
      <w:r w:rsidR="00752365" w:rsidRPr="006B6D61">
        <w:t>i vysokorychlostní</w:t>
      </w:r>
      <w:r w:rsidRPr="006B6D61">
        <w:t xml:space="preserve">, vnitrozemské vodní cesty). </w:t>
      </w:r>
      <w:r w:rsidRPr="006B6D61">
        <w:rPr>
          <w:szCs w:val="24"/>
        </w:rPr>
        <w:t xml:space="preserve"> </w:t>
      </w:r>
    </w:p>
    <w:p w14:paraId="61B536B5" w14:textId="3300A3FB" w:rsidR="003245AD" w:rsidRPr="00377B68" w:rsidRDefault="003245AD" w:rsidP="004B0717">
      <w:pPr>
        <w:pStyle w:val="KOMtext"/>
      </w:pPr>
      <w:r w:rsidRPr="00377B68">
        <w:lastRenderedPageBreak/>
        <w:t>V roce 2023 byla realizována 5. výzva na podporu rozvoje doplňkové sítě dobíjecích stanic. Částkou 70 mil. Kč je podpořeno 7 projektů, v</w:t>
      </w:r>
      <w:r>
        <w:t xml:space="preserve"> jejichž </w:t>
      </w:r>
      <w:r w:rsidRPr="00377B68">
        <w:t xml:space="preserve">rámci bude instalováno 438 dobíjecích stanic pro elektromobily. Tato výzva byla zároveň poslední z dotačního programu „Podpora infrastruktury pro alternativní paliva“ OPD2. V rámci tohoto dotačního programu bylo vyhlášeno 16 výzev (podpora infrastruktury dobíjecích stanic, plnicích stanic CNG, LNG </w:t>
      </w:r>
      <w:r w:rsidR="008B76BB">
        <w:br/>
      </w:r>
      <w:r w:rsidRPr="00377B68">
        <w:t>a vodíkových stanic), celková přidělená dotace činí 1,06 mld. Kč.</w:t>
      </w:r>
    </w:p>
    <w:p w14:paraId="305255E0" w14:textId="136BF484" w:rsidR="003245AD" w:rsidRPr="006B6D61" w:rsidRDefault="003245AD" w:rsidP="003245AD">
      <w:pPr>
        <w:pStyle w:val="KOMtext"/>
        <w:rPr>
          <w:szCs w:val="24"/>
        </w:rPr>
      </w:pPr>
      <w:r w:rsidRPr="00377B68">
        <w:rPr>
          <w:szCs w:val="24"/>
        </w:rPr>
        <w:t>V rámci OPD3 byla v listopadu 2022 vyhlášena výzva na podporu rozvoje infrastruktury vodíkových plnicích stanic s alokací 300 mil. Kč. Tato výzva byla ukončena v lednu 2023. Předloženo bylo celkem 6 žádostí a podpora byla poskytnuta 4 projektům v souhrnné výši odpovídající alokaci výzvy</w:t>
      </w:r>
      <w:r w:rsidR="0018251A">
        <w:rPr>
          <w:szCs w:val="24"/>
        </w:rPr>
        <w:t>.</w:t>
      </w:r>
    </w:p>
    <w:p w14:paraId="08B0D17A" w14:textId="56233189" w:rsidR="001E49DC" w:rsidRPr="006B6D61" w:rsidRDefault="001E49DC" w:rsidP="001E49DC">
      <w:pPr>
        <w:pStyle w:val="KOMtext"/>
        <w:rPr>
          <w:b/>
        </w:rPr>
      </w:pPr>
      <w:r w:rsidRPr="006B6D61">
        <w:rPr>
          <w:b/>
        </w:rPr>
        <w:t>Skutečné plnění státního rozpočtu za rok 202</w:t>
      </w:r>
      <w:r w:rsidR="00293F45" w:rsidRPr="006B6D61">
        <w:rPr>
          <w:b/>
        </w:rPr>
        <w:t>3</w:t>
      </w:r>
      <w:r w:rsidRPr="006B6D61">
        <w:rPr>
          <w:b/>
        </w:rPr>
        <w:t xml:space="preserve"> je dáno souhrnnými ukazateli:</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8"/>
        <w:gridCol w:w="2415"/>
      </w:tblGrid>
      <w:tr w:rsidR="002F1BE7" w:rsidRPr="002F1BE7" w14:paraId="131FC84A" w14:textId="77777777" w:rsidTr="00D3010F">
        <w:tc>
          <w:tcPr>
            <w:tcW w:w="5098" w:type="dxa"/>
          </w:tcPr>
          <w:p w14:paraId="0260F2EA" w14:textId="70434E5F" w:rsidR="001E49DC" w:rsidRPr="006B6D61" w:rsidRDefault="001E49DC">
            <w:pPr>
              <w:pStyle w:val="Zkladntextodsazen"/>
              <w:tabs>
                <w:tab w:val="left" w:pos="5580"/>
              </w:tabs>
              <w:spacing w:before="60" w:after="60"/>
              <w:rPr>
                <w:b/>
                <w:sz w:val="24"/>
                <w:szCs w:val="24"/>
              </w:rPr>
            </w:pPr>
            <w:r w:rsidRPr="006B6D61">
              <w:rPr>
                <w:b/>
                <w:sz w:val="24"/>
                <w:szCs w:val="24"/>
              </w:rPr>
              <w:t>skutečné příjmy</w:t>
            </w:r>
          </w:p>
        </w:tc>
        <w:tc>
          <w:tcPr>
            <w:tcW w:w="2415" w:type="dxa"/>
            <w:vAlign w:val="center"/>
          </w:tcPr>
          <w:p w14:paraId="5C53BA52" w14:textId="1F303E6C" w:rsidR="001E49DC" w:rsidRPr="002F1BE7" w:rsidRDefault="009C7AD6" w:rsidP="001E49DC">
            <w:pPr>
              <w:pStyle w:val="Zkladntextodsazen"/>
              <w:tabs>
                <w:tab w:val="left" w:pos="5580"/>
              </w:tabs>
              <w:spacing w:before="60" w:after="60"/>
              <w:jc w:val="right"/>
              <w:rPr>
                <w:b/>
                <w:color w:val="FF0000"/>
                <w:sz w:val="24"/>
                <w:szCs w:val="24"/>
              </w:rPr>
            </w:pPr>
            <w:r w:rsidRPr="006B6D61">
              <w:rPr>
                <w:b/>
                <w:sz w:val="24"/>
                <w:szCs w:val="24"/>
              </w:rPr>
              <w:t>50 766 501</w:t>
            </w:r>
            <w:r w:rsidR="001E49DC" w:rsidRPr="006B6D61">
              <w:rPr>
                <w:b/>
                <w:sz w:val="24"/>
                <w:szCs w:val="24"/>
              </w:rPr>
              <w:t xml:space="preserve"> tis. Kč</w:t>
            </w:r>
          </w:p>
        </w:tc>
      </w:tr>
      <w:tr w:rsidR="002F1BE7" w:rsidRPr="002F1BE7" w14:paraId="2F0F8EAB" w14:textId="77777777" w:rsidTr="00D3010F">
        <w:tc>
          <w:tcPr>
            <w:tcW w:w="5098" w:type="dxa"/>
          </w:tcPr>
          <w:p w14:paraId="455389F6" w14:textId="77777777" w:rsidR="001E49DC" w:rsidRPr="006B6D61" w:rsidRDefault="001E49DC" w:rsidP="001E49DC">
            <w:pPr>
              <w:pStyle w:val="Zkladntextodsazen"/>
              <w:tabs>
                <w:tab w:val="left" w:pos="5580"/>
              </w:tabs>
              <w:spacing w:before="60" w:after="60"/>
              <w:rPr>
                <w:b/>
                <w:sz w:val="24"/>
                <w:szCs w:val="24"/>
              </w:rPr>
            </w:pPr>
            <w:r w:rsidRPr="006B6D61">
              <w:rPr>
                <w:i/>
                <w:sz w:val="24"/>
                <w:szCs w:val="24"/>
              </w:rPr>
              <w:t>z toho: příjmy z rozpočtu EU</w:t>
            </w:r>
          </w:p>
        </w:tc>
        <w:tc>
          <w:tcPr>
            <w:tcW w:w="2415" w:type="dxa"/>
            <w:vAlign w:val="center"/>
          </w:tcPr>
          <w:p w14:paraId="30E07C5B" w14:textId="18D76D0F" w:rsidR="001E49DC" w:rsidRPr="002F1BE7" w:rsidRDefault="00EB7D71" w:rsidP="001E49DC">
            <w:pPr>
              <w:pStyle w:val="Zkladntextodsazen"/>
              <w:tabs>
                <w:tab w:val="left" w:pos="5580"/>
              </w:tabs>
              <w:spacing w:before="60" w:after="60"/>
              <w:jc w:val="right"/>
              <w:rPr>
                <w:b/>
                <w:color w:val="FF0000"/>
                <w:sz w:val="24"/>
                <w:szCs w:val="24"/>
              </w:rPr>
            </w:pPr>
            <w:r w:rsidRPr="006B6D61">
              <w:rPr>
                <w:i/>
                <w:sz w:val="24"/>
                <w:szCs w:val="24"/>
              </w:rPr>
              <w:t>50 329 163</w:t>
            </w:r>
            <w:r w:rsidR="001E49DC" w:rsidRPr="006B6D61">
              <w:rPr>
                <w:i/>
                <w:sz w:val="24"/>
                <w:szCs w:val="24"/>
              </w:rPr>
              <w:t xml:space="preserve"> tis. Kč</w:t>
            </w:r>
          </w:p>
        </w:tc>
      </w:tr>
      <w:tr w:rsidR="002F1BE7" w:rsidRPr="002F1BE7" w14:paraId="7FF4B7B4" w14:textId="77777777" w:rsidTr="00D3010F">
        <w:trPr>
          <w:trHeight w:val="170"/>
        </w:trPr>
        <w:tc>
          <w:tcPr>
            <w:tcW w:w="5098" w:type="dxa"/>
          </w:tcPr>
          <w:p w14:paraId="02E10746" w14:textId="77777777" w:rsidR="001E49DC" w:rsidRPr="0077128B" w:rsidRDefault="001E49DC" w:rsidP="001E49DC">
            <w:pPr>
              <w:pStyle w:val="Zkladntextodsazen"/>
              <w:tabs>
                <w:tab w:val="left" w:pos="5580"/>
              </w:tabs>
              <w:spacing w:after="0"/>
              <w:rPr>
                <w:b/>
                <w:color w:val="FF0000"/>
                <w:sz w:val="24"/>
                <w:szCs w:val="24"/>
              </w:rPr>
            </w:pPr>
          </w:p>
        </w:tc>
        <w:tc>
          <w:tcPr>
            <w:tcW w:w="2415" w:type="dxa"/>
            <w:vAlign w:val="center"/>
          </w:tcPr>
          <w:p w14:paraId="0DE0B10B" w14:textId="77777777" w:rsidR="001E49DC" w:rsidRPr="002F1BE7" w:rsidRDefault="001E49DC" w:rsidP="001E49DC">
            <w:pPr>
              <w:pStyle w:val="Zkladntextodsazen"/>
              <w:tabs>
                <w:tab w:val="left" w:pos="5580"/>
              </w:tabs>
              <w:spacing w:after="0"/>
              <w:rPr>
                <w:b/>
                <w:color w:val="FF0000"/>
                <w:sz w:val="24"/>
                <w:szCs w:val="24"/>
              </w:rPr>
            </w:pPr>
          </w:p>
        </w:tc>
      </w:tr>
      <w:tr w:rsidR="002F1BE7" w:rsidRPr="002F1BE7" w14:paraId="0EC1EEE8" w14:textId="77777777" w:rsidTr="00D3010F">
        <w:tc>
          <w:tcPr>
            <w:tcW w:w="5098" w:type="dxa"/>
          </w:tcPr>
          <w:p w14:paraId="6A387AE2" w14:textId="4C8679AE" w:rsidR="001E49DC" w:rsidRPr="0077128B" w:rsidRDefault="009C7AD6" w:rsidP="001E49DC">
            <w:pPr>
              <w:pStyle w:val="Zkladntextodsazen"/>
              <w:tabs>
                <w:tab w:val="left" w:pos="5580"/>
              </w:tabs>
              <w:spacing w:before="60" w:after="60"/>
              <w:rPr>
                <w:b/>
                <w:color w:val="FF0000"/>
                <w:sz w:val="24"/>
                <w:szCs w:val="24"/>
              </w:rPr>
            </w:pPr>
            <w:r w:rsidRPr="006B6D61">
              <w:rPr>
                <w:b/>
                <w:sz w:val="24"/>
                <w:szCs w:val="24"/>
              </w:rPr>
              <w:t xml:space="preserve"> </w:t>
            </w:r>
            <w:r w:rsidR="001E49DC" w:rsidRPr="006B6D61">
              <w:rPr>
                <w:b/>
                <w:sz w:val="24"/>
                <w:szCs w:val="24"/>
              </w:rPr>
              <w:t>skutečné výdaje</w:t>
            </w:r>
          </w:p>
        </w:tc>
        <w:tc>
          <w:tcPr>
            <w:tcW w:w="2415" w:type="dxa"/>
            <w:vAlign w:val="center"/>
          </w:tcPr>
          <w:p w14:paraId="13CF321B" w14:textId="1B7F984A" w:rsidR="001E49DC" w:rsidRPr="002F1BE7" w:rsidRDefault="00E73D84" w:rsidP="001E49DC">
            <w:pPr>
              <w:pStyle w:val="Zkladntextodsazen"/>
              <w:tabs>
                <w:tab w:val="left" w:pos="5580"/>
              </w:tabs>
              <w:spacing w:before="60" w:after="60"/>
              <w:jc w:val="right"/>
              <w:rPr>
                <w:b/>
                <w:color w:val="FF0000"/>
                <w:sz w:val="24"/>
                <w:szCs w:val="24"/>
              </w:rPr>
            </w:pPr>
            <w:r w:rsidRPr="006B6D61">
              <w:rPr>
                <w:b/>
                <w:sz w:val="24"/>
                <w:szCs w:val="24"/>
              </w:rPr>
              <w:t xml:space="preserve">111 337 148 </w:t>
            </w:r>
            <w:r w:rsidR="001E49DC" w:rsidRPr="006B6D61">
              <w:rPr>
                <w:b/>
                <w:sz w:val="24"/>
                <w:szCs w:val="24"/>
              </w:rPr>
              <w:t>tis. Kč</w:t>
            </w:r>
          </w:p>
        </w:tc>
      </w:tr>
      <w:tr w:rsidR="002F1BE7" w:rsidRPr="002F1BE7" w14:paraId="48BE513C" w14:textId="77777777" w:rsidTr="00D3010F">
        <w:tc>
          <w:tcPr>
            <w:tcW w:w="5098" w:type="dxa"/>
          </w:tcPr>
          <w:p w14:paraId="40F6FD7E" w14:textId="77777777" w:rsidR="001E49DC" w:rsidRPr="006B6D61" w:rsidRDefault="001E49DC" w:rsidP="006B6D61">
            <w:pPr>
              <w:pStyle w:val="Zkladntextodsazen"/>
              <w:tabs>
                <w:tab w:val="left" w:pos="5580"/>
              </w:tabs>
              <w:spacing w:before="60" w:after="60"/>
              <w:ind w:left="326"/>
              <w:rPr>
                <w:b/>
                <w:sz w:val="24"/>
                <w:szCs w:val="24"/>
              </w:rPr>
            </w:pPr>
            <w:r w:rsidRPr="006B6D61">
              <w:rPr>
                <w:sz w:val="24"/>
                <w:szCs w:val="24"/>
              </w:rPr>
              <w:t>v tom: běžné výdaje</w:t>
            </w:r>
          </w:p>
        </w:tc>
        <w:tc>
          <w:tcPr>
            <w:tcW w:w="2415" w:type="dxa"/>
            <w:vAlign w:val="center"/>
          </w:tcPr>
          <w:p w14:paraId="5E67A1FD" w14:textId="09021F6F" w:rsidR="001E49DC" w:rsidRPr="006B6D61" w:rsidRDefault="00E73D84" w:rsidP="001E49DC">
            <w:pPr>
              <w:pStyle w:val="Zkladntextodsazen"/>
              <w:tabs>
                <w:tab w:val="left" w:pos="5580"/>
              </w:tabs>
              <w:spacing w:before="60" w:after="60"/>
              <w:jc w:val="right"/>
              <w:rPr>
                <w:b/>
                <w:sz w:val="24"/>
                <w:szCs w:val="24"/>
              </w:rPr>
            </w:pPr>
            <w:r>
              <w:rPr>
                <w:sz w:val="24"/>
                <w:szCs w:val="24"/>
              </w:rPr>
              <w:t>40 044 596</w:t>
            </w:r>
            <w:r w:rsidR="001E49DC" w:rsidRPr="006B6D61">
              <w:rPr>
                <w:sz w:val="24"/>
                <w:szCs w:val="24"/>
              </w:rPr>
              <w:t xml:space="preserve"> tis. Kč</w:t>
            </w:r>
          </w:p>
        </w:tc>
      </w:tr>
      <w:tr w:rsidR="002F1BE7" w:rsidRPr="002F1BE7" w14:paraId="184F6BF6" w14:textId="77777777" w:rsidTr="00D3010F">
        <w:tc>
          <w:tcPr>
            <w:tcW w:w="5098" w:type="dxa"/>
          </w:tcPr>
          <w:p w14:paraId="483F3AF8" w14:textId="77777777" w:rsidR="001E49DC" w:rsidRPr="006B6D61" w:rsidRDefault="001E49DC" w:rsidP="001E49DC">
            <w:pPr>
              <w:pStyle w:val="Zkladntextodsazen"/>
              <w:tabs>
                <w:tab w:val="left" w:pos="5580"/>
              </w:tabs>
              <w:spacing w:before="60" w:after="60"/>
              <w:ind w:left="751"/>
              <w:rPr>
                <w:sz w:val="24"/>
                <w:szCs w:val="24"/>
              </w:rPr>
            </w:pPr>
            <w:r w:rsidRPr="006B6D61">
              <w:rPr>
                <w:sz w:val="24"/>
                <w:szCs w:val="24"/>
              </w:rPr>
              <w:t>kapitálové výdaje</w:t>
            </w:r>
          </w:p>
        </w:tc>
        <w:tc>
          <w:tcPr>
            <w:tcW w:w="2415" w:type="dxa"/>
            <w:vAlign w:val="center"/>
          </w:tcPr>
          <w:p w14:paraId="3CC62392" w14:textId="317CA2EB" w:rsidR="001E49DC" w:rsidRPr="006B6D61" w:rsidRDefault="00E73D84" w:rsidP="001E49DC">
            <w:pPr>
              <w:pStyle w:val="Zkladntextodsazen"/>
              <w:tabs>
                <w:tab w:val="left" w:pos="5400"/>
                <w:tab w:val="left" w:pos="5580"/>
                <w:tab w:val="left" w:pos="5760"/>
              </w:tabs>
              <w:spacing w:before="60" w:after="60"/>
              <w:jc w:val="right"/>
              <w:rPr>
                <w:sz w:val="24"/>
                <w:szCs w:val="24"/>
              </w:rPr>
            </w:pPr>
            <w:r w:rsidRPr="006B6D61">
              <w:rPr>
                <w:sz w:val="24"/>
                <w:szCs w:val="24"/>
              </w:rPr>
              <w:t>71 292 552</w:t>
            </w:r>
            <w:r w:rsidR="001E49DC" w:rsidRPr="006B6D61">
              <w:rPr>
                <w:sz w:val="24"/>
                <w:szCs w:val="24"/>
              </w:rPr>
              <w:t xml:space="preserve"> tis. Kč</w:t>
            </w:r>
          </w:p>
        </w:tc>
      </w:tr>
      <w:tr w:rsidR="002F1BE7" w:rsidRPr="002F1BE7" w14:paraId="44987CFA" w14:textId="77777777" w:rsidTr="00D3010F">
        <w:tc>
          <w:tcPr>
            <w:tcW w:w="5098" w:type="dxa"/>
          </w:tcPr>
          <w:p w14:paraId="39ED80A1" w14:textId="77777777" w:rsidR="001E49DC" w:rsidRPr="006B6D61" w:rsidRDefault="001E49DC" w:rsidP="001E49DC">
            <w:pPr>
              <w:pStyle w:val="Zkladntextodsazen"/>
              <w:tabs>
                <w:tab w:val="left" w:pos="5580"/>
              </w:tabs>
              <w:spacing w:before="60" w:after="60"/>
              <w:rPr>
                <w:sz w:val="24"/>
                <w:szCs w:val="24"/>
              </w:rPr>
            </w:pPr>
            <w:r w:rsidRPr="006B6D61">
              <w:rPr>
                <w:i/>
                <w:sz w:val="24"/>
                <w:szCs w:val="24"/>
              </w:rPr>
              <w:t xml:space="preserve"> z toho: výdaje spolufinancované z rozpočtu EU</w:t>
            </w:r>
          </w:p>
        </w:tc>
        <w:tc>
          <w:tcPr>
            <w:tcW w:w="2415" w:type="dxa"/>
            <w:vAlign w:val="center"/>
          </w:tcPr>
          <w:p w14:paraId="676C662B" w14:textId="1582D0B0" w:rsidR="001E49DC" w:rsidRPr="006B6D61" w:rsidRDefault="00E91DE2" w:rsidP="001E49DC">
            <w:pPr>
              <w:pStyle w:val="Zkladntextodsazen"/>
              <w:tabs>
                <w:tab w:val="left" w:pos="5580"/>
              </w:tabs>
              <w:spacing w:before="60" w:after="60"/>
              <w:jc w:val="right"/>
              <w:rPr>
                <w:i/>
                <w:sz w:val="24"/>
                <w:szCs w:val="24"/>
              </w:rPr>
            </w:pPr>
            <w:r w:rsidRPr="006B6D61">
              <w:rPr>
                <w:i/>
                <w:sz w:val="24"/>
                <w:szCs w:val="24"/>
              </w:rPr>
              <w:t>28 305 440</w:t>
            </w:r>
            <w:r w:rsidR="001E49DC" w:rsidRPr="006B6D61">
              <w:rPr>
                <w:i/>
                <w:sz w:val="24"/>
                <w:szCs w:val="24"/>
              </w:rPr>
              <w:t xml:space="preserve"> tis. Kč</w:t>
            </w:r>
          </w:p>
        </w:tc>
      </w:tr>
    </w:tbl>
    <w:p w14:paraId="28FF583E" w14:textId="674ECDF2" w:rsidR="001E49DC" w:rsidRPr="006B6D61" w:rsidRDefault="001E49DC" w:rsidP="003F0A7C">
      <w:pPr>
        <w:pStyle w:val="KOMGrafy"/>
        <w:rPr>
          <w:rStyle w:val="Siln"/>
          <w:b/>
        </w:rPr>
      </w:pPr>
      <w:bookmarkStart w:id="2" w:name="_Toc1043922"/>
      <w:bookmarkStart w:id="3" w:name="_Toc95989797"/>
      <w:bookmarkStart w:id="4" w:name="_Toc160457118"/>
      <w:r w:rsidRPr="006B6D61">
        <w:t xml:space="preserve">Graf č. </w:t>
      </w:r>
      <w:fldSimple w:instr=" SEQ Graf_č. \* ARABIC ">
        <w:r w:rsidR="00013820">
          <w:rPr>
            <w:noProof/>
          </w:rPr>
          <w:t>1</w:t>
        </w:r>
      </w:fldSimple>
      <w:r w:rsidRPr="006B6D61">
        <w:t>:</w:t>
      </w:r>
      <w:r w:rsidRPr="006B6D61">
        <w:rPr>
          <w:rStyle w:val="Siln"/>
          <w:b/>
        </w:rPr>
        <w:t xml:space="preserve"> Porovnání výdajů kapitoly 327-MD</w:t>
      </w:r>
      <w:bookmarkEnd w:id="2"/>
      <w:bookmarkEnd w:id="3"/>
      <w:bookmarkEnd w:id="4"/>
    </w:p>
    <w:p w14:paraId="66E8F8B2" w14:textId="77777777" w:rsidR="001E49DC" w:rsidRPr="002F1BE7" w:rsidRDefault="001E49DC" w:rsidP="006527E0">
      <w:pPr>
        <w:pStyle w:val="Zkladntextodsazen"/>
        <w:keepNext/>
        <w:spacing w:before="120"/>
        <w:ind w:left="-709"/>
        <w:jc w:val="center"/>
        <w:rPr>
          <w:color w:val="FF0000"/>
        </w:rPr>
      </w:pPr>
      <w:r w:rsidRPr="002F1BE7">
        <w:rPr>
          <w:i/>
          <w:noProof/>
          <w:color w:val="FF0000"/>
          <w:lang w:eastAsia="cs-CZ"/>
        </w:rPr>
        <w:drawing>
          <wp:inline distT="0" distB="0" distL="0" distR="0" wp14:anchorId="2C4296F0" wp14:editId="566547FB">
            <wp:extent cx="4554747" cy="1900699"/>
            <wp:effectExtent l="0" t="0" r="0" b="4445"/>
            <wp:docPr id="39" name="objekt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F24CA8F" w14:textId="0226A9D1" w:rsidR="000B0D76" w:rsidRPr="006B6D61" w:rsidRDefault="00C60E87">
      <w:pPr>
        <w:pStyle w:val="KOMNadp1"/>
      </w:pPr>
      <w:bookmarkStart w:id="5" w:name="_Toc128401849"/>
      <w:bookmarkStart w:id="6" w:name="_Toc128399995"/>
      <w:bookmarkStart w:id="7" w:name="_Toc162269231"/>
      <w:bookmarkEnd w:id="5"/>
      <w:r w:rsidRPr="006B6D61">
        <w:lastRenderedPageBreak/>
        <w:t>P</w:t>
      </w:r>
      <w:r w:rsidR="00342109" w:rsidRPr="006B6D61">
        <w:t>ŘÍJMY KAPITOLY</w:t>
      </w:r>
      <w:bookmarkEnd w:id="6"/>
      <w:bookmarkEnd w:id="7"/>
    </w:p>
    <w:tbl>
      <w:tblPr>
        <w:tblW w:w="8789" w:type="dxa"/>
        <w:tblCellMar>
          <w:left w:w="70" w:type="dxa"/>
          <w:right w:w="70" w:type="dxa"/>
        </w:tblCellMar>
        <w:tblLook w:val="04A0" w:firstRow="1" w:lastRow="0" w:firstColumn="1" w:lastColumn="0" w:noHBand="0" w:noVBand="1"/>
      </w:tblPr>
      <w:tblGrid>
        <w:gridCol w:w="6521"/>
        <w:gridCol w:w="1276"/>
        <w:gridCol w:w="992"/>
      </w:tblGrid>
      <w:tr w:rsidR="002F1BE7" w:rsidRPr="002F1BE7" w14:paraId="5AB3D2C8" w14:textId="77777777" w:rsidTr="007D321B">
        <w:trPr>
          <w:trHeight w:val="397"/>
        </w:trPr>
        <w:tc>
          <w:tcPr>
            <w:tcW w:w="6521" w:type="dxa"/>
            <w:tcBorders>
              <w:top w:val="nil"/>
              <w:left w:val="nil"/>
              <w:bottom w:val="nil"/>
              <w:right w:val="nil"/>
            </w:tcBorders>
            <w:shd w:val="clear" w:color="000000" w:fill="FFFFFF"/>
            <w:noWrap/>
            <w:vAlign w:val="bottom"/>
            <w:hideMark/>
          </w:tcPr>
          <w:p w14:paraId="19C99BD6" w14:textId="77777777" w:rsidR="00943BA9" w:rsidRPr="006B6D61" w:rsidRDefault="00943BA9" w:rsidP="00D3010F">
            <w:pPr>
              <w:spacing w:after="120"/>
              <w:rPr>
                <w:rFonts w:cstheme="minorHAnsi"/>
                <w:b/>
                <w:bCs/>
                <w:sz w:val="24"/>
                <w:szCs w:val="24"/>
              </w:rPr>
            </w:pPr>
            <w:r w:rsidRPr="006B6D61">
              <w:rPr>
                <w:rFonts w:cstheme="minorHAnsi"/>
                <w:b/>
                <w:bCs/>
                <w:sz w:val="24"/>
                <w:szCs w:val="24"/>
              </w:rPr>
              <w:t>Schválený rozpočet</w:t>
            </w:r>
          </w:p>
        </w:tc>
        <w:tc>
          <w:tcPr>
            <w:tcW w:w="1276" w:type="dxa"/>
            <w:tcBorders>
              <w:top w:val="nil"/>
              <w:left w:val="nil"/>
              <w:bottom w:val="nil"/>
              <w:right w:val="nil"/>
            </w:tcBorders>
            <w:shd w:val="clear" w:color="000000" w:fill="FFFFFF"/>
            <w:noWrap/>
            <w:vAlign w:val="bottom"/>
            <w:hideMark/>
          </w:tcPr>
          <w:p w14:paraId="666C1B1C" w14:textId="77D2807C" w:rsidR="00943BA9" w:rsidRPr="006B6D61" w:rsidRDefault="00F170CD" w:rsidP="00D3010F">
            <w:pPr>
              <w:spacing w:after="120"/>
              <w:jc w:val="right"/>
              <w:rPr>
                <w:rFonts w:cstheme="minorHAnsi"/>
                <w:sz w:val="24"/>
                <w:szCs w:val="24"/>
              </w:rPr>
            </w:pPr>
            <w:r w:rsidRPr="006B6D61">
              <w:rPr>
                <w:rFonts w:cstheme="minorHAnsi"/>
                <w:sz w:val="24"/>
                <w:szCs w:val="24"/>
              </w:rPr>
              <w:t>29 053 763</w:t>
            </w:r>
          </w:p>
        </w:tc>
        <w:tc>
          <w:tcPr>
            <w:tcW w:w="992" w:type="dxa"/>
            <w:tcBorders>
              <w:top w:val="nil"/>
              <w:left w:val="nil"/>
              <w:bottom w:val="nil"/>
              <w:right w:val="nil"/>
            </w:tcBorders>
            <w:shd w:val="clear" w:color="000000" w:fill="FFFFFF"/>
            <w:noWrap/>
            <w:vAlign w:val="bottom"/>
            <w:hideMark/>
          </w:tcPr>
          <w:p w14:paraId="5C58EE1E"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595B9013" w14:textId="77777777" w:rsidTr="007D321B">
        <w:trPr>
          <w:trHeight w:val="397"/>
        </w:trPr>
        <w:tc>
          <w:tcPr>
            <w:tcW w:w="6521" w:type="dxa"/>
            <w:tcBorders>
              <w:top w:val="nil"/>
              <w:left w:val="nil"/>
              <w:bottom w:val="nil"/>
              <w:right w:val="nil"/>
            </w:tcBorders>
            <w:shd w:val="clear" w:color="000000" w:fill="FFFFFF"/>
            <w:noWrap/>
            <w:vAlign w:val="bottom"/>
            <w:hideMark/>
          </w:tcPr>
          <w:p w14:paraId="3FAA3359" w14:textId="1A88BE0A" w:rsidR="00943BA9" w:rsidRPr="006B6D61" w:rsidRDefault="001D4EB8" w:rsidP="00D3010F">
            <w:pPr>
              <w:spacing w:after="120"/>
              <w:rPr>
                <w:rFonts w:cstheme="minorHAnsi"/>
                <w:b/>
                <w:bCs/>
                <w:sz w:val="24"/>
                <w:szCs w:val="24"/>
              </w:rPr>
            </w:pPr>
            <w:r w:rsidRPr="006B6D61">
              <w:rPr>
                <w:rFonts w:cstheme="minorHAnsi"/>
                <w:b/>
                <w:bCs/>
                <w:sz w:val="24"/>
                <w:szCs w:val="24"/>
              </w:rPr>
              <w:t>Rozpočet po změnách</w:t>
            </w:r>
          </w:p>
        </w:tc>
        <w:tc>
          <w:tcPr>
            <w:tcW w:w="1276" w:type="dxa"/>
            <w:tcBorders>
              <w:top w:val="nil"/>
              <w:left w:val="nil"/>
              <w:bottom w:val="nil"/>
              <w:right w:val="nil"/>
            </w:tcBorders>
            <w:shd w:val="clear" w:color="000000" w:fill="FFFFFF"/>
            <w:noWrap/>
            <w:vAlign w:val="bottom"/>
            <w:hideMark/>
          </w:tcPr>
          <w:p w14:paraId="7F80BE5C" w14:textId="61980AE8" w:rsidR="00943BA9" w:rsidRPr="006B6D61" w:rsidRDefault="008B4370" w:rsidP="00D3010F">
            <w:pPr>
              <w:spacing w:after="120"/>
              <w:jc w:val="right"/>
              <w:rPr>
                <w:rFonts w:cstheme="minorHAnsi"/>
                <w:sz w:val="24"/>
                <w:szCs w:val="24"/>
              </w:rPr>
            </w:pPr>
            <w:r w:rsidRPr="006B6D61">
              <w:rPr>
                <w:rFonts w:cstheme="minorHAnsi"/>
                <w:sz w:val="24"/>
                <w:szCs w:val="24"/>
              </w:rPr>
              <w:t>29 055 344</w:t>
            </w:r>
          </w:p>
        </w:tc>
        <w:tc>
          <w:tcPr>
            <w:tcW w:w="992" w:type="dxa"/>
            <w:tcBorders>
              <w:top w:val="nil"/>
              <w:left w:val="nil"/>
              <w:bottom w:val="nil"/>
              <w:right w:val="nil"/>
            </w:tcBorders>
            <w:shd w:val="clear" w:color="000000" w:fill="FFFFFF"/>
            <w:noWrap/>
            <w:vAlign w:val="bottom"/>
            <w:hideMark/>
          </w:tcPr>
          <w:p w14:paraId="0913D83F"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231E691C" w14:textId="77777777" w:rsidTr="007D321B">
        <w:trPr>
          <w:trHeight w:val="397"/>
        </w:trPr>
        <w:tc>
          <w:tcPr>
            <w:tcW w:w="6521" w:type="dxa"/>
            <w:tcBorders>
              <w:top w:val="nil"/>
              <w:left w:val="nil"/>
              <w:bottom w:val="nil"/>
              <w:right w:val="nil"/>
            </w:tcBorders>
            <w:shd w:val="clear" w:color="000000" w:fill="FFFFFF"/>
            <w:noWrap/>
            <w:vAlign w:val="bottom"/>
            <w:hideMark/>
          </w:tcPr>
          <w:p w14:paraId="28B302AB" w14:textId="77777777" w:rsidR="00943BA9" w:rsidRPr="006B6D61" w:rsidRDefault="00943BA9" w:rsidP="00D3010F">
            <w:pPr>
              <w:spacing w:after="120"/>
              <w:rPr>
                <w:rFonts w:cstheme="minorHAnsi"/>
                <w:b/>
                <w:bCs/>
                <w:sz w:val="24"/>
                <w:szCs w:val="24"/>
              </w:rPr>
            </w:pPr>
            <w:r w:rsidRPr="006B6D61">
              <w:rPr>
                <w:rFonts w:cstheme="minorHAnsi"/>
                <w:b/>
                <w:bCs/>
                <w:sz w:val="24"/>
                <w:szCs w:val="24"/>
              </w:rPr>
              <w:t>Skutečnost</w:t>
            </w:r>
          </w:p>
        </w:tc>
        <w:tc>
          <w:tcPr>
            <w:tcW w:w="1276" w:type="dxa"/>
            <w:tcBorders>
              <w:top w:val="nil"/>
              <w:left w:val="nil"/>
              <w:bottom w:val="nil"/>
              <w:right w:val="nil"/>
            </w:tcBorders>
            <w:shd w:val="clear" w:color="000000" w:fill="FFFFFF"/>
            <w:noWrap/>
            <w:vAlign w:val="bottom"/>
            <w:hideMark/>
          </w:tcPr>
          <w:p w14:paraId="767A24D2" w14:textId="20E75BD9" w:rsidR="00943BA9" w:rsidRPr="006B6D61" w:rsidRDefault="004A0FBB" w:rsidP="00D3010F">
            <w:pPr>
              <w:spacing w:after="120"/>
              <w:jc w:val="right"/>
              <w:rPr>
                <w:rFonts w:cstheme="minorHAnsi"/>
                <w:sz w:val="24"/>
                <w:szCs w:val="24"/>
              </w:rPr>
            </w:pPr>
            <w:r w:rsidRPr="006B6D61">
              <w:rPr>
                <w:rFonts w:cstheme="minorHAnsi"/>
                <w:sz w:val="24"/>
                <w:szCs w:val="24"/>
              </w:rPr>
              <w:t>50 766 501</w:t>
            </w:r>
          </w:p>
        </w:tc>
        <w:tc>
          <w:tcPr>
            <w:tcW w:w="992" w:type="dxa"/>
            <w:tcBorders>
              <w:top w:val="nil"/>
              <w:left w:val="nil"/>
              <w:bottom w:val="nil"/>
              <w:right w:val="nil"/>
            </w:tcBorders>
            <w:shd w:val="clear" w:color="000000" w:fill="FFFFFF"/>
            <w:noWrap/>
            <w:vAlign w:val="bottom"/>
            <w:hideMark/>
          </w:tcPr>
          <w:p w14:paraId="46E3902A"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70685C11" w14:textId="77777777" w:rsidTr="007D321B">
        <w:trPr>
          <w:trHeight w:val="397"/>
        </w:trPr>
        <w:tc>
          <w:tcPr>
            <w:tcW w:w="6521" w:type="dxa"/>
            <w:tcBorders>
              <w:top w:val="nil"/>
              <w:left w:val="nil"/>
              <w:bottom w:val="nil"/>
              <w:right w:val="nil"/>
            </w:tcBorders>
            <w:shd w:val="clear" w:color="000000" w:fill="FFFFFF"/>
            <w:noWrap/>
            <w:vAlign w:val="bottom"/>
          </w:tcPr>
          <w:p w14:paraId="60B32672" w14:textId="66BB4715" w:rsidR="00943BA9" w:rsidRPr="006B6D61" w:rsidRDefault="00943BA9" w:rsidP="00D3010F">
            <w:pPr>
              <w:pStyle w:val="StylZa6b"/>
              <w:spacing w:before="60"/>
              <w:rPr>
                <w:rFonts w:asciiTheme="minorHAnsi" w:hAnsiTheme="minorHAnsi" w:cstheme="minorHAnsi"/>
                <w:szCs w:val="24"/>
              </w:rPr>
            </w:pPr>
            <w:r w:rsidRPr="006B6D61">
              <w:rPr>
                <w:rFonts w:asciiTheme="minorHAnsi" w:hAnsiTheme="minorHAnsi" w:cstheme="minorHAnsi"/>
                <w:szCs w:val="24"/>
              </w:rPr>
              <w:t>z toho: převody z NF a EU za projekty z roku 202</w:t>
            </w:r>
            <w:r w:rsidR="00E75F0C" w:rsidRPr="006B6D61">
              <w:rPr>
                <w:rFonts w:asciiTheme="minorHAnsi" w:hAnsiTheme="minorHAnsi" w:cstheme="minorHAnsi"/>
                <w:szCs w:val="24"/>
              </w:rPr>
              <w:t>3</w:t>
            </w:r>
          </w:p>
        </w:tc>
        <w:tc>
          <w:tcPr>
            <w:tcW w:w="1276" w:type="dxa"/>
            <w:tcBorders>
              <w:top w:val="nil"/>
              <w:left w:val="nil"/>
              <w:bottom w:val="nil"/>
              <w:right w:val="nil"/>
            </w:tcBorders>
            <w:shd w:val="clear" w:color="000000" w:fill="FFFFFF"/>
            <w:noWrap/>
            <w:vAlign w:val="bottom"/>
          </w:tcPr>
          <w:p w14:paraId="53D6C3FF" w14:textId="39A2D3C2" w:rsidR="00943BA9" w:rsidRPr="006B6D61" w:rsidRDefault="004C302B" w:rsidP="00D3010F">
            <w:pPr>
              <w:spacing w:after="120"/>
              <w:jc w:val="right"/>
              <w:rPr>
                <w:rFonts w:cstheme="minorHAnsi"/>
                <w:sz w:val="24"/>
                <w:szCs w:val="24"/>
              </w:rPr>
            </w:pPr>
            <w:r>
              <w:rPr>
                <w:rFonts w:cstheme="minorHAnsi"/>
                <w:sz w:val="24"/>
                <w:szCs w:val="24"/>
              </w:rPr>
              <w:t>26 </w:t>
            </w:r>
            <w:r w:rsidR="00B756C7">
              <w:rPr>
                <w:rFonts w:cstheme="minorHAnsi"/>
                <w:sz w:val="24"/>
                <w:szCs w:val="24"/>
              </w:rPr>
              <w:t>702 668</w:t>
            </w:r>
            <w:r w:rsidR="00C367AA" w:rsidRPr="006B6D61">
              <w:rPr>
                <w:rFonts w:cstheme="minorHAnsi"/>
                <w:sz w:val="24"/>
                <w:szCs w:val="24"/>
              </w:rPr>
              <w:t xml:space="preserve"> </w:t>
            </w:r>
          </w:p>
        </w:tc>
        <w:tc>
          <w:tcPr>
            <w:tcW w:w="992" w:type="dxa"/>
            <w:tcBorders>
              <w:top w:val="nil"/>
              <w:left w:val="nil"/>
              <w:bottom w:val="nil"/>
              <w:right w:val="nil"/>
            </w:tcBorders>
            <w:shd w:val="clear" w:color="000000" w:fill="FFFFFF"/>
            <w:noWrap/>
            <w:vAlign w:val="bottom"/>
          </w:tcPr>
          <w:p w14:paraId="7129ECA5"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2B367B76" w14:textId="77777777" w:rsidTr="007D321B">
        <w:trPr>
          <w:trHeight w:val="397"/>
        </w:trPr>
        <w:tc>
          <w:tcPr>
            <w:tcW w:w="6521" w:type="dxa"/>
            <w:tcBorders>
              <w:top w:val="nil"/>
              <w:left w:val="nil"/>
              <w:bottom w:val="nil"/>
              <w:right w:val="nil"/>
            </w:tcBorders>
            <w:shd w:val="clear" w:color="000000" w:fill="FFFFFF"/>
            <w:noWrap/>
            <w:vAlign w:val="bottom"/>
          </w:tcPr>
          <w:p w14:paraId="6EA0E831" w14:textId="36A29F3B" w:rsidR="00943BA9" w:rsidRPr="006B6D61" w:rsidRDefault="00943BA9" w:rsidP="00D3010F">
            <w:pPr>
              <w:pStyle w:val="StylZa6b"/>
              <w:spacing w:before="60"/>
              <w:ind w:left="776"/>
              <w:rPr>
                <w:rFonts w:asciiTheme="minorHAnsi" w:hAnsiTheme="minorHAnsi" w:cstheme="minorHAnsi"/>
                <w:szCs w:val="24"/>
              </w:rPr>
            </w:pPr>
            <w:r w:rsidRPr="006B6D61">
              <w:rPr>
                <w:rFonts w:asciiTheme="minorHAnsi" w:hAnsiTheme="minorHAnsi" w:cstheme="minorHAnsi"/>
                <w:szCs w:val="24"/>
              </w:rPr>
              <w:t>převody z NF a EU za projekty z r. 202</w:t>
            </w:r>
            <w:r w:rsidR="00E75F0C" w:rsidRPr="006B6D61">
              <w:rPr>
                <w:rFonts w:asciiTheme="minorHAnsi" w:hAnsiTheme="minorHAnsi" w:cstheme="minorHAnsi"/>
                <w:szCs w:val="24"/>
              </w:rPr>
              <w:t>2</w:t>
            </w:r>
            <w:r w:rsidRPr="006B6D61">
              <w:rPr>
                <w:rFonts w:asciiTheme="minorHAnsi" w:hAnsiTheme="minorHAnsi" w:cstheme="minorHAnsi"/>
                <w:szCs w:val="24"/>
              </w:rPr>
              <w:t xml:space="preserve"> a </w:t>
            </w:r>
            <w:proofErr w:type="spellStart"/>
            <w:r w:rsidRPr="006B6D61">
              <w:rPr>
                <w:rFonts w:asciiTheme="minorHAnsi" w:hAnsiTheme="minorHAnsi" w:cstheme="minorHAnsi"/>
                <w:szCs w:val="24"/>
              </w:rPr>
              <w:t>předch</w:t>
            </w:r>
            <w:proofErr w:type="spellEnd"/>
            <w:r w:rsidRPr="006B6D61">
              <w:rPr>
                <w:rFonts w:asciiTheme="minorHAnsi" w:hAnsiTheme="minorHAnsi" w:cstheme="minorHAnsi"/>
                <w:szCs w:val="24"/>
              </w:rPr>
              <w:t>.</w:t>
            </w:r>
          </w:p>
        </w:tc>
        <w:tc>
          <w:tcPr>
            <w:tcW w:w="1276" w:type="dxa"/>
            <w:tcBorders>
              <w:top w:val="nil"/>
              <w:left w:val="nil"/>
              <w:bottom w:val="nil"/>
              <w:right w:val="nil"/>
            </w:tcBorders>
            <w:shd w:val="clear" w:color="000000" w:fill="FFFFFF"/>
            <w:noWrap/>
            <w:vAlign w:val="bottom"/>
          </w:tcPr>
          <w:p w14:paraId="2DF88EEC" w14:textId="17C3678A" w:rsidR="00943BA9" w:rsidRPr="006B6D61" w:rsidRDefault="005346AF" w:rsidP="00D3010F">
            <w:pPr>
              <w:spacing w:after="120"/>
              <w:jc w:val="right"/>
              <w:rPr>
                <w:rFonts w:cstheme="minorHAnsi"/>
                <w:sz w:val="24"/>
                <w:szCs w:val="24"/>
              </w:rPr>
            </w:pPr>
            <w:r w:rsidRPr="006B6D61">
              <w:rPr>
                <w:rFonts w:cstheme="minorHAnsi"/>
                <w:sz w:val="24"/>
                <w:szCs w:val="24"/>
              </w:rPr>
              <w:t>23 623 850</w:t>
            </w:r>
          </w:p>
        </w:tc>
        <w:tc>
          <w:tcPr>
            <w:tcW w:w="992" w:type="dxa"/>
            <w:tcBorders>
              <w:top w:val="nil"/>
              <w:left w:val="nil"/>
              <w:bottom w:val="nil"/>
              <w:right w:val="nil"/>
            </w:tcBorders>
            <w:shd w:val="clear" w:color="000000" w:fill="FFFFFF"/>
            <w:noWrap/>
            <w:vAlign w:val="bottom"/>
          </w:tcPr>
          <w:p w14:paraId="338FB599"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418B9809" w14:textId="77777777" w:rsidTr="007D321B">
        <w:trPr>
          <w:trHeight w:val="397"/>
        </w:trPr>
        <w:tc>
          <w:tcPr>
            <w:tcW w:w="6521" w:type="dxa"/>
            <w:tcBorders>
              <w:top w:val="nil"/>
              <w:left w:val="nil"/>
              <w:bottom w:val="nil"/>
              <w:right w:val="nil"/>
            </w:tcBorders>
            <w:shd w:val="clear" w:color="000000" w:fill="FFFFFF"/>
            <w:noWrap/>
            <w:vAlign w:val="bottom"/>
          </w:tcPr>
          <w:p w14:paraId="642B1F47" w14:textId="1929396C" w:rsidR="00943BA9" w:rsidRPr="006B6D61" w:rsidRDefault="00943BA9" w:rsidP="00D3010F">
            <w:pPr>
              <w:pStyle w:val="StylZa6b"/>
              <w:spacing w:before="60"/>
              <w:ind w:left="776"/>
              <w:rPr>
                <w:rFonts w:asciiTheme="minorHAnsi" w:hAnsiTheme="minorHAnsi" w:cstheme="minorHAnsi"/>
                <w:szCs w:val="24"/>
              </w:rPr>
            </w:pPr>
            <w:r w:rsidRPr="006B6D61">
              <w:rPr>
                <w:rFonts w:asciiTheme="minorHAnsi" w:hAnsiTheme="minorHAnsi" w:cstheme="minorHAnsi"/>
                <w:szCs w:val="24"/>
              </w:rPr>
              <w:t xml:space="preserve">převody z rezervního fondu </w:t>
            </w:r>
          </w:p>
        </w:tc>
        <w:tc>
          <w:tcPr>
            <w:tcW w:w="1276" w:type="dxa"/>
            <w:tcBorders>
              <w:top w:val="nil"/>
              <w:left w:val="nil"/>
              <w:bottom w:val="nil"/>
              <w:right w:val="nil"/>
            </w:tcBorders>
            <w:shd w:val="clear" w:color="000000" w:fill="FFFFFF"/>
            <w:noWrap/>
            <w:vAlign w:val="bottom"/>
          </w:tcPr>
          <w:p w14:paraId="655BD696" w14:textId="3E67C916" w:rsidR="00943BA9" w:rsidRPr="006B6D61" w:rsidRDefault="0077559A" w:rsidP="00D3010F">
            <w:pPr>
              <w:spacing w:after="120"/>
              <w:jc w:val="right"/>
              <w:rPr>
                <w:rFonts w:cstheme="minorHAnsi"/>
                <w:sz w:val="24"/>
                <w:szCs w:val="24"/>
              </w:rPr>
            </w:pPr>
            <w:r w:rsidRPr="006B6D61">
              <w:rPr>
                <w:rFonts w:cstheme="minorHAnsi"/>
                <w:sz w:val="24"/>
                <w:szCs w:val="24"/>
              </w:rPr>
              <w:t>6 371</w:t>
            </w:r>
          </w:p>
        </w:tc>
        <w:tc>
          <w:tcPr>
            <w:tcW w:w="992" w:type="dxa"/>
            <w:tcBorders>
              <w:top w:val="nil"/>
              <w:left w:val="nil"/>
              <w:bottom w:val="nil"/>
              <w:right w:val="nil"/>
            </w:tcBorders>
            <w:shd w:val="clear" w:color="000000" w:fill="FFFFFF"/>
            <w:noWrap/>
            <w:vAlign w:val="bottom"/>
          </w:tcPr>
          <w:p w14:paraId="0F4412A2"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29366566" w14:textId="77777777" w:rsidTr="007D321B">
        <w:trPr>
          <w:trHeight w:val="397"/>
        </w:trPr>
        <w:tc>
          <w:tcPr>
            <w:tcW w:w="6521" w:type="dxa"/>
            <w:tcBorders>
              <w:top w:val="nil"/>
              <w:left w:val="nil"/>
              <w:bottom w:val="nil"/>
              <w:right w:val="nil"/>
            </w:tcBorders>
            <w:shd w:val="clear" w:color="000000" w:fill="FFFFFF"/>
            <w:noWrap/>
            <w:vAlign w:val="bottom"/>
          </w:tcPr>
          <w:p w14:paraId="23545A2D" w14:textId="5D8C934A" w:rsidR="00943BA9" w:rsidRPr="006B6D61" w:rsidRDefault="00943BA9" w:rsidP="00D3010F">
            <w:pPr>
              <w:pStyle w:val="StylZa6b"/>
              <w:spacing w:before="60"/>
              <w:ind w:left="776"/>
              <w:rPr>
                <w:rFonts w:asciiTheme="minorHAnsi" w:hAnsiTheme="minorHAnsi" w:cstheme="minorHAnsi"/>
                <w:i/>
                <w:szCs w:val="24"/>
              </w:rPr>
            </w:pPr>
            <w:r w:rsidRPr="006B6D61">
              <w:rPr>
                <w:rFonts w:asciiTheme="minorHAnsi" w:hAnsiTheme="minorHAnsi" w:cstheme="minorHAnsi"/>
                <w:i/>
                <w:szCs w:val="24"/>
              </w:rPr>
              <w:t>z toho: převody prostředků z EU</w:t>
            </w:r>
          </w:p>
        </w:tc>
        <w:tc>
          <w:tcPr>
            <w:tcW w:w="1276" w:type="dxa"/>
            <w:tcBorders>
              <w:top w:val="nil"/>
              <w:left w:val="nil"/>
              <w:bottom w:val="nil"/>
              <w:right w:val="nil"/>
            </w:tcBorders>
            <w:shd w:val="clear" w:color="000000" w:fill="FFFFFF"/>
            <w:noWrap/>
            <w:vAlign w:val="bottom"/>
          </w:tcPr>
          <w:p w14:paraId="76144012" w14:textId="2E9A346C" w:rsidR="00943BA9" w:rsidRPr="006B6D61" w:rsidRDefault="00281153" w:rsidP="00D3010F">
            <w:pPr>
              <w:spacing w:after="120"/>
              <w:jc w:val="right"/>
              <w:rPr>
                <w:rFonts w:cstheme="minorHAnsi"/>
                <w:sz w:val="24"/>
                <w:szCs w:val="24"/>
              </w:rPr>
            </w:pPr>
            <w:r w:rsidRPr="006B6D61">
              <w:rPr>
                <w:rFonts w:cstheme="minorHAnsi"/>
                <w:sz w:val="24"/>
                <w:szCs w:val="24"/>
              </w:rPr>
              <w:t>2 645</w:t>
            </w:r>
          </w:p>
        </w:tc>
        <w:tc>
          <w:tcPr>
            <w:tcW w:w="992" w:type="dxa"/>
            <w:tcBorders>
              <w:top w:val="nil"/>
              <w:left w:val="nil"/>
              <w:bottom w:val="nil"/>
              <w:right w:val="nil"/>
            </w:tcBorders>
            <w:shd w:val="clear" w:color="000000" w:fill="FFFFFF"/>
            <w:noWrap/>
            <w:vAlign w:val="bottom"/>
          </w:tcPr>
          <w:p w14:paraId="01EAD693" w14:textId="77777777" w:rsidR="00943BA9" w:rsidRPr="006B6D61" w:rsidRDefault="00943BA9" w:rsidP="00D3010F">
            <w:pPr>
              <w:spacing w:after="120"/>
              <w:rPr>
                <w:rFonts w:cstheme="minorHAnsi"/>
                <w:sz w:val="24"/>
                <w:szCs w:val="24"/>
              </w:rPr>
            </w:pPr>
            <w:r w:rsidRPr="006B6D61">
              <w:rPr>
                <w:rFonts w:cstheme="minorHAnsi"/>
                <w:sz w:val="24"/>
                <w:szCs w:val="24"/>
              </w:rPr>
              <w:t>tis. Kč</w:t>
            </w:r>
          </w:p>
        </w:tc>
      </w:tr>
      <w:tr w:rsidR="002F1BE7" w:rsidRPr="002F1BE7" w14:paraId="5825C5F5" w14:textId="77777777" w:rsidTr="007D321B">
        <w:trPr>
          <w:trHeight w:val="397"/>
        </w:trPr>
        <w:tc>
          <w:tcPr>
            <w:tcW w:w="6521" w:type="dxa"/>
            <w:tcBorders>
              <w:top w:val="nil"/>
              <w:left w:val="nil"/>
              <w:bottom w:val="nil"/>
              <w:right w:val="nil"/>
            </w:tcBorders>
            <w:shd w:val="clear" w:color="000000" w:fill="FFFFFF"/>
            <w:noWrap/>
            <w:vAlign w:val="bottom"/>
            <w:hideMark/>
          </w:tcPr>
          <w:p w14:paraId="26DCC30A" w14:textId="77777777" w:rsidR="00943BA9" w:rsidRPr="002F1BE7" w:rsidRDefault="00943BA9" w:rsidP="00D3010F">
            <w:pPr>
              <w:spacing w:after="120"/>
              <w:rPr>
                <w:rFonts w:cstheme="minorHAnsi"/>
                <w:b/>
                <w:bCs/>
                <w:color w:val="FF0000"/>
                <w:sz w:val="24"/>
                <w:szCs w:val="24"/>
              </w:rPr>
            </w:pPr>
            <w:r w:rsidRPr="006B6D61">
              <w:rPr>
                <w:rFonts w:cstheme="minorHAnsi"/>
                <w:b/>
                <w:bCs/>
                <w:sz w:val="24"/>
                <w:szCs w:val="24"/>
              </w:rPr>
              <w:t>Plnění</w:t>
            </w:r>
          </w:p>
        </w:tc>
        <w:tc>
          <w:tcPr>
            <w:tcW w:w="1276" w:type="dxa"/>
            <w:tcBorders>
              <w:top w:val="nil"/>
              <w:left w:val="nil"/>
              <w:bottom w:val="nil"/>
              <w:right w:val="nil"/>
            </w:tcBorders>
            <w:shd w:val="clear" w:color="000000" w:fill="FFFFFF"/>
            <w:noWrap/>
            <w:vAlign w:val="bottom"/>
            <w:hideMark/>
          </w:tcPr>
          <w:p w14:paraId="7E331DF6" w14:textId="6CD9EE7F" w:rsidR="00943BA9" w:rsidRPr="006B6D61" w:rsidRDefault="00267267" w:rsidP="00D3010F">
            <w:pPr>
              <w:spacing w:after="120"/>
              <w:jc w:val="right"/>
              <w:rPr>
                <w:rFonts w:cstheme="minorHAnsi"/>
                <w:sz w:val="24"/>
                <w:szCs w:val="24"/>
              </w:rPr>
            </w:pPr>
            <w:r w:rsidRPr="006B6D61">
              <w:rPr>
                <w:rFonts w:cstheme="minorHAnsi"/>
                <w:sz w:val="24"/>
                <w:szCs w:val="24"/>
              </w:rPr>
              <w:t>174,72</w:t>
            </w:r>
          </w:p>
        </w:tc>
        <w:tc>
          <w:tcPr>
            <w:tcW w:w="992" w:type="dxa"/>
            <w:tcBorders>
              <w:top w:val="nil"/>
              <w:left w:val="nil"/>
              <w:bottom w:val="nil"/>
              <w:right w:val="nil"/>
            </w:tcBorders>
            <w:shd w:val="clear" w:color="000000" w:fill="FFFFFF"/>
            <w:noWrap/>
            <w:vAlign w:val="bottom"/>
            <w:hideMark/>
          </w:tcPr>
          <w:p w14:paraId="0A116393" w14:textId="77777777" w:rsidR="00943BA9" w:rsidRPr="006B6D61" w:rsidRDefault="00943BA9" w:rsidP="00D3010F">
            <w:pPr>
              <w:spacing w:after="120"/>
              <w:rPr>
                <w:rFonts w:cstheme="minorHAnsi"/>
                <w:sz w:val="24"/>
                <w:szCs w:val="24"/>
              </w:rPr>
            </w:pPr>
            <w:r w:rsidRPr="006B6D61">
              <w:rPr>
                <w:rFonts w:cstheme="minorHAnsi"/>
                <w:sz w:val="24"/>
                <w:szCs w:val="24"/>
              </w:rPr>
              <w:t>%</w:t>
            </w:r>
          </w:p>
        </w:tc>
      </w:tr>
      <w:tr w:rsidR="002F1BE7" w:rsidRPr="002F1BE7" w14:paraId="76AD8547" w14:textId="77777777" w:rsidTr="007D321B">
        <w:trPr>
          <w:trHeight w:val="397"/>
        </w:trPr>
        <w:tc>
          <w:tcPr>
            <w:tcW w:w="6521" w:type="dxa"/>
            <w:tcBorders>
              <w:top w:val="nil"/>
              <w:left w:val="nil"/>
              <w:bottom w:val="nil"/>
              <w:right w:val="nil"/>
            </w:tcBorders>
            <w:shd w:val="clear" w:color="000000" w:fill="FFFFFF"/>
            <w:noWrap/>
            <w:vAlign w:val="bottom"/>
          </w:tcPr>
          <w:p w14:paraId="3C2833C0" w14:textId="74FB5A6B" w:rsidR="00943BA9" w:rsidRPr="002F1BE7" w:rsidRDefault="00943BA9" w:rsidP="00D3010F">
            <w:pPr>
              <w:spacing w:after="120"/>
              <w:rPr>
                <w:rFonts w:cstheme="minorHAnsi"/>
                <w:b/>
                <w:bCs/>
                <w:color w:val="FF0000"/>
                <w:sz w:val="24"/>
                <w:szCs w:val="24"/>
              </w:rPr>
            </w:pPr>
            <w:r w:rsidRPr="006B6D61">
              <w:rPr>
                <w:rFonts w:cstheme="minorHAnsi"/>
                <w:i/>
                <w:sz w:val="24"/>
                <w:szCs w:val="24"/>
              </w:rPr>
              <w:t xml:space="preserve">Plnění bez </w:t>
            </w:r>
            <w:proofErr w:type="spellStart"/>
            <w:r w:rsidRPr="006B6D61">
              <w:rPr>
                <w:rFonts w:cstheme="minorHAnsi"/>
                <w:i/>
                <w:sz w:val="24"/>
                <w:szCs w:val="24"/>
              </w:rPr>
              <w:t>prostř</w:t>
            </w:r>
            <w:proofErr w:type="spellEnd"/>
            <w:r w:rsidRPr="006B6D61">
              <w:rPr>
                <w:rFonts w:cstheme="minorHAnsi"/>
                <w:i/>
                <w:sz w:val="24"/>
                <w:szCs w:val="24"/>
              </w:rPr>
              <w:t xml:space="preserve">. poskytnutých z EU na projekty </w:t>
            </w:r>
            <w:proofErr w:type="spellStart"/>
            <w:r w:rsidRPr="006B6D61">
              <w:rPr>
                <w:rFonts w:cstheme="minorHAnsi"/>
                <w:i/>
                <w:sz w:val="24"/>
                <w:szCs w:val="24"/>
              </w:rPr>
              <w:t>předch</w:t>
            </w:r>
            <w:proofErr w:type="spellEnd"/>
            <w:r w:rsidRPr="006B6D61">
              <w:rPr>
                <w:rFonts w:cstheme="minorHAnsi"/>
                <w:i/>
                <w:sz w:val="24"/>
                <w:szCs w:val="24"/>
              </w:rPr>
              <w:t>. let, dle § 25 zák. č. 218/2000 Sb., a bez převodu z rezervního fondu.</w:t>
            </w:r>
          </w:p>
        </w:tc>
        <w:tc>
          <w:tcPr>
            <w:tcW w:w="1276" w:type="dxa"/>
            <w:tcBorders>
              <w:top w:val="nil"/>
              <w:left w:val="nil"/>
              <w:bottom w:val="nil"/>
              <w:right w:val="nil"/>
            </w:tcBorders>
            <w:shd w:val="clear" w:color="000000" w:fill="FFFFFF"/>
            <w:noWrap/>
            <w:vAlign w:val="center"/>
          </w:tcPr>
          <w:p w14:paraId="6D562E3B" w14:textId="7F9F611D" w:rsidR="00943BA9" w:rsidRPr="006B6D61" w:rsidRDefault="001F5192" w:rsidP="00D3010F">
            <w:pPr>
              <w:spacing w:after="120"/>
              <w:jc w:val="right"/>
              <w:rPr>
                <w:rFonts w:cstheme="minorHAnsi"/>
                <w:sz w:val="24"/>
                <w:szCs w:val="24"/>
              </w:rPr>
            </w:pPr>
            <w:r w:rsidRPr="006B6D61">
              <w:rPr>
                <w:rFonts w:cstheme="minorHAnsi"/>
                <w:sz w:val="24"/>
                <w:szCs w:val="24"/>
              </w:rPr>
              <w:t>92,8</w:t>
            </w:r>
          </w:p>
        </w:tc>
        <w:tc>
          <w:tcPr>
            <w:tcW w:w="992" w:type="dxa"/>
            <w:tcBorders>
              <w:top w:val="nil"/>
              <w:left w:val="nil"/>
              <w:bottom w:val="nil"/>
              <w:right w:val="nil"/>
            </w:tcBorders>
            <w:shd w:val="clear" w:color="000000" w:fill="FFFFFF"/>
            <w:noWrap/>
            <w:vAlign w:val="center"/>
          </w:tcPr>
          <w:p w14:paraId="1E387357" w14:textId="77777777" w:rsidR="00943BA9" w:rsidRPr="006B6D61" w:rsidRDefault="00943BA9" w:rsidP="00D3010F">
            <w:pPr>
              <w:spacing w:after="120"/>
              <w:rPr>
                <w:rFonts w:cstheme="minorHAnsi"/>
                <w:sz w:val="24"/>
                <w:szCs w:val="24"/>
              </w:rPr>
            </w:pPr>
            <w:r w:rsidRPr="006B6D61">
              <w:rPr>
                <w:rFonts w:cstheme="minorHAnsi"/>
                <w:sz w:val="24"/>
                <w:szCs w:val="24"/>
              </w:rPr>
              <w:t>%</w:t>
            </w:r>
          </w:p>
        </w:tc>
      </w:tr>
    </w:tbl>
    <w:p w14:paraId="5460AA70" w14:textId="40FB88C5" w:rsidR="00943BA9" w:rsidRPr="006B6D61" w:rsidRDefault="007D321B" w:rsidP="003F0A7C">
      <w:pPr>
        <w:pStyle w:val="KOMtext"/>
      </w:pPr>
      <w:r w:rsidRPr="006B6D61">
        <w:t>Schválený rozpočet byl v průběhu roku 202</w:t>
      </w:r>
      <w:r w:rsidR="00246A95" w:rsidRPr="006B6D61">
        <w:t>3</w:t>
      </w:r>
      <w:r w:rsidRPr="006B6D61">
        <w:t xml:space="preserve"> navýšen souvztažným navýšením příjmů a výdajů o 1 </w:t>
      </w:r>
      <w:r w:rsidR="00CF518B" w:rsidRPr="006B6D61">
        <w:t>581</w:t>
      </w:r>
      <w:r w:rsidRPr="006B6D61">
        <w:t xml:space="preserve"> tis. Kč viz kap. 3.</w:t>
      </w:r>
    </w:p>
    <w:p w14:paraId="317B9BAA" w14:textId="69CB32FA" w:rsidR="00173427" w:rsidRPr="006B6D61" w:rsidRDefault="00173427" w:rsidP="00FE67C5">
      <w:pPr>
        <w:pStyle w:val="KOMnadp2"/>
      </w:pPr>
      <w:bookmarkStart w:id="8" w:name="_Toc128399996"/>
      <w:bookmarkStart w:id="9" w:name="_Toc162269232"/>
      <w:r w:rsidRPr="006B6D61">
        <w:t>Plnění specifických ukazatelů</w:t>
      </w:r>
      <w:bookmarkEnd w:id="8"/>
      <w:bookmarkEnd w:id="9"/>
    </w:p>
    <w:p w14:paraId="26064791" w14:textId="0E21B656" w:rsidR="00B9149B" w:rsidRPr="008A0E44" w:rsidRDefault="00B9149B" w:rsidP="008A0E44">
      <w:pPr>
        <w:pStyle w:val="KOMnadp4"/>
      </w:pPr>
      <w:r w:rsidRPr="008A0E44">
        <w:t>Specifické „příjmové“ ukazatele kapitoly 327 - MD rok 202</w:t>
      </w:r>
      <w:r w:rsidR="001605D7" w:rsidRPr="008A0E44">
        <w:t>3</w:t>
      </w:r>
    </w:p>
    <w:tbl>
      <w:tblPr>
        <w:tblW w:w="9072" w:type="dxa"/>
        <w:tblLayout w:type="fixed"/>
        <w:tblCellMar>
          <w:left w:w="70" w:type="dxa"/>
          <w:right w:w="70" w:type="dxa"/>
        </w:tblCellMar>
        <w:tblLook w:val="04A0" w:firstRow="1" w:lastRow="0" w:firstColumn="1" w:lastColumn="0" w:noHBand="0" w:noVBand="1"/>
      </w:tblPr>
      <w:tblGrid>
        <w:gridCol w:w="190"/>
        <w:gridCol w:w="1773"/>
        <w:gridCol w:w="1148"/>
        <w:gridCol w:w="1425"/>
        <w:gridCol w:w="1418"/>
        <w:gridCol w:w="1417"/>
        <w:gridCol w:w="851"/>
        <w:gridCol w:w="850"/>
      </w:tblGrid>
      <w:tr w:rsidR="002F1BE7" w:rsidRPr="002F1BE7" w14:paraId="1DE13D71" w14:textId="77777777" w:rsidTr="006B6D61">
        <w:trPr>
          <w:trHeight w:val="298"/>
        </w:trPr>
        <w:tc>
          <w:tcPr>
            <w:tcW w:w="9072" w:type="dxa"/>
            <w:gridSpan w:val="8"/>
            <w:tcBorders>
              <w:top w:val="nil"/>
              <w:left w:val="nil"/>
              <w:bottom w:val="nil"/>
              <w:right w:val="nil"/>
            </w:tcBorders>
            <w:shd w:val="clear" w:color="000000" w:fill="FFFFFF"/>
          </w:tcPr>
          <w:p w14:paraId="1B21A96B" w14:textId="3D94F71C" w:rsidR="005C19AA" w:rsidRPr="006B6D61" w:rsidRDefault="005C19AA" w:rsidP="003F0A7C">
            <w:pPr>
              <w:spacing w:after="0"/>
              <w:jc w:val="right"/>
              <w:rPr>
                <w:rFonts w:cstheme="minorHAnsi"/>
              </w:rPr>
            </w:pPr>
            <w:r w:rsidRPr="006B6D61">
              <w:rPr>
                <w:rFonts w:cstheme="minorHAnsi"/>
              </w:rPr>
              <w:t>v tis. Kč</w:t>
            </w:r>
          </w:p>
        </w:tc>
      </w:tr>
      <w:tr w:rsidR="00A32897" w:rsidRPr="002F1BE7" w14:paraId="25140A1E" w14:textId="77777777" w:rsidTr="00CF518B">
        <w:trPr>
          <w:trHeight w:val="478"/>
        </w:trPr>
        <w:tc>
          <w:tcPr>
            <w:tcW w:w="1963" w:type="dxa"/>
            <w:gridSpan w:val="2"/>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5669D9D2" w14:textId="2BA5FA17" w:rsidR="001D4EB8" w:rsidRPr="006B6D61" w:rsidRDefault="001D4EB8">
            <w:pPr>
              <w:spacing w:after="0"/>
              <w:jc w:val="center"/>
              <w:rPr>
                <w:rFonts w:cstheme="minorHAnsi"/>
                <w:b/>
              </w:rPr>
            </w:pPr>
            <w:r w:rsidRPr="006B6D61">
              <w:rPr>
                <w:rFonts w:cstheme="minorHAnsi"/>
                <w:b/>
              </w:rPr>
              <w:t>Ukazatel</w:t>
            </w:r>
          </w:p>
        </w:tc>
        <w:tc>
          <w:tcPr>
            <w:tcW w:w="1148" w:type="dxa"/>
            <w:vMerge w:val="restart"/>
            <w:tcBorders>
              <w:top w:val="single" w:sz="4" w:space="0" w:color="000000"/>
              <w:left w:val="nil"/>
              <w:right w:val="single" w:sz="4" w:space="0" w:color="000000"/>
            </w:tcBorders>
            <w:shd w:val="clear" w:color="auto" w:fill="D9D9D9" w:themeFill="background1" w:themeFillShade="D9"/>
            <w:vAlign w:val="center"/>
          </w:tcPr>
          <w:p w14:paraId="35D62E9F" w14:textId="3E5CCCFF" w:rsidR="001D4EB8" w:rsidRPr="006B6D61" w:rsidRDefault="001D4EB8">
            <w:pPr>
              <w:spacing w:after="0"/>
              <w:jc w:val="center"/>
              <w:rPr>
                <w:rFonts w:cstheme="minorHAnsi"/>
                <w:b/>
              </w:rPr>
            </w:pPr>
            <w:r w:rsidRPr="006B6D61">
              <w:rPr>
                <w:rFonts w:cstheme="minorHAnsi"/>
                <w:b/>
              </w:rPr>
              <w:t>Skutečnost 202</w:t>
            </w:r>
            <w:r w:rsidR="001605D7" w:rsidRPr="006B6D61">
              <w:rPr>
                <w:rFonts w:cstheme="minorHAnsi"/>
                <w:b/>
              </w:rPr>
              <w:t>2</w:t>
            </w:r>
          </w:p>
        </w:tc>
        <w:tc>
          <w:tcPr>
            <w:tcW w:w="2843" w:type="dxa"/>
            <w:gridSpan w:val="2"/>
            <w:tcBorders>
              <w:top w:val="single" w:sz="4" w:space="0" w:color="000000"/>
              <w:left w:val="nil"/>
              <w:right w:val="single" w:sz="4" w:space="0" w:color="000000"/>
            </w:tcBorders>
            <w:shd w:val="clear" w:color="auto" w:fill="D9D9D9" w:themeFill="background1" w:themeFillShade="D9"/>
            <w:vAlign w:val="center"/>
          </w:tcPr>
          <w:p w14:paraId="1FFCFFDA" w14:textId="09311E9E" w:rsidR="001D4EB8" w:rsidRPr="006B6D61" w:rsidRDefault="001D4EB8">
            <w:pPr>
              <w:spacing w:after="0"/>
              <w:jc w:val="center"/>
              <w:rPr>
                <w:rFonts w:cstheme="minorHAnsi"/>
                <w:b/>
              </w:rPr>
            </w:pPr>
            <w:r w:rsidRPr="006B6D61">
              <w:rPr>
                <w:rFonts w:cstheme="minorHAnsi"/>
                <w:b/>
              </w:rPr>
              <w:t>Rozpočet 202</w:t>
            </w:r>
            <w:r w:rsidR="001605D7" w:rsidRPr="006B6D61">
              <w:rPr>
                <w:rFonts w:cstheme="minorHAnsi"/>
                <w:b/>
              </w:rPr>
              <w:t>3</w:t>
            </w:r>
          </w:p>
        </w:tc>
        <w:tc>
          <w:tcPr>
            <w:tcW w:w="1417" w:type="dxa"/>
            <w:vMerge w:val="restart"/>
            <w:tcBorders>
              <w:top w:val="single" w:sz="4" w:space="0" w:color="000000"/>
              <w:left w:val="nil"/>
              <w:right w:val="single" w:sz="4" w:space="0" w:color="000000"/>
            </w:tcBorders>
            <w:shd w:val="clear" w:color="auto" w:fill="D9D9D9" w:themeFill="background1" w:themeFillShade="D9"/>
            <w:vAlign w:val="center"/>
          </w:tcPr>
          <w:p w14:paraId="47F01B99" w14:textId="3C704DEB" w:rsidR="001D4EB8" w:rsidRPr="006B6D61" w:rsidRDefault="001D4EB8">
            <w:pPr>
              <w:spacing w:after="0"/>
              <w:jc w:val="center"/>
              <w:rPr>
                <w:rFonts w:cstheme="minorHAnsi"/>
                <w:b/>
              </w:rPr>
            </w:pPr>
            <w:r w:rsidRPr="006B6D61">
              <w:rPr>
                <w:rFonts w:cstheme="minorHAnsi"/>
                <w:b/>
              </w:rPr>
              <w:t>Skutečnost 202</w:t>
            </w:r>
            <w:r w:rsidR="001605D7" w:rsidRPr="006B6D61">
              <w:rPr>
                <w:rFonts w:cstheme="minorHAnsi"/>
                <w:b/>
              </w:rPr>
              <w:t>3</w:t>
            </w:r>
          </w:p>
        </w:tc>
        <w:tc>
          <w:tcPr>
            <w:tcW w:w="851" w:type="dxa"/>
            <w:vMerge w:val="restart"/>
            <w:tcBorders>
              <w:top w:val="single" w:sz="4" w:space="0" w:color="000000"/>
              <w:left w:val="nil"/>
              <w:right w:val="single" w:sz="4" w:space="0" w:color="auto"/>
            </w:tcBorders>
            <w:shd w:val="clear" w:color="auto" w:fill="D9D9D9" w:themeFill="background1" w:themeFillShade="D9"/>
            <w:vAlign w:val="center"/>
          </w:tcPr>
          <w:p w14:paraId="615F8868" w14:textId="3323FEF9" w:rsidR="001D4EB8" w:rsidRPr="006B6D61" w:rsidDel="00892F00" w:rsidRDefault="001D4EB8">
            <w:pPr>
              <w:spacing w:after="0"/>
              <w:jc w:val="center"/>
              <w:rPr>
                <w:rFonts w:cstheme="minorHAnsi"/>
                <w:b/>
              </w:rPr>
            </w:pPr>
            <w:r w:rsidRPr="006B6D61">
              <w:rPr>
                <w:rFonts w:cstheme="minorHAnsi"/>
                <w:b/>
              </w:rPr>
              <w:t>Plnění v %</w:t>
            </w:r>
          </w:p>
        </w:tc>
        <w:tc>
          <w:tcPr>
            <w:tcW w:w="850" w:type="dxa"/>
            <w:vMerge w:val="restart"/>
            <w:tcBorders>
              <w:top w:val="single" w:sz="4" w:space="0" w:color="000000"/>
              <w:left w:val="single" w:sz="4" w:space="0" w:color="auto"/>
              <w:right w:val="single" w:sz="4" w:space="0" w:color="000000"/>
            </w:tcBorders>
            <w:shd w:val="clear" w:color="auto" w:fill="D9D9D9" w:themeFill="background1" w:themeFillShade="D9"/>
            <w:vAlign w:val="center"/>
          </w:tcPr>
          <w:p w14:paraId="2900F718" w14:textId="18659DCF" w:rsidR="001D4EB8" w:rsidRPr="006B6D61" w:rsidRDefault="001D4EB8">
            <w:pPr>
              <w:spacing w:after="0"/>
              <w:jc w:val="center"/>
              <w:rPr>
                <w:rFonts w:cstheme="minorHAnsi"/>
                <w:b/>
              </w:rPr>
            </w:pPr>
            <w:r w:rsidRPr="006B6D61">
              <w:rPr>
                <w:rFonts w:cstheme="minorHAnsi"/>
                <w:b/>
              </w:rPr>
              <w:t>Index (v %)</w:t>
            </w:r>
          </w:p>
        </w:tc>
      </w:tr>
      <w:tr w:rsidR="00A32897" w:rsidRPr="002F1BE7" w14:paraId="35714732" w14:textId="77777777" w:rsidTr="00CF518B">
        <w:trPr>
          <w:trHeight w:val="427"/>
        </w:trPr>
        <w:tc>
          <w:tcPr>
            <w:tcW w:w="1963" w:type="dxa"/>
            <w:gridSpan w:val="2"/>
            <w:vMerge/>
            <w:tcBorders>
              <w:left w:val="single" w:sz="4" w:space="0" w:color="auto"/>
              <w:bottom w:val="single" w:sz="4" w:space="0" w:color="auto"/>
              <w:right w:val="single" w:sz="4" w:space="0" w:color="auto"/>
            </w:tcBorders>
            <w:shd w:val="clear" w:color="auto" w:fill="D9D9D9" w:themeFill="background1" w:themeFillShade="D9"/>
            <w:noWrap/>
            <w:vAlign w:val="center"/>
          </w:tcPr>
          <w:p w14:paraId="3157422C" w14:textId="76F31E0A" w:rsidR="001D4EB8" w:rsidRPr="0077128B" w:rsidRDefault="001D4EB8" w:rsidP="005C19AA">
            <w:pPr>
              <w:spacing w:after="0"/>
              <w:jc w:val="center"/>
              <w:rPr>
                <w:rFonts w:cstheme="minorHAnsi"/>
                <w:b/>
                <w:color w:val="FF0000"/>
              </w:rPr>
            </w:pPr>
          </w:p>
        </w:tc>
        <w:tc>
          <w:tcPr>
            <w:tcW w:w="1148" w:type="dxa"/>
            <w:vMerge/>
            <w:tcBorders>
              <w:left w:val="nil"/>
              <w:bottom w:val="single" w:sz="4" w:space="0" w:color="000000"/>
              <w:right w:val="single" w:sz="4" w:space="0" w:color="000000"/>
            </w:tcBorders>
            <w:shd w:val="clear" w:color="auto" w:fill="D9D9D9" w:themeFill="background1" w:themeFillShade="D9"/>
            <w:vAlign w:val="center"/>
          </w:tcPr>
          <w:p w14:paraId="7B925665" w14:textId="0E88E77B" w:rsidR="001D4EB8" w:rsidRPr="0077128B" w:rsidRDefault="001D4EB8" w:rsidP="005C19AA">
            <w:pPr>
              <w:spacing w:after="0"/>
              <w:jc w:val="center"/>
              <w:rPr>
                <w:rFonts w:cstheme="minorHAnsi"/>
                <w:b/>
                <w:color w:val="FF0000"/>
              </w:rPr>
            </w:pPr>
          </w:p>
        </w:tc>
        <w:tc>
          <w:tcPr>
            <w:tcW w:w="1425" w:type="dxa"/>
            <w:tcBorders>
              <w:top w:val="single" w:sz="4" w:space="0" w:color="000000"/>
              <w:left w:val="nil"/>
              <w:bottom w:val="single" w:sz="4" w:space="0" w:color="000000"/>
              <w:right w:val="single" w:sz="4" w:space="0" w:color="000000"/>
            </w:tcBorders>
            <w:shd w:val="clear" w:color="auto" w:fill="D9D9D9" w:themeFill="background1" w:themeFillShade="D9"/>
            <w:vAlign w:val="center"/>
          </w:tcPr>
          <w:p w14:paraId="55D3B1B1" w14:textId="21202140" w:rsidR="001D4EB8" w:rsidRPr="006B6D61" w:rsidRDefault="000325BE">
            <w:pPr>
              <w:spacing w:after="0"/>
              <w:jc w:val="center"/>
              <w:rPr>
                <w:rFonts w:cstheme="minorHAnsi"/>
                <w:b/>
              </w:rPr>
            </w:pPr>
            <w:r w:rsidRPr="006B6D61">
              <w:rPr>
                <w:rFonts w:cstheme="minorHAnsi"/>
                <w:b/>
              </w:rPr>
              <w:t>s</w:t>
            </w:r>
            <w:r w:rsidR="001D4EB8" w:rsidRPr="006B6D61">
              <w:rPr>
                <w:rFonts w:cstheme="minorHAnsi"/>
                <w:b/>
              </w:rPr>
              <w:t>chválený</w:t>
            </w:r>
          </w:p>
        </w:tc>
        <w:tc>
          <w:tcPr>
            <w:tcW w:w="1418" w:type="dxa"/>
            <w:tcBorders>
              <w:top w:val="single" w:sz="4" w:space="0" w:color="000000"/>
              <w:left w:val="nil"/>
              <w:bottom w:val="single" w:sz="4" w:space="0" w:color="000000"/>
              <w:right w:val="single" w:sz="4" w:space="0" w:color="000000"/>
            </w:tcBorders>
            <w:shd w:val="clear" w:color="auto" w:fill="D9D9D9" w:themeFill="background1" w:themeFillShade="D9"/>
            <w:vAlign w:val="center"/>
          </w:tcPr>
          <w:p w14:paraId="3554A5B9" w14:textId="7E10ABBF" w:rsidR="001D4EB8" w:rsidRPr="006B6D61" w:rsidRDefault="001D4EB8">
            <w:pPr>
              <w:spacing w:after="0"/>
              <w:jc w:val="center"/>
              <w:rPr>
                <w:rFonts w:cstheme="minorHAnsi"/>
                <w:b/>
              </w:rPr>
            </w:pPr>
            <w:r w:rsidRPr="006B6D61">
              <w:rPr>
                <w:rFonts w:cstheme="minorHAnsi"/>
                <w:b/>
              </w:rPr>
              <w:t xml:space="preserve"> po změnách </w:t>
            </w:r>
          </w:p>
        </w:tc>
        <w:tc>
          <w:tcPr>
            <w:tcW w:w="1417" w:type="dxa"/>
            <w:vMerge/>
            <w:tcBorders>
              <w:left w:val="nil"/>
              <w:bottom w:val="single" w:sz="4" w:space="0" w:color="000000"/>
              <w:right w:val="single" w:sz="4" w:space="0" w:color="000000"/>
            </w:tcBorders>
            <w:shd w:val="clear" w:color="auto" w:fill="D9D9D9" w:themeFill="background1" w:themeFillShade="D9"/>
            <w:vAlign w:val="center"/>
          </w:tcPr>
          <w:p w14:paraId="133A3792" w14:textId="3638DBED" w:rsidR="001D4EB8" w:rsidRPr="0077128B" w:rsidRDefault="001D4EB8" w:rsidP="005C19AA">
            <w:pPr>
              <w:spacing w:after="0"/>
              <w:jc w:val="center"/>
              <w:rPr>
                <w:rFonts w:cstheme="minorHAnsi"/>
                <w:b/>
                <w:color w:val="FF0000"/>
              </w:rPr>
            </w:pPr>
          </w:p>
        </w:tc>
        <w:tc>
          <w:tcPr>
            <w:tcW w:w="851" w:type="dxa"/>
            <w:vMerge/>
            <w:tcBorders>
              <w:left w:val="nil"/>
              <w:bottom w:val="single" w:sz="4" w:space="0" w:color="000000"/>
              <w:right w:val="single" w:sz="4" w:space="0" w:color="auto"/>
            </w:tcBorders>
            <w:shd w:val="clear" w:color="auto" w:fill="D9D9D9" w:themeFill="background1" w:themeFillShade="D9"/>
            <w:vAlign w:val="center"/>
          </w:tcPr>
          <w:p w14:paraId="02EA90D5" w14:textId="65FBD5D6" w:rsidR="001D4EB8" w:rsidRPr="0077128B" w:rsidRDefault="001D4EB8" w:rsidP="00D3010F">
            <w:pPr>
              <w:spacing w:after="0"/>
              <w:jc w:val="center"/>
              <w:rPr>
                <w:rFonts w:cstheme="minorHAnsi"/>
                <w:b/>
                <w:color w:val="FF0000"/>
              </w:rPr>
            </w:pPr>
          </w:p>
        </w:tc>
        <w:tc>
          <w:tcPr>
            <w:tcW w:w="850" w:type="dxa"/>
            <w:vMerge/>
            <w:tcBorders>
              <w:left w:val="single" w:sz="4" w:space="0" w:color="auto"/>
              <w:bottom w:val="single" w:sz="4" w:space="0" w:color="000000"/>
              <w:right w:val="single" w:sz="4" w:space="0" w:color="000000"/>
            </w:tcBorders>
            <w:shd w:val="clear" w:color="auto" w:fill="D9D9D9" w:themeFill="background1" w:themeFillShade="D9"/>
            <w:vAlign w:val="center"/>
          </w:tcPr>
          <w:p w14:paraId="3B7292AA" w14:textId="2693B0C0" w:rsidR="001D4EB8" w:rsidRPr="0077128B" w:rsidRDefault="001D4EB8" w:rsidP="005C19AA">
            <w:pPr>
              <w:spacing w:after="0"/>
              <w:jc w:val="center"/>
              <w:rPr>
                <w:rFonts w:cstheme="minorHAnsi"/>
                <w:b/>
                <w:color w:val="FF0000"/>
              </w:rPr>
            </w:pPr>
          </w:p>
        </w:tc>
      </w:tr>
      <w:tr w:rsidR="002F1BE7" w:rsidRPr="002F1BE7" w14:paraId="091776F8" w14:textId="77777777" w:rsidTr="006B6D61">
        <w:trPr>
          <w:trHeight w:val="300"/>
        </w:trPr>
        <w:tc>
          <w:tcPr>
            <w:tcW w:w="1963"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E56EBC" w14:textId="788DA2AB" w:rsidR="005C19AA" w:rsidRPr="006B6D61" w:rsidRDefault="005C19AA" w:rsidP="003F0A7C">
            <w:pPr>
              <w:spacing w:after="0"/>
              <w:jc w:val="center"/>
              <w:rPr>
                <w:rFonts w:cstheme="minorHAnsi"/>
                <w:bCs/>
              </w:rPr>
            </w:pPr>
            <w:r w:rsidRPr="006B6D61">
              <w:rPr>
                <w:rFonts w:cstheme="minorHAnsi"/>
                <w:bCs/>
              </w:rPr>
              <w:t>a</w:t>
            </w:r>
          </w:p>
        </w:tc>
        <w:tc>
          <w:tcPr>
            <w:tcW w:w="1148" w:type="dxa"/>
            <w:tcBorders>
              <w:top w:val="nil"/>
              <w:left w:val="nil"/>
              <w:bottom w:val="single" w:sz="4" w:space="0" w:color="000000"/>
              <w:right w:val="single" w:sz="4" w:space="0" w:color="000000"/>
            </w:tcBorders>
            <w:shd w:val="clear" w:color="auto" w:fill="auto"/>
            <w:noWrap/>
            <w:vAlign w:val="center"/>
          </w:tcPr>
          <w:p w14:paraId="6ED5EB0D" w14:textId="6AE9BB92" w:rsidR="005C19AA" w:rsidRPr="006B6D61" w:rsidRDefault="005C19AA" w:rsidP="003F0A7C">
            <w:pPr>
              <w:spacing w:after="0"/>
              <w:jc w:val="center"/>
              <w:rPr>
                <w:rFonts w:cstheme="minorHAnsi"/>
                <w:bCs/>
              </w:rPr>
            </w:pPr>
            <w:r w:rsidRPr="006B6D61">
              <w:rPr>
                <w:rFonts w:cstheme="minorHAnsi"/>
                <w:bCs/>
              </w:rPr>
              <w:t>1</w:t>
            </w:r>
          </w:p>
        </w:tc>
        <w:tc>
          <w:tcPr>
            <w:tcW w:w="1425" w:type="dxa"/>
            <w:tcBorders>
              <w:top w:val="nil"/>
              <w:left w:val="nil"/>
              <w:bottom w:val="single" w:sz="4" w:space="0" w:color="000000"/>
              <w:right w:val="single" w:sz="4" w:space="0" w:color="000000"/>
            </w:tcBorders>
            <w:shd w:val="clear" w:color="auto" w:fill="auto"/>
            <w:noWrap/>
            <w:vAlign w:val="center"/>
          </w:tcPr>
          <w:p w14:paraId="1FA739E0" w14:textId="2A9B5DF3" w:rsidR="005C19AA" w:rsidRPr="006B6D61" w:rsidRDefault="005C19AA" w:rsidP="003F0A7C">
            <w:pPr>
              <w:spacing w:after="0"/>
              <w:jc w:val="center"/>
              <w:rPr>
                <w:rFonts w:cstheme="minorHAnsi"/>
                <w:bCs/>
              </w:rPr>
            </w:pPr>
            <w:r w:rsidRPr="006B6D61">
              <w:rPr>
                <w:rFonts w:cstheme="minorHAnsi"/>
                <w:bCs/>
              </w:rPr>
              <w:t>2</w:t>
            </w:r>
          </w:p>
        </w:tc>
        <w:tc>
          <w:tcPr>
            <w:tcW w:w="1418" w:type="dxa"/>
            <w:tcBorders>
              <w:top w:val="nil"/>
              <w:left w:val="nil"/>
              <w:bottom w:val="single" w:sz="4" w:space="0" w:color="000000"/>
              <w:right w:val="single" w:sz="4" w:space="0" w:color="000000"/>
            </w:tcBorders>
            <w:shd w:val="clear" w:color="auto" w:fill="auto"/>
            <w:noWrap/>
            <w:vAlign w:val="center"/>
          </w:tcPr>
          <w:p w14:paraId="6D640C6E" w14:textId="7B41F5A8" w:rsidR="005C19AA" w:rsidRPr="006B6D61" w:rsidRDefault="005C19AA" w:rsidP="003F0A7C">
            <w:pPr>
              <w:spacing w:after="0"/>
              <w:jc w:val="center"/>
              <w:rPr>
                <w:rFonts w:cstheme="minorHAnsi"/>
                <w:bCs/>
              </w:rPr>
            </w:pPr>
            <w:r w:rsidRPr="006B6D61">
              <w:rPr>
                <w:rFonts w:cstheme="minorHAnsi"/>
                <w:bCs/>
              </w:rPr>
              <w:t>3</w:t>
            </w:r>
          </w:p>
        </w:tc>
        <w:tc>
          <w:tcPr>
            <w:tcW w:w="1417" w:type="dxa"/>
            <w:tcBorders>
              <w:top w:val="nil"/>
              <w:left w:val="nil"/>
              <w:bottom w:val="single" w:sz="4" w:space="0" w:color="000000"/>
              <w:right w:val="single" w:sz="4" w:space="0" w:color="000000"/>
            </w:tcBorders>
            <w:shd w:val="clear" w:color="auto" w:fill="auto"/>
            <w:noWrap/>
            <w:vAlign w:val="center"/>
          </w:tcPr>
          <w:p w14:paraId="08A64013" w14:textId="447EB6C8" w:rsidR="005C19AA" w:rsidRPr="006B6D61" w:rsidRDefault="00DD114B" w:rsidP="003F0A7C">
            <w:pPr>
              <w:spacing w:after="0"/>
              <w:jc w:val="center"/>
              <w:rPr>
                <w:rFonts w:cstheme="minorHAnsi"/>
                <w:bCs/>
              </w:rPr>
            </w:pPr>
            <w:r w:rsidRPr="006B6D61">
              <w:rPr>
                <w:rFonts w:cstheme="minorHAnsi"/>
                <w:bCs/>
              </w:rPr>
              <w:t>4</w:t>
            </w:r>
          </w:p>
        </w:tc>
        <w:tc>
          <w:tcPr>
            <w:tcW w:w="851" w:type="dxa"/>
            <w:tcBorders>
              <w:top w:val="nil"/>
              <w:left w:val="nil"/>
              <w:bottom w:val="single" w:sz="4" w:space="0" w:color="000000"/>
              <w:right w:val="single" w:sz="4" w:space="0" w:color="auto"/>
            </w:tcBorders>
          </w:tcPr>
          <w:p w14:paraId="026F781F" w14:textId="1D7B1DE3" w:rsidR="005C19AA" w:rsidRPr="006B6D61" w:rsidRDefault="00DD114B" w:rsidP="003F0A7C">
            <w:pPr>
              <w:spacing w:after="0"/>
              <w:jc w:val="center"/>
              <w:rPr>
                <w:rFonts w:cstheme="minorHAnsi"/>
                <w:bCs/>
              </w:rPr>
            </w:pPr>
            <w:r w:rsidRPr="006B6D61">
              <w:rPr>
                <w:rFonts w:cstheme="minorHAnsi"/>
                <w:bCs/>
              </w:rPr>
              <w:t>4/3</w:t>
            </w:r>
          </w:p>
        </w:tc>
        <w:tc>
          <w:tcPr>
            <w:tcW w:w="850" w:type="dxa"/>
            <w:tcBorders>
              <w:top w:val="nil"/>
              <w:left w:val="single" w:sz="4" w:space="0" w:color="auto"/>
              <w:bottom w:val="single" w:sz="4" w:space="0" w:color="000000"/>
              <w:right w:val="single" w:sz="4" w:space="0" w:color="000000"/>
            </w:tcBorders>
            <w:shd w:val="clear" w:color="auto" w:fill="auto"/>
            <w:noWrap/>
            <w:vAlign w:val="center"/>
          </w:tcPr>
          <w:p w14:paraId="6CF4DEE2" w14:textId="4C36DD50" w:rsidR="005C19AA" w:rsidRPr="006B6D61" w:rsidRDefault="00DD114B" w:rsidP="003F0A7C">
            <w:pPr>
              <w:spacing w:after="0"/>
              <w:jc w:val="center"/>
              <w:rPr>
                <w:rFonts w:cstheme="minorHAnsi"/>
                <w:bCs/>
              </w:rPr>
            </w:pPr>
            <w:r w:rsidRPr="006B6D61">
              <w:rPr>
                <w:rFonts w:cstheme="minorHAnsi"/>
                <w:bCs/>
              </w:rPr>
              <w:t>4</w:t>
            </w:r>
            <w:r w:rsidR="005C19AA" w:rsidRPr="006B6D61">
              <w:rPr>
                <w:rFonts w:cstheme="minorHAnsi"/>
                <w:bCs/>
              </w:rPr>
              <w:t>/1</w:t>
            </w:r>
          </w:p>
        </w:tc>
      </w:tr>
      <w:tr w:rsidR="002F1BE7" w:rsidRPr="002F1BE7" w14:paraId="584BB35B" w14:textId="77777777" w:rsidTr="006B6D61">
        <w:trPr>
          <w:trHeight w:val="300"/>
        </w:trPr>
        <w:tc>
          <w:tcPr>
            <w:tcW w:w="1963"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AD38A1E" w14:textId="77777777" w:rsidR="005C19AA" w:rsidRPr="008A0E44" w:rsidRDefault="005C19AA" w:rsidP="003F0A7C">
            <w:pPr>
              <w:spacing w:after="0"/>
              <w:rPr>
                <w:rFonts w:cstheme="minorHAnsi"/>
                <w:b/>
                <w:bCs/>
                <w:color w:val="4472C4" w:themeColor="accent5"/>
              </w:rPr>
            </w:pPr>
            <w:r w:rsidRPr="008A0E44">
              <w:rPr>
                <w:rFonts w:cstheme="minorHAnsi"/>
                <w:b/>
                <w:bCs/>
                <w:color w:val="4472C4" w:themeColor="accent5"/>
              </w:rPr>
              <w:t>Daňové příjmy</w:t>
            </w:r>
          </w:p>
        </w:tc>
        <w:tc>
          <w:tcPr>
            <w:tcW w:w="1148" w:type="dxa"/>
            <w:tcBorders>
              <w:top w:val="nil"/>
              <w:left w:val="nil"/>
              <w:bottom w:val="single" w:sz="4" w:space="0" w:color="000000"/>
              <w:right w:val="single" w:sz="4" w:space="0" w:color="000000"/>
            </w:tcBorders>
            <w:shd w:val="clear" w:color="auto" w:fill="auto"/>
            <w:noWrap/>
            <w:vAlign w:val="center"/>
            <w:hideMark/>
          </w:tcPr>
          <w:p w14:paraId="2066A73F" w14:textId="3B6A04E4" w:rsidR="005C19AA" w:rsidRPr="008A0E44" w:rsidRDefault="00E610A7" w:rsidP="003F0A7C">
            <w:pPr>
              <w:spacing w:after="0"/>
              <w:jc w:val="right"/>
              <w:rPr>
                <w:rFonts w:cstheme="minorHAnsi"/>
                <w:b/>
                <w:bCs/>
                <w:color w:val="4472C4" w:themeColor="accent5"/>
              </w:rPr>
            </w:pPr>
            <w:r w:rsidRPr="008A0E44">
              <w:rPr>
                <w:rFonts w:cstheme="minorHAnsi"/>
                <w:b/>
                <w:bCs/>
                <w:color w:val="4472C4" w:themeColor="accent5"/>
              </w:rPr>
              <w:t>219 743</w:t>
            </w:r>
          </w:p>
        </w:tc>
        <w:tc>
          <w:tcPr>
            <w:tcW w:w="1425" w:type="dxa"/>
            <w:tcBorders>
              <w:top w:val="nil"/>
              <w:left w:val="nil"/>
              <w:bottom w:val="single" w:sz="4" w:space="0" w:color="000000"/>
              <w:right w:val="single" w:sz="4" w:space="0" w:color="000000"/>
            </w:tcBorders>
            <w:shd w:val="clear" w:color="auto" w:fill="auto"/>
            <w:noWrap/>
            <w:vAlign w:val="center"/>
            <w:hideMark/>
          </w:tcPr>
          <w:p w14:paraId="1D2AE997" w14:textId="77777777" w:rsidR="005C19AA" w:rsidRPr="008A0E44" w:rsidRDefault="005C19AA" w:rsidP="003F0A7C">
            <w:pPr>
              <w:spacing w:after="0"/>
              <w:jc w:val="right"/>
              <w:rPr>
                <w:rFonts w:cstheme="minorHAnsi"/>
                <w:b/>
                <w:bCs/>
                <w:color w:val="4472C4" w:themeColor="accent5"/>
              </w:rPr>
            </w:pPr>
            <w:r w:rsidRPr="008A0E44">
              <w:rPr>
                <w:rFonts w:cstheme="minorHAnsi"/>
                <w:b/>
                <w:bCs/>
                <w:color w:val="4472C4" w:themeColor="accent5"/>
              </w:rPr>
              <w:t>185 000</w:t>
            </w:r>
          </w:p>
        </w:tc>
        <w:tc>
          <w:tcPr>
            <w:tcW w:w="1418" w:type="dxa"/>
            <w:tcBorders>
              <w:top w:val="nil"/>
              <w:left w:val="nil"/>
              <w:bottom w:val="single" w:sz="4" w:space="0" w:color="000000"/>
              <w:right w:val="single" w:sz="4" w:space="0" w:color="000000"/>
            </w:tcBorders>
            <w:shd w:val="clear" w:color="auto" w:fill="auto"/>
            <w:noWrap/>
            <w:vAlign w:val="center"/>
            <w:hideMark/>
          </w:tcPr>
          <w:p w14:paraId="12500732" w14:textId="77777777" w:rsidR="005C19AA" w:rsidRPr="008A0E44" w:rsidRDefault="005C19AA" w:rsidP="003F0A7C">
            <w:pPr>
              <w:spacing w:after="0"/>
              <w:jc w:val="right"/>
              <w:rPr>
                <w:rFonts w:cstheme="minorHAnsi"/>
                <w:b/>
                <w:bCs/>
                <w:color w:val="4472C4" w:themeColor="accent5"/>
              </w:rPr>
            </w:pPr>
            <w:r w:rsidRPr="008A0E44">
              <w:rPr>
                <w:rFonts w:cstheme="minorHAnsi"/>
                <w:b/>
                <w:bCs/>
                <w:color w:val="4472C4" w:themeColor="accent5"/>
              </w:rPr>
              <w:t>185 000</w:t>
            </w:r>
          </w:p>
        </w:tc>
        <w:tc>
          <w:tcPr>
            <w:tcW w:w="1417" w:type="dxa"/>
            <w:tcBorders>
              <w:top w:val="nil"/>
              <w:left w:val="nil"/>
              <w:bottom w:val="single" w:sz="4" w:space="0" w:color="000000"/>
              <w:right w:val="single" w:sz="4" w:space="0" w:color="000000"/>
            </w:tcBorders>
            <w:shd w:val="clear" w:color="auto" w:fill="auto"/>
            <w:noWrap/>
            <w:vAlign w:val="center"/>
          </w:tcPr>
          <w:p w14:paraId="22009763" w14:textId="6D4A7478" w:rsidR="005C19AA" w:rsidRPr="008A0E44" w:rsidRDefault="00E0130A" w:rsidP="003F0A7C">
            <w:pPr>
              <w:spacing w:after="0"/>
              <w:jc w:val="right"/>
              <w:rPr>
                <w:rFonts w:cstheme="minorHAnsi"/>
                <w:b/>
                <w:bCs/>
                <w:color w:val="4472C4" w:themeColor="accent5"/>
              </w:rPr>
            </w:pPr>
            <w:r w:rsidRPr="008A0E44">
              <w:rPr>
                <w:rFonts w:cstheme="minorHAnsi"/>
                <w:b/>
                <w:bCs/>
                <w:color w:val="4472C4" w:themeColor="accent5"/>
              </w:rPr>
              <w:t xml:space="preserve">235 </w:t>
            </w:r>
            <w:r w:rsidR="001A6944" w:rsidRPr="008A0E44">
              <w:rPr>
                <w:rFonts w:cstheme="minorHAnsi"/>
                <w:b/>
                <w:bCs/>
                <w:color w:val="4472C4" w:themeColor="accent5"/>
              </w:rPr>
              <w:t>601</w:t>
            </w:r>
          </w:p>
        </w:tc>
        <w:tc>
          <w:tcPr>
            <w:tcW w:w="851" w:type="dxa"/>
            <w:tcBorders>
              <w:top w:val="nil"/>
              <w:left w:val="nil"/>
              <w:bottom w:val="single" w:sz="4" w:space="0" w:color="000000"/>
              <w:right w:val="single" w:sz="4" w:space="0" w:color="auto"/>
            </w:tcBorders>
          </w:tcPr>
          <w:p w14:paraId="6233BE10" w14:textId="5F916068" w:rsidR="005C19AA" w:rsidRPr="008A0E44" w:rsidRDefault="006416C7" w:rsidP="003F0A7C">
            <w:pPr>
              <w:spacing w:after="0"/>
              <w:jc w:val="right"/>
              <w:rPr>
                <w:rFonts w:cstheme="minorHAnsi"/>
                <w:b/>
                <w:bCs/>
                <w:color w:val="4472C4" w:themeColor="accent5"/>
              </w:rPr>
            </w:pPr>
            <w:r w:rsidRPr="008A0E44">
              <w:rPr>
                <w:rFonts w:cstheme="minorHAnsi"/>
                <w:b/>
                <w:bCs/>
                <w:color w:val="4472C4" w:themeColor="accent5"/>
              </w:rPr>
              <w:t>127,</w:t>
            </w:r>
            <w:r w:rsidR="0034738A" w:rsidRPr="008A0E44">
              <w:rPr>
                <w:rFonts w:cstheme="minorHAnsi"/>
                <w:b/>
                <w:bCs/>
                <w:color w:val="4472C4" w:themeColor="accent5"/>
              </w:rPr>
              <w:t>4</w:t>
            </w:r>
          </w:p>
        </w:tc>
        <w:tc>
          <w:tcPr>
            <w:tcW w:w="850" w:type="dxa"/>
            <w:tcBorders>
              <w:top w:val="nil"/>
              <w:left w:val="single" w:sz="4" w:space="0" w:color="auto"/>
              <w:bottom w:val="single" w:sz="4" w:space="0" w:color="000000"/>
              <w:right w:val="single" w:sz="4" w:space="0" w:color="000000"/>
            </w:tcBorders>
            <w:shd w:val="clear" w:color="auto" w:fill="auto"/>
            <w:noWrap/>
            <w:vAlign w:val="center"/>
            <w:hideMark/>
          </w:tcPr>
          <w:p w14:paraId="0BBC77C7" w14:textId="672C6353" w:rsidR="005C19AA" w:rsidRPr="008A0E44" w:rsidRDefault="006416C7" w:rsidP="003F0A7C">
            <w:pPr>
              <w:spacing w:after="0"/>
              <w:jc w:val="right"/>
              <w:rPr>
                <w:rFonts w:cstheme="minorHAnsi"/>
                <w:b/>
                <w:bCs/>
                <w:color w:val="4472C4" w:themeColor="accent5"/>
              </w:rPr>
            </w:pPr>
            <w:r w:rsidRPr="008A0E44">
              <w:rPr>
                <w:rFonts w:cstheme="minorHAnsi"/>
                <w:b/>
                <w:bCs/>
                <w:color w:val="4472C4" w:themeColor="accent5"/>
              </w:rPr>
              <w:t>107,2</w:t>
            </w:r>
          </w:p>
        </w:tc>
      </w:tr>
      <w:tr w:rsidR="006C70D9" w:rsidRPr="002F1BE7" w14:paraId="49631E93" w14:textId="77777777" w:rsidTr="006B6D61">
        <w:trPr>
          <w:trHeight w:val="300"/>
        </w:trPr>
        <w:tc>
          <w:tcPr>
            <w:tcW w:w="1963"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2C8E63" w14:textId="77777777" w:rsidR="005C19AA" w:rsidRPr="008A0E44" w:rsidRDefault="005C19AA" w:rsidP="003F0A7C">
            <w:pPr>
              <w:spacing w:after="0"/>
              <w:rPr>
                <w:rFonts w:cstheme="minorHAnsi"/>
                <w:b/>
                <w:bCs/>
                <w:color w:val="4472C4" w:themeColor="accent5"/>
              </w:rPr>
            </w:pPr>
            <w:r w:rsidRPr="008A0E44">
              <w:rPr>
                <w:rFonts w:cstheme="minorHAnsi"/>
                <w:b/>
                <w:bCs/>
                <w:color w:val="4472C4" w:themeColor="accent5"/>
              </w:rPr>
              <w:t>Nedaňové příjmy, kapitálové příjmy a přijaté transfery celkem</w:t>
            </w:r>
          </w:p>
        </w:tc>
        <w:tc>
          <w:tcPr>
            <w:tcW w:w="1148" w:type="dxa"/>
            <w:tcBorders>
              <w:top w:val="nil"/>
              <w:left w:val="nil"/>
              <w:bottom w:val="single" w:sz="4" w:space="0" w:color="000000"/>
              <w:right w:val="single" w:sz="4" w:space="0" w:color="000000"/>
            </w:tcBorders>
            <w:shd w:val="clear" w:color="auto" w:fill="auto"/>
            <w:noWrap/>
            <w:vAlign w:val="center"/>
            <w:hideMark/>
          </w:tcPr>
          <w:p w14:paraId="275F4E1F" w14:textId="2CEB566C" w:rsidR="005C19AA" w:rsidRPr="008A0E44" w:rsidRDefault="00E610A7" w:rsidP="003F0A7C">
            <w:pPr>
              <w:spacing w:after="0"/>
              <w:jc w:val="right"/>
              <w:rPr>
                <w:rFonts w:cstheme="minorHAnsi"/>
                <w:b/>
                <w:bCs/>
                <w:color w:val="4472C4" w:themeColor="accent5"/>
              </w:rPr>
            </w:pPr>
            <w:r w:rsidRPr="008A0E44">
              <w:rPr>
                <w:rFonts w:cstheme="minorHAnsi"/>
                <w:b/>
                <w:bCs/>
                <w:color w:val="4472C4" w:themeColor="accent5"/>
              </w:rPr>
              <w:t>20 919 755</w:t>
            </w:r>
          </w:p>
        </w:tc>
        <w:tc>
          <w:tcPr>
            <w:tcW w:w="1425" w:type="dxa"/>
            <w:tcBorders>
              <w:top w:val="nil"/>
              <w:left w:val="nil"/>
              <w:bottom w:val="single" w:sz="4" w:space="0" w:color="000000"/>
              <w:right w:val="single" w:sz="4" w:space="0" w:color="000000"/>
            </w:tcBorders>
            <w:shd w:val="clear" w:color="auto" w:fill="auto"/>
            <w:noWrap/>
            <w:vAlign w:val="center"/>
            <w:hideMark/>
          </w:tcPr>
          <w:p w14:paraId="0E44D34E" w14:textId="2A278A8E" w:rsidR="005C19AA" w:rsidRPr="008A0E44" w:rsidRDefault="005C2E0D" w:rsidP="003F0A7C">
            <w:pPr>
              <w:spacing w:after="0"/>
              <w:jc w:val="right"/>
              <w:rPr>
                <w:rFonts w:cstheme="minorHAnsi"/>
                <w:b/>
                <w:bCs/>
                <w:color w:val="4472C4" w:themeColor="accent5"/>
              </w:rPr>
            </w:pPr>
            <w:r w:rsidRPr="008A0E44">
              <w:rPr>
                <w:rFonts w:cstheme="minorHAnsi"/>
                <w:b/>
                <w:bCs/>
                <w:color w:val="4472C4" w:themeColor="accent5"/>
              </w:rPr>
              <w:t>28 868 763</w:t>
            </w:r>
          </w:p>
        </w:tc>
        <w:tc>
          <w:tcPr>
            <w:tcW w:w="1418" w:type="dxa"/>
            <w:tcBorders>
              <w:top w:val="nil"/>
              <w:left w:val="nil"/>
              <w:bottom w:val="single" w:sz="4" w:space="0" w:color="000000"/>
              <w:right w:val="single" w:sz="4" w:space="0" w:color="000000"/>
            </w:tcBorders>
            <w:shd w:val="clear" w:color="auto" w:fill="auto"/>
            <w:noWrap/>
            <w:vAlign w:val="center"/>
            <w:hideMark/>
          </w:tcPr>
          <w:p w14:paraId="016B1B3A" w14:textId="49FB2BBF" w:rsidR="005C19AA" w:rsidRPr="008A0E44" w:rsidRDefault="00D26530" w:rsidP="003F0A7C">
            <w:pPr>
              <w:spacing w:after="0"/>
              <w:jc w:val="right"/>
              <w:rPr>
                <w:rFonts w:cstheme="minorHAnsi"/>
                <w:b/>
                <w:bCs/>
                <w:color w:val="4472C4" w:themeColor="accent5"/>
              </w:rPr>
            </w:pPr>
            <w:r w:rsidRPr="008A0E44">
              <w:rPr>
                <w:rFonts w:cstheme="minorHAnsi"/>
                <w:b/>
                <w:bCs/>
                <w:color w:val="4472C4" w:themeColor="accent5"/>
              </w:rPr>
              <w:t>28 870 344</w:t>
            </w:r>
          </w:p>
        </w:tc>
        <w:tc>
          <w:tcPr>
            <w:tcW w:w="1417" w:type="dxa"/>
            <w:tcBorders>
              <w:top w:val="nil"/>
              <w:left w:val="nil"/>
              <w:bottom w:val="single" w:sz="4" w:space="0" w:color="000000"/>
              <w:right w:val="single" w:sz="4" w:space="0" w:color="000000"/>
            </w:tcBorders>
            <w:shd w:val="clear" w:color="auto" w:fill="auto"/>
            <w:noWrap/>
            <w:vAlign w:val="center"/>
            <w:hideMark/>
          </w:tcPr>
          <w:p w14:paraId="7148303D" w14:textId="43CA2723" w:rsidR="005C19AA" w:rsidRPr="008A0E44" w:rsidRDefault="009822A6" w:rsidP="003F0A7C">
            <w:pPr>
              <w:spacing w:after="0"/>
              <w:jc w:val="right"/>
              <w:rPr>
                <w:rFonts w:cstheme="minorHAnsi"/>
                <w:b/>
                <w:bCs/>
                <w:color w:val="4472C4" w:themeColor="accent5"/>
              </w:rPr>
            </w:pPr>
            <w:r w:rsidRPr="008A0E44">
              <w:rPr>
                <w:rFonts w:cstheme="minorHAnsi"/>
                <w:b/>
                <w:bCs/>
                <w:color w:val="4472C4" w:themeColor="accent5"/>
              </w:rPr>
              <w:t>50 530 899</w:t>
            </w:r>
          </w:p>
        </w:tc>
        <w:tc>
          <w:tcPr>
            <w:tcW w:w="851" w:type="dxa"/>
            <w:tcBorders>
              <w:top w:val="nil"/>
              <w:left w:val="nil"/>
              <w:bottom w:val="single" w:sz="4" w:space="0" w:color="000000"/>
              <w:right w:val="single" w:sz="4" w:space="0" w:color="auto"/>
            </w:tcBorders>
            <w:vAlign w:val="center"/>
          </w:tcPr>
          <w:p w14:paraId="265E6C4A" w14:textId="3D4C4102" w:rsidR="005C19AA" w:rsidRPr="008A0E44" w:rsidRDefault="002B05A2">
            <w:pPr>
              <w:spacing w:after="0"/>
              <w:jc w:val="right"/>
              <w:rPr>
                <w:rFonts w:cstheme="minorHAnsi"/>
                <w:b/>
                <w:bCs/>
                <w:color w:val="4472C4" w:themeColor="accent5"/>
              </w:rPr>
            </w:pPr>
            <w:r w:rsidRPr="008A0E44">
              <w:rPr>
                <w:rFonts w:cstheme="minorHAnsi"/>
                <w:b/>
                <w:bCs/>
                <w:color w:val="4472C4" w:themeColor="accent5"/>
              </w:rPr>
              <w:t>17</w:t>
            </w:r>
            <w:r w:rsidR="006416C7" w:rsidRPr="008A0E44">
              <w:rPr>
                <w:rFonts w:cstheme="minorHAnsi"/>
                <w:b/>
                <w:bCs/>
                <w:color w:val="4472C4" w:themeColor="accent5"/>
              </w:rPr>
              <w:t>5,0</w:t>
            </w:r>
          </w:p>
        </w:tc>
        <w:tc>
          <w:tcPr>
            <w:tcW w:w="850" w:type="dxa"/>
            <w:tcBorders>
              <w:top w:val="nil"/>
              <w:left w:val="single" w:sz="4" w:space="0" w:color="auto"/>
              <w:bottom w:val="single" w:sz="4" w:space="0" w:color="000000"/>
              <w:right w:val="single" w:sz="4" w:space="0" w:color="000000"/>
            </w:tcBorders>
            <w:shd w:val="clear" w:color="auto" w:fill="auto"/>
            <w:noWrap/>
            <w:vAlign w:val="center"/>
            <w:hideMark/>
          </w:tcPr>
          <w:p w14:paraId="796F9990" w14:textId="3166B4A8" w:rsidR="005C19AA" w:rsidRPr="008A0E44" w:rsidRDefault="006416C7" w:rsidP="003F0A7C">
            <w:pPr>
              <w:spacing w:after="0"/>
              <w:jc w:val="right"/>
              <w:rPr>
                <w:rFonts w:cstheme="minorHAnsi"/>
                <w:b/>
                <w:bCs/>
                <w:color w:val="4472C4" w:themeColor="accent5"/>
              </w:rPr>
            </w:pPr>
            <w:r w:rsidRPr="008A0E44">
              <w:rPr>
                <w:rFonts w:cstheme="minorHAnsi"/>
                <w:b/>
                <w:bCs/>
                <w:color w:val="4472C4" w:themeColor="accent5"/>
              </w:rPr>
              <w:t>241,5</w:t>
            </w:r>
          </w:p>
        </w:tc>
      </w:tr>
      <w:tr w:rsidR="002F1BE7" w:rsidRPr="002F1BE7" w14:paraId="7FAE48C4" w14:textId="77777777" w:rsidTr="006B6D61">
        <w:trPr>
          <w:trHeight w:val="300"/>
        </w:trPr>
        <w:tc>
          <w:tcPr>
            <w:tcW w:w="1963"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A98D194" w14:textId="77777777" w:rsidR="005C19AA" w:rsidRPr="006B6D61" w:rsidRDefault="005C19AA" w:rsidP="003F0A7C">
            <w:pPr>
              <w:spacing w:after="0"/>
              <w:rPr>
                <w:rFonts w:cstheme="minorHAnsi"/>
              </w:rPr>
            </w:pPr>
            <w:r w:rsidRPr="006B6D61">
              <w:rPr>
                <w:rFonts w:cstheme="minorHAnsi"/>
              </w:rPr>
              <w:t>v tom:</w:t>
            </w:r>
          </w:p>
        </w:tc>
        <w:tc>
          <w:tcPr>
            <w:tcW w:w="1148" w:type="dxa"/>
            <w:tcBorders>
              <w:top w:val="nil"/>
              <w:left w:val="nil"/>
              <w:bottom w:val="single" w:sz="4" w:space="0" w:color="000000"/>
              <w:right w:val="single" w:sz="4" w:space="0" w:color="000000"/>
            </w:tcBorders>
            <w:shd w:val="clear" w:color="auto" w:fill="auto"/>
            <w:noWrap/>
            <w:vAlign w:val="bottom"/>
            <w:hideMark/>
          </w:tcPr>
          <w:p w14:paraId="53AD1559" w14:textId="77777777" w:rsidR="005C19AA" w:rsidRPr="002F1BE7" w:rsidRDefault="005C19AA" w:rsidP="003F0A7C">
            <w:pPr>
              <w:spacing w:after="0"/>
              <w:rPr>
                <w:rFonts w:cstheme="minorHAnsi"/>
                <w:color w:val="FF0000"/>
              </w:rPr>
            </w:pPr>
            <w:r w:rsidRPr="002F1BE7">
              <w:rPr>
                <w:rFonts w:cstheme="minorHAnsi"/>
                <w:color w:val="FF0000"/>
              </w:rPr>
              <w:t> </w:t>
            </w:r>
          </w:p>
        </w:tc>
        <w:tc>
          <w:tcPr>
            <w:tcW w:w="1425" w:type="dxa"/>
            <w:tcBorders>
              <w:top w:val="nil"/>
              <w:left w:val="nil"/>
              <w:bottom w:val="single" w:sz="4" w:space="0" w:color="000000"/>
              <w:right w:val="single" w:sz="4" w:space="0" w:color="000000"/>
            </w:tcBorders>
            <w:shd w:val="clear" w:color="auto" w:fill="auto"/>
            <w:noWrap/>
            <w:vAlign w:val="bottom"/>
            <w:hideMark/>
          </w:tcPr>
          <w:p w14:paraId="3218D777" w14:textId="77777777" w:rsidR="005C19AA" w:rsidRPr="002F1BE7" w:rsidRDefault="005C19AA" w:rsidP="003F0A7C">
            <w:pPr>
              <w:spacing w:after="0"/>
              <w:rPr>
                <w:rFonts w:cstheme="minorHAnsi"/>
                <w:color w:val="FF0000"/>
              </w:rPr>
            </w:pPr>
            <w:r w:rsidRPr="002F1BE7">
              <w:rPr>
                <w:rFonts w:cstheme="minorHAnsi"/>
                <w:color w:val="FF0000"/>
              </w:rPr>
              <w:t> </w:t>
            </w:r>
          </w:p>
        </w:tc>
        <w:tc>
          <w:tcPr>
            <w:tcW w:w="1418" w:type="dxa"/>
            <w:tcBorders>
              <w:top w:val="nil"/>
              <w:left w:val="nil"/>
              <w:bottom w:val="single" w:sz="4" w:space="0" w:color="000000"/>
              <w:right w:val="single" w:sz="4" w:space="0" w:color="000000"/>
            </w:tcBorders>
            <w:shd w:val="clear" w:color="auto" w:fill="auto"/>
            <w:noWrap/>
            <w:vAlign w:val="bottom"/>
            <w:hideMark/>
          </w:tcPr>
          <w:p w14:paraId="7E0ECBCA" w14:textId="77777777" w:rsidR="005C19AA" w:rsidRPr="002F1BE7" w:rsidRDefault="005C19AA" w:rsidP="003F0A7C">
            <w:pPr>
              <w:spacing w:after="0"/>
              <w:rPr>
                <w:rFonts w:cstheme="minorHAnsi"/>
                <w:color w:val="FF0000"/>
              </w:rPr>
            </w:pPr>
            <w:r w:rsidRPr="002F1BE7">
              <w:rPr>
                <w:rFonts w:cstheme="minorHAnsi"/>
                <w:color w:val="FF0000"/>
              </w:rPr>
              <w:t> </w:t>
            </w:r>
          </w:p>
        </w:tc>
        <w:tc>
          <w:tcPr>
            <w:tcW w:w="1417" w:type="dxa"/>
            <w:tcBorders>
              <w:top w:val="nil"/>
              <w:left w:val="nil"/>
              <w:bottom w:val="single" w:sz="4" w:space="0" w:color="000000"/>
              <w:right w:val="single" w:sz="4" w:space="0" w:color="000000"/>
            </w:tcBorders>
            <w:shd w:val="clear" w:color="auto" w:fill="auto"/>
            <w:noWrap/>
            <w:vAlign w:val="center"/>
            <w:hideMark/>
          </w:tcPr>
          <w:p w14:paraId="40620291" w14:textId="77777777" w:rsidR="005C19AA" w:rsidRPr="002F1BE7" w:rsidRDefault="005C19AA" w:rsidP="003F0A7C">
            <w:pPr>
              <w:spacing w:after="0"/>
              <w:jc w:val="right"/>
              <w:rPr>
                <w:rFonts w:cstheme="minorHAnsi"/>
                <w:color w:val="FF0000"/>
              </w:rPr>
            </w:pPr>
            <w:r w:rsidRPr="002F1BE7">
              <w:rPr>
                <w:rFonts w:cstheme="minorHAnsi"/>
                <w:color w:val="FF0000"/>
              </w:rPr>
              <w:t> </w:t>
            </w:r>
          </w:p>
        </w:tc>
        <w:tc>
          <w:tcPr>
            <w:tcW w:w="851" w:type="dxa"/>
            <w:tcBorders>
              <w:top w:val="nil"/>
              <w:left w:val="nil"/>
              <w:bottom w:val="single" w:sz="4" w:space="0" w:color="000000"/>
              <w:right w:val="single" w:sz="4" w:space="0" w:color="auto"/>
            </w:tcBorders>
          </w:tcPr>
          <w:p w14:paraId="326EB831" w14:textId="77777777" w:rsidR="005C19AA" w:rsidRPr="002F1BE7" w:rsidRDefault="005C19AA" w:rsidP="003F0A7C">
            <w:pPr>
              <w:spacing w:after="0"/>
              <w:jc w:val="right"/>
              <w:rPr>
                <w:rFonts w:cstheme="minorHAnsi"/>
                <w:color w:val="FF0000"/>
              </w:rPr>
            </w:pPr>
          </w:p>
        </w:tc>
        <w:tc>
          <w:tcPr>
            <w:tcW w:w="850" w:type="dxa"/>
            <w:tcBorders>
              <w:top w:val="nil"/>
              <w:left w:val="single" w:sz="4" w:space="0" w:color="auto"/>
              <w:bottom w:val="single" w:sz="4" w:space="0" w:color="000000"/>
              <w:right w:val="single" w:sz="4" w:space="0" w:color="000000"/>
            </w:tcBorders>
            <w:shd w:val="clear" w:color="auto" w:fill="auto"/>
            <w:noWrap/>
            <w:vAlign w:val="center"/>
            <w:hideMark/>
          </w:tcPr>
          <w:p w14:paraId="0B09527D" w14:textId="25D33396" w:rsidR="005C19AA" w:rsidRPr="002F1BE7" w:rsidRDefault="005C19AA" w:rsidP="003F0A7C">
            <w:pPr>
              <w:spacing w:after="0"/>
              <w:jc w:val="right"/>
              <w:rPr>
                <w:rFonts w:cstheme="minorHAnsi"/>
                <w:color w:val="FF0000"/>
              </w:rPr>
            </w:pPr>
            <w:r w:rsidRPr="002F1BE7">
              <w:rPr>
                <w:rFonts w:cstheme="minorHAnsi"/>
                <w:color w:val="FF0000"/>
              </w:rPr>
              <w:t> </w:t>
            </w:r>
          </w:p>
        </w:tc>
      </w:tr>
      <w:tr w:rsidR="006C70D9" w:rsidRPr="002F1BE7" w14:paraId="671C9226" w14:textId="77777777" w:rsidTr="006B6D61">
        <w:trPr>
          <w:trHeight w:val="900"/>
        </w:trPr>
        <w:tc>
          <w:tcPr>
            <w:tcW w:w="190" w:type="dxa"/>
            <w:tcBorders>
              <w:top w:val="nil"/>
              <w:left w:val="single" w:sz="4" w:space="0" w:color="000000"/>
              <w:bottom w:val="single" w:sz="4" w:space="0" w:color="000000"/>
              <w:right w:val="nil"/>
            </w:tcBorders>
            <w:shd w:val="clear" w:color="auto" w:fill="auto"/>
            <w:noWrap/>
            <w:vAlign w:val="bottom"/>
            <w:hideMark/>
          </w:tcPr>
          <w:p w14:paraId="5C2A92B8" w14:textId="77777777" w:rsidR="005C19AA" w:rsidRPr="006B6D61" w:rsidRDefault="005C19AA" w:rsidP="003F0A7C">
            <w:pPr>
              <w:spacing w:after="0"/>
              <w:rPr>
                <w:rFonts w:cstheme="minorHAnsi"/>
              </w:rPr>
            </w:pPr>
            <w:r w:rsidRPr="006B6D61">
              <w:rPr>
                <w:rFonts w:cstheme="minorHAnsi"/>
              </w:rPr>
              <w:t> </w:t>
            </w:r>
          </w:p>
        </w:tc>
        <w:tc>
          <w:tcPr>
            <w:tcW w:w="1773" w:type="dxa"/>
            <w:tcBorders>
              <w:top w:val="nil"/>
              <w:left w:val="nil"/>
              <w:bottom w:val="single" w:sz="4" w:space="0" w:color="000000"/>
              <w:right w:val="single" w:sz="4" w:space="0" w:color="000000"/>
            </w:tcBorders>
            <w:shd w:val="clear" w:color="auto" w:fill="auto"/>
            <w:vAlign w:val="center"/>
            <w:hideMark/>
          </w:tcPr>
          <w:p w14:paraId="684B7F13" w14:textId="77777777" w:rsidR="005C19AA" w:rsidRPr="006B6D61" w:rsidRDefault="005C19AA" w:rsidP="003F0A7C">
            <w:pPr>
              <w:spacing w:after="0"/>
              <w:rPr>
                <w:rFonts w:cstheme="minorHAnsi"/>
              </w:rPr>
            </w:pPr>
            <w:r w:rsidRPr="006B6D61">
              <w:rPr>
                <w:rFonts w:cstheme="minorHAnsi"/>
              </w:rPr>
              <w:t xml:space="preserve">Příjmy z rozpočtu Evropské unie bez spol. </w:t>
            </w:r>
            <w:proofErr w:type="spellStart"/>
            <w:r w:rsidRPr="006B6D61">
              <w:rPr>
                <w:rFonts w:cstheme="minorHAnsi"/>
              </w:rPr>
              <w:t>zeměd</w:t>
            </w:r>
            <w:proofErr w:type="spellEnd"/>
            <w:r w:rsidRPr="006B6D61">
              <w:rPr>
                <w:rFonts w:cstheme="minorHAnsi"/>
              </w:rPr>
              <w:t>. politiky celkem</w:t>
            </w:r>
          </w:p>
        </w:tc>
        <w:tc>
          <w:tcPr>
            <w:tcW w:w="1148" w:type="dxa"/>
            <w:tcBorders>
              <w:top w:val="nil"/>
              <w:left w:val="nil"/>
              <w:bottom w:val="single" w:sz="4" w:space="0" w:color="000000"/>
              <w:right w:val="single" w:sz="4" w:space="0" w:color="000000"/>
            </w:tcBorders>
            <w:shd w:val="clear" w:color="auto" w:fill="auto"/>
            <w:noWrap/>
            <w:vAlign w:val="center"/>
            <w:hideMark/>
          </w:tcPr>
          <w:p w14:paraId="3356DAC3" w14:textId="4C2D5D15" w:rsidR="005C19AA" w:rsidRPr="002F1BE7" w:rsidRDefault="00E610A7" w:rsidP="003F0A7C">
            <w:pPr>
              <w:spacing w:after="0"/>
              <w:jc w:val="right"/>
              <w:rPr>
                <w:rFonts w:cstheme="minorHAnsi"/>
                <w:color w:val="FF0000"/>
              </w:rPr>
            </w:pPr>
            <w:r w:rsidRPr="006B6D61">
              <w:rPr>
                <w:rFonts w:cstheme="minorHAnsi"/>
              </w:rPr>
              <w:t>20 730 438</w:t>
            </w:r>
          </w:p>
        </w:tc>
        <w:tc>
          <w:tcPr>
            <w:tcW w:w="1425" w:type="dxa"/>
            <w:tcBorders>
              <w:top w:val="nil"/>
              <w:left w:val="nil"/>
              <w:bottom w:val="single" w:sz="4" w:space="0" w:color="000000"/>
              <w:right w:val="single" w:sz="4" w:space="0" w:color="000000"/>
            </w:tcBorders>
            <w:shd w:val="clear" w:color="auto" w:fill="auto"/>
            <w:noWrap/>
            <w:vAlign w:val="center"/>
            <w:hideMark/>
          </w:tcPr>
          <w:p w14:paraId="26134308" w14:textId="0358D67C" w:rsidR="005C19AA" w:rsidRPr="006B6D61" w:rsidRDefault="001725E3" w:rsidP="003F0A7C">
            <w:pPr>
              <w:spacing w:after="0"/>
              <w:jc w:val="right"/>
              <w:rPr>
                <w:rFonts w:cstheme="minorHAnsi"/>
              </w:rPr>
            </w:pPr>
            <w:r w:rsidRPr="006B6D61">
              <w:rPr>
                <w:rFonts w:cstheme="minorHAnsi"/>
              </w:rPr>
              <w:t>28</w:t>
            </w:r>
            <w:r w:rsidR="003F2406" w:rsidRPr="006B6D61">
              <w:rPr>
                <w:rFonts w:cstheme="minorHAnsi"/>
              </w:rPr>
              <w:t> 786 763</w:t>
            </w:r>
          </w:p>
        </w:tc>
        <w:tc>
          <w:tcPr>
            <w:tcW w:w="1418" w:type="dxa"/>
            <w:tcBorders>
              <w:top w:val="nil"/>
              <w:left w:val="nil"/>
              <w:bottom w:val="single" w:sz="4" w:space="0" w:color="000000"/>
              <w:right w:val="single" w:sz="4" w:space="0" w:color="000000"/>
            </w:tcBorders>
            <w:shd w:val="clear" w:color="auto" w:fill="auto"/>
            <w:noWrap/>
            <w:vAlign w:val="center"/>
            <w:hideMark/>
          </w:tcPr>
          <w:p w14:paraId="4BFF5BBA" w14:textId="0228FD16" w:rsidR="005C19AA" w:rsidRPr="006B6D61" w:rsidRDefault="00912B6C" w:rsidP="003F0A7C">
            <w:pPr>
              <w:spacing w:after="0"/>
              <w:jc w:val="right"/>
              <w:rPr>
                <w:rFonts w:cstheme="minorHAnsi"/>
              </w:rPr>
            </w:pPr>
            <w:r w:rsidRPr="006B6D61">
              <w:rPr>
                <w:rFonts w:cstheme="minorHAnsi"/>
              </w:rPr>
              <w:t>28 788 344</w:t>
            </w:r>
          </w:p>
        </w:tc>
        <w:tc>
          <w:tcPr>
            <w:tcW w:w="1417" w:type="dxa"/>
            <w:tcBorders>
              <w:top w:val="nil"/>
              <w:left w:val="nil"/>
              <w:bottom w:val="single" w:sz="4" w:space="0" w:color="000000"/>
              <w:right w:val="single" w:sz="4" w:space="0" w:color="000000"/>
            </w:tcBorders>
            <w:shd w:val="clear" w:color="auto" w:fill="auto"/>
            <w:noWrap/>
            <w:vAlign w:val="center"/>
            <w:hideMark/>
          </w:tcPr>
          <w:p w14:paraId="1D109E8A" w14:textId="7981E4A5" w:rsidR="005C19AA" w:rsidRPr="002F1BE7" w:rsidRDefault="00775A61" w:rsidP="003F0A7C">
            <w:pPr>
              <w:spacing w:after="0"/>
              <w:jc w:val="right"/>
              <w:rPr>
                <w:rFonts w:cstheme="minorHAnsi"/>
                <w:color w:val="FF0000"/>
              </w:rPr>
            </w:pPr>
            <w:r w:rsidRPr="006B6D61">
              <w:rPr>
                <w:rFonts w:cstheme="minorHAnsi"/>
              </w:rPr>
              <w:t>50 329 163</w:t>
            </w:r>
          </w:p>
        </w:tc>
        <w:tc>
          <w:tcPr>
            <w:tcW w:w="851" w:type="dxa"/>
            <w:tcBorders>
              <w:top w:val="nil"/>
              <w:left w:val="nil"/>
              <w:bottom w:val="single" w:sz="4" w:space="0" w:color="000000"/>
              <w:right w:val="single" w:sz="4" w:space="0" w:color="auto"/>
            </w:tcBorders>
            <w:vAlign w:val="center"/>
          </w:tcPr>
          <w:p w14:paraId="4F8A0208" w14:textId="072D7BDE" w:rsidR="005C19AA" w:rsidRPr="006B6D61" w:rsidRDefault="006416C7">
            <w:pPr>
              <w:spacing w:after="0"/>
              <w:jc w:val="right"/>
              <w:rPr>
                <w:rFonts w:cstheme="minorHAnsi"/>
              </w:rPr>
            </w:pPr>
            <w:r w:rsidRPr="006B6D61">
              <w:rPr>
                <w:rFonts w:cstheme="minorHAnsi"/>
              </w:rPr>
              <w:t>174,8</w:t>
            </w:r>
          </w:p>
        </w:tc>
        <w:tc>
          <w:tcPr>
            <w:tcW w:w="850" w:type="dxa"/>
            <w:tcBorders>
              <w:top w:val="nil"/>
              <w:left w:val="single" w:sz="4" w:space="0" w:color="auto"/>
              <w:bottom w:val="single" w:sz="4" w:space="0" w:color="000000"/>
              <w:right w:val="single" w:sz="4" w:space="0" w:color="000000"/>
            </w:tcBorders>
            <w:shd w:val="clear" w:color="auto" w:fill="auto"/>
            <w:noWrap/>
            <w:vAlign w:val="center"/>
            <w:hideMark/>
          </w:tcPr>
          <w:p w14:paraId="219EE0A3" w14:textId="76F5A9AB" w:rsidR="005C19AA" w:rsidRPr="006B6D61" w:rsidRDefault="006416C7" w:rsidP="003F0A7C">
            <w:pPr>
              <w:spacing w:after="0"/>
              <w:jc w:val="right"/>
              <w:rPr>
                <w:rFonts w:cstheme="minorHAnsi"/>
              </w:rPr>
            </w:pPr>
            <w:r w:rsidRPr="006B6D61">
              <w:rPr>
                <w:rFonts w:cstheme="minorHAnsi"/>
              </w:rPr>
              <w:t>242,</w:t>
            </w:r>
            <w:r w:rsidR="0034738A">
              <w:rPr>
                <w:rFonts w:cstheme="minorHAnsi"/>
              </w:rPr>
              <w:t>8</w:t>
            </w:r>
          </w:p>
        </w:tc>
      </w:tr>
      <w:tr w:rsidR="006C70D9" w:rsidRPr="002F1BE7" w14:paraId="0BDA5DE0" w14:textId="77777777" w:rsidTr="006B6D61">
        <w:trPr>
          <w:trHeight w:val="900"/>
        </w:trPr>
        <w:tc>
          <w:tcPr>
            <w:tcW w:w="190" w:type="dxa"/>
            <w:tcBorders>
              <w:top w:val="nil"/>
              <w:left w:val="single" w:sz="4" w:space="0" w:color="000000"/>
              <w:bottom w:val="single" w:sz="4" w:space="0" w:color="000000"/>
              <w:right w:val="nil"/>
            </w:tcBorders>
            <w:shd w:val="clear" w:color="auto" w:fill="auto"/>
            <w:noWrap/>
            <w:vAlign w:val="bottom"/>
            <w:hideMark/>
          </w:tcPr>
          <w:p w14:paraId="4E1F99D7" w14:textId="77777777" w:rsidR="005C19AA" w:rsidRPr="006B6D61" w:rsidRDefault="005C19AA" w:rsidP="003F0A7C">
            <w:pPr>
              <w:spacing w:after="0"/>
              <w:rPr>
                <w:rFonts w:cstheme="minorHAnsi"/>
              </w:rPr>
            </w:pPr>
            <w:r w:rsidRPr="006B6D61">
              <w:rPr>
                <w:rFonts w:cstheme="minorHAnsi"/>
              </w:rPr>
              <w:t> </w:t>
            </w:r>
          </w:p>
        </w:tc>
        <w:tc>
          <w:tcPr>
            <w:tcW w:w="1773" w:type="dxa"/>
            <w:tcBorders>
              <w:top w:val="nil"/>
              <w:left w:val="nil"/>
              <w:bottom w:val="single" w:sz="4" w:space="0" w:color="000000"/>
              <w:right w:val="single" w:sz="4" w:space="0" w:color="000000"/>
            </w:tcBorders>
            <w:shd w:val="clear" w:color="auto" w:fill="auto"/>
            <w:vAlign w:val="center"/>
            <w:hideMark/>
          </w:tcPr>
          <w:p w14:paraId="2D5DA55F" w14:textId="77777777" w:rsidR="005C19AA" w:rsidRPr="006B6D61" w:rsidRDefault="005C19AA" w:rsidP="003F0A7C">
            <w:pPr>
              <w:spacing w:after="0"/>
              <w:rPr>
                <w:rFonts w:cstheme="minorHAnsi"/>
              </w:rPr>
            </w:pPr>
            <w:r w:rsidRPr="006B6D61">
              <w:rPr>
                <w:rFonts w:cstheme="minorHAnsi"/>
              </w:rPr>
              <w:t>Ostatní nedaňové příjmy, kap. Příjmy a přijaté transfery celkem</w:t>
            </w:r>
          </w:p>
        </w:tc>
        <w:tc>
          <w:tcPr>
            <w:tcW w:w="1148" w:type="dxa"/>
            <w:tcBorders>
              <w:top w:val="nil"/>
              <w:left w:val="nil"/>
              <w:bottom w:val="single" w:sz="4" w:space="0" w:color="000000"/>
              <w:right w:val="single" w:sz="4" w:space="0" w:color="000000"/>
            </w:tcBorders>
            <w:shd w:val="clear" w:color="auto" w:fill="auto"/>
            <w:noWrap/>
            <w:vAlign w:val="center"/>
            <w:hideMark/>
          </w:tcPr>
          <w:p w14:paraId="7C9E064C" w14:textId="497B03E6" w:rsidR="005C19AA" w:rsidRPr="002F1BE7" w:rsidRDefault="00E610A7" w:rsidP="003F0A7C">
            <w:pPr>
              <w:spacing w:after="0"/>
              <w:jc w:val="right"/>
              <w:rPr>
                <w:rFonts w:cstheme="minorHAnsi"/>
                <w:color w:val="FF0000"/>
              </w:rPr>
            </w:pPr>
            <w:r w:rsidRPr="006B6D61">
              <w:rPr>
                <w:rFonts w:cstheme="minorHAnsi"/>
              </w:rPr>
              <w:t>189 317</w:t>
            </w:r>
          </w:p>
        </w:tc>
        <w:tc>
          <w:tcPr>
            <w:tcW w:w="1425" w:type="dxa"/>
            <w:tcBorders>
              <w:top w:val="nil"/>
              <w:left w:val="nil"/>
              <w:bottom w:val="single" w:sz="4" w:space="0" w:color="000000"/>
              <w:right w:val="single" w:sz="4" w:space="0" w:color="000000"/>
            </w:tcBorders>
            <w:shd w:val="clear" w:color="auto" w:fill="auto"/>
            <w:noWrap/>
            <w:vAlign w:val="center"/>
            <w:hideMark/>
          </w:tcPr>
          <w:p w14:paraId="55649B2D" w14:textId="0F517549" w:rsidR="005C19AA" w:rsidRPr="006B6D61" w:rsidRDefault="00313D3F" w:rsidP="003F0A7C">
            <w:pPr>
              <w:spacing w:after="0"/>
              <w:jc w:val="right"/>
              <w:rPr>
                <w:rFonts w:cstheme="minorHAnsi"/>
              </w:rPr>
            </w:pPr>
            <w:r w:rsidRPr="006B6D61">
              <w:rPr>
                <w:rFonts w:cstheme="minorHAnsi"/>
              </w:rPr>
              <w:t>82 000</w:t>
            </w:r>
          </w:p>
        </w:tc>
        <w:tc>
          <w:tcPr>
            <w:tcW w:w="1418" w:type="dxa"/>
            <w:tcBorders>
              <w:top w:val="nil"/>
              <w:left w:val="nil"/>
              <w:bottom w:val="single" w:sz="4" w:space="0" w:color="000000"/>
              <w:right w:val="single" w:sz="4" w:space="0" w:color="000000"/>
            </w:tcBorders>
            <w:shd w:val="clear" w:color="auto" w:fill="auto"/>
            <w:noWrap/>
            <w:vAlign w:val="center"/>
            <w:hideMark/>
          </w:tcPr>
          <w:p w14:paraId="0FA1FA12" w14:textId="430D261F" w:rsidR="005C19AA" w:rsidRPr="002F1BE7" w:rsidRDefault="00045FF5" w:rsidP="003F0A7C">
            <w:pPr>
              <w:spacing w:after="0"/>
              <w:jc w:val="right"/>
              <w:rPr>
                <w:rFonts w:cstheme="minorHAnsi"/>
                <w:color w:val="FF0000"/>
              </w:rPr>
            </w:pPr>
            <w:r w:rsidRPr="006B6D61">
              <w:rPr>
                <w:rFonts w:cstheme="minorHAnsi"/>
              </w:rPr>
              <w:t>82 000</w:t>
            </w:r>
          </w:p>
        </w:tc>
        <w:tc>
          <w:tcPr>
            <w:tcW w:w="1417" w:type="dxa"/>
            <w:tcBorders>
              <w:top w:val="nil"/>
              <w:left w:val="nil"/>
              <w:bottom w:val="single" w:sz="4" w:space="0" w:color="000000"/>
              <w:right w:val="single" w:sz="4" w:space="0" w:color="000000"/>
            </w:tcBorders>
            <w:shd w:val="clear" w:color="auto" w:fill="auto"/>
            <w:noWrap/>
            <w:vAlign w:val="center"/>
            <w:hideMark/>
          </w:tcPr>
          <w:p w14:paraId="1DC1BE03" w14:textId="6A7C3A5E" w:rsidR="005C19AA" w:rsidRPr="002F1BE7" w:rsidRDefault="00FE7CC7" w:rsidP="003F0A7C">
            <w:pPr>
              <w:spacing w:after="0"/>
              <w:jc w:val="right"/>
              <w:rPr>
                <w:rFonts w:cstheme="minorHAnsi"/>
                <w:color w:val="FF0000"/>
              </w:rPr>
            </w:pPr>
            <w:r w:rsidRPr="006B6D61">
              <w:rPr>
                <w:rFonts w:cstheme="minorHAnsi"/>
              </w:rPr>
              <w:t>201 736</w:t>
            </w:r>
          </w:p>
        </w:tc>
        <w:tc>
          <w:tcPr>
            <w:tcW w:w="851" w:type="dxa"/>
            <w:tcBorders>
              <w:top w:val="nil"/>
              <w:left w:val="nil"/>
              <w:bottom w:val="single" w:sz="4" w:space="0" w:color="000000"/>
              <w:right w:val="single" w:sz="4" w:space="0" w:color="auto"/>
            </w:tcBorders>
            <w:vAlign w:val="center"/>
          </w:tcPr>
          <w:p w14:paraId="182E6DB4" w14:textId="0DFBDFA0" w:rsidR="005C19AA" w:rsidRPr="006B6D61" w:rsidRDefault="006416C7">
            <w:pPr>
              <w:spacing w:after="0"/>
              <w:jc w:val="right"/>
              <w:rPr>
                <w:rFonts w:cstheme="minorHAnsi"/>
              </w:rPr>
            </w:pPr>
            <w:r w:rsidRPr="006B6D61">
              <w:rPr>
                <w:rFonts w:cstheme="minorHAnsi"/>
              </w:rPr>
              <w:t>246,0</w:t>
            </w:r>
          </w:p>
        </w:tc>
        <w:tc>
          <w:tcPr>
            <w:tcW w:w="850" w:type="dxa"/>
            <w:tcBorders>
              <w:top w:val="nil"/>
              <w:left w:val="single" w:sz="4" w:space="0" w:color="auto"/>
              <w:bottom w:val="single" w:sz="4" w:space="0" w:color="000000"/>
              <w:right w:val="single" w:sz="4" w:space="0" w:color="000000"/>
            </w:tcBorders>
            <w:shd w:val="clear" w:color="auto" w:fill="auto"/>
            <w:noWrap/>
            <w:vAlign w:val="center"/>
            <w:hideMark/>
          </w:tcPr>
          <w:p w14:paraId="2CA332A3" w14:textId="12BEBA6B" w:rsidR="005C19AA" w:rsidRPr="006B6D61" w:rsidRDefault="006416C7" w:rsidP="003F0A7C">
            <w:pPr>
              <w:spacing w:after="0"/>
              <w:jc w:val="right"/>
              <w:rPr>
                <w:rFonts w:cstheme="minorHAnsi"/>
              </w:rPr>
            </w:pPr>
            <w:r w:rsidRPr="006B6D61">
              <w:rPr>
                <w:rFonts w:cstheme="minorHAnsi"/>
              </w:rPr>
              <w:t>106,</w:t>
            </w:r>
            <w:r w:rsidR="0034738A">
              <w:rPr>
                <w:rFonts w:cstheme="minorHAnsi"/>
              </w:rPr>
              <w:t>6</w:t>
            </w:r>
          </w:p>
        </w:tc>
      </w:tr>
      <w:tr w:rsidR="002B781F" w:rsidRPr="002F1BE7" w14:paraId="54C7E1FC" w14:textId="77777777" w:rsidTr="006B6D61">
        <w:trPr>
          <w:trHeight w:val="300"/>
        </w:trPr>
        <w:tc>
          <w:tcPr>
            <w:tcW w:w="1963"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hideMark/>
          </w:tcPr>
          <w:p w14:paraId="535018DD" w14:textId="77777777" w:rsidR="005C19AA" w:rsidRPr="006B6D61" w:rsidRDefault="005C19AA" w:rsidP="003F0A7C">
            <w:pPr>
              <w:spacing w:after="0"/>
              <w:rPr>
                <w:rFonts w:cstheme="minorHAnsi"/>
                <w:b/>
                <w:bCs/>
              </w:rPr>
            </w:pPr>
            <w:r w:rsidRPr="006B6D61">
              <w:rPr>
                <w:rFonts w:cstheme="minorHAnsi"/>
                <w:b/>
                <w:bCs/>
              </w:rPr>
              <w:t>Příjmy kapitoly MD-327 celkem</w:t>
            </w:r>
          </w:p>
        </w:tc>
        <w:tc>
          <w:tcPr>
            <w:tcW w:w="1148"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42D6C2DB" w14:textId="3A0264AD" w:rsidR="005C19AA" w:rsidRPr="006B6D61" w:rsidRDefault="005E20DA" w:rsidP="003F0A7C">
            <w:pPr>
              <w:spacing w:after="0"/>
              <w:jc w:val="right"/>
              <w:rPr>
                <w:rFonts w:cstheme="minorHAnsi"/>
                <w:b/>
                <w:bCs/>
              </w:rPr>
            </w:pPr>
            <w:r w:rsidRPr="006B6D61">
              <w:rPr>
                <w:rFonts w:cstheme="minorHAnsi"/>
                <w:b/>
                <w:bCs/>
              </w:rPr>
              <w:t>21 139 498</w:t>
            </w:r>
          </w:p>
        </w:tc>
        <w:tc>
          <w:tcPr>
            <w:tcW w:w="1425"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43FE2CF7" w14:textId="08DD1778" w:rsidR="005C19AA" w:rsidRPr="002F1BE7" w:rsidRDefault="007577C6" w:rsidP="003F0A7C">
            <w:pPr>
              <w:spacing w:after="0"/>
              <w:jc w:val="right"/>
              <w:rPr>
                <w:rFonts w:cstheme="minorHAnsi"/>
                <w:b/>
                <w:bCs/>
                <w:color w:val="FF0000"/>
              </w:rPr>
            </w:pPr>
            <w:r w:rsidRPr="006B6D61">
              <w:rPr>
                <w:rFonts w:cstheme="minorHAnsi"/>
                <w:b/>
                <w:bCs/>
              </w:rPr>
              <w:t>29 053 763</w:t>
            </w:r>
          </w:p>
        </w:tc>
        <w:tc>
          <w:tcPr>
            <w:tcW w:w="1418"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90FDEAB" w14:textId="24DA092C" w:rsidR="005C19AA" w:rsidRPr="002F1BE7" w:rsidRDefault="00D26530" w:rsidP="003F0A7C">
            <w:pPr>
              <w:spacing w:after="0"/>
              <w:jc w:val="right"/>
              <w:rPr>
                <w:rFonts w:cstheme="minorHAnsi"/>
                <w:b/>
                <w:bCs/>
                <w:color w:val="FF0000"/>
              </w:rPr>
            </w:pPr>
            <w:r w:rsidRPr="006B6D61">
              <w:rPr>
                <w:rFonts w:cstheme="minorHAnsi"/>
                <w:b/>
                <w:bCs/>
              </w:rPr>
              <w:t>29 055 344</w:t>
            </w:r>
          </w:p>
        </w:tc>
        <w:tc>
          <w:tcPr>
            <w:tcW w:w="1417"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1F894B13" w14:textId="5B9EA7C3" w:rsidR="005C19AA" w:rsidRPr="002F1BE7" w:rsidRDefault="002B5E8E" w:rsidP="003F0A7C">
            <w:pPr>
              <w:spacing w:after="0"/>
              <w:jc w:val="right"/>
              <w:rPr>
                <w:rFonts w:cstheme="minorHAnsi"/>
                <w:b/>
                <w:bCs/>
                <w:color w:val="FF0000"/>
              </w:rPr>
            </w:pPr>
            <w:r w:rsidRPr="006B6D61">
              <w:rPr>
                <w:rFonts w:cstheme="minorHAnsi"/>
                <w:b/>
                <w:bCs/>
              </w:rPr>
              <w:t>50 766 501</w:t>
            </w:r>
          </w:p>
        </w:tc>
        <w:tc>
          <w:tcPr>
            <w:tcW w:w="851" w:type="dxa"/>
            <w:tcBorders>
              <w:top w:val="nil"/>
              <w:left w:val="nil"/>
              <w:bottom w:val="single" w:sz="4" w:space="0" w:color="000000"/>
              <w:right w:val="single" w:sz="4" w:space="0" w:color="auto"/>
            </w:tcBorders>
            <w:shd w:val="clear" w:color="auto" w:fill="D9D9D9" w:themeFill="background1" w:themeFillShade="D9"/>
            <w:vAlign w:val="center"/>
          </w:tcPr>
          <w:p w14:paraId="119FD52E" w14:textId="7096C851" w:rsidR="005C19AA" w:rsidRPr="006B6D61" w:rsidRDefault="006416C7">
            <w:pPr>
              <w:spacing w:after="0"/>
              <w:jc w:val="right"/>
              <w:rPr>
                <w:rFonts w:cstheme="minorHAnsi"/>
                <w:b/>
                <w:bCs/>
              </w:rPr>
            </w:pPr>
            <w:r w:rsidRPr="006B6D61">
              <w:rPr>
                <w:rFonts w:cstheme="minorHAnsi"/>
                <w:b/>
                <w:bCs/>
              </w:rPr>
              <w:t>174,7</w:t>
            </w:r>
          </w:p>
        </w:tc>
        <w:tc>
          <w:tcPr>
            <w:tcW w:w="850" w:type="dxa"/>
            <w:tcBorders>
              <w:top w:val="nil"/>
              <w:left w:val="single" w:sz="4" w:space="0" w:color="auto"/>
              <w:bottom w:val="single" w:sz="4" w:space="0" w:color="000000"/>
              <w:right w:val="single" w:sz="4" w:space="0" w:color="000000"/>
            </w:tcBorders>
            <w:shd w:val="clear" w:color="auto" w:fill="D9D9D9" w:themeFill="background1" w:themeFillShade="D9"/>
            <w:noWrap/>
            <w:vAlign w:val="center"/>
            <w:hideMark/>
          </w:tcPr>
          <w:p w14:paraId="7111D93D" w14:textId="638FBB84" w:rsidR="005C19AA" w:rsidRPr="006B6D61" w:rsidRDefault="006416C7" w:rsidP="003F0A7C">
            <w:pPr>
              <w:spacing w:after="0"/>
              <w:jc w:val="right"/>
              <w:rPr>
                <w:rFonts w:cstheme="minorHAnsi"/>
                <w:b/>
                <w:bCs/>
              </w:rPr>
            </w:pPr>
            <w:r w:rsidRPr="006B6D61">
              <w:rPr>
                <w:rFonts w:cstheme="minorHAnsi"/>
                <w:b/>
                <w:bCs/>
              </w:rPr>
              <w:t>240,1</w:t>
            </w:r>
          </w:p>
        </w:tc>
      </w:tr>
    </w:tbl>
    <w:p w14:paraId="6E0FA46E" w14:textId="5F5E5E42" w:rsidR="0099045E" w:rsidRPr="006B6D61" w:rsidRDefault="0099045E" w:rsidP="00E20BD6">
      <w:pPr>
        <w:pStyle w:val="KOMnadp3"/>
      </w:pPr>
      <w:bookmarkStart w:id="10" w:name="_Toc128397640"/>
      <w:bookmarkStart w:id="11" w:name="_Toc128397775"/>
      <w:bookmarkStart w:id="12" w:name="_Toc128397998"/>
      <w:bookmarkStart w:id="13" w:name="_Toc128398341"/>
      <w:bookmarkStart w:id="14" w:name="_Toc128398467"/>
      <w:bookmarkStart w:id="15" w:name="_Toc128398681"/>
      <w:bookmarkStart w:id="16" w:name="_Toc128399997"/>
      <w:bookmarkStart w:id="17" w:name="_Toc128401237"/>
      <w:bookmarkStart w:id="18" w:name="_Toc128401365"/>
      <w:bookmarkStart w:id="19" w:name="_Toc128401852"/>
      <w:bookmarkStart w:id="20" w:name="_Toc128399998"/>
      <w:bookmarkStart w:id="21" w:name="_Toc162269233"/>
      <w:bookmarkEnd w:id="10"/>
      <w:bookmarkEnd w:id="11"/>
      <w:bookmarkEnd w:id="12"/>
      <w:bookmarkEnd w:id="13"/>
      <w:bookmarkEnd w:id="14"/>
      <w:bookmarkEnd w:id="15"/>
      <w:bookmarkEnd w:id="16"/>
      <w:bookmarkEnd w:id="17"/>
      <w:bookmarkEnd w:id="18"/>
      <w:bookmarkEnd w:id="19"/>
      <w:r w:rsidRPr="006B6D61">
        <w:lastRenderedPageBreak/>
        <w:t>Daňové příjmy</w:t>
      </w:r>
      <w:bookmarkEnd w:id="20"/>
      <w:bookmarkEnd w:id="21"/>
    </w:p>
    <w:p w14:paraId="75C28D5E" w14:textId="4F17EE40" w:rsidR="00BF29AB" w:rsidRPr="002F1BE7" w:rsidRDefault="00BF29AB" w:rsidP="00BF29AB">
      <w:pPr>
        <w:pStyle w:val="KOMtext"/>
        <w:rPr>
          <w:color w:val="FF0000"/>
        </w:rPr>
      </w:pPr>
      <w:r w:rsidRPr="006B6D61">
        <w:t>Daňové příjmy organizačních složek státu byly naplněny ve výši 2</w:t>
      </w:r>
      <w:r w:rsidR="00B44D3E" w:rsidRPr="006B6D61">
        <w:t>35 601</w:t>
      </w:r>
      <w:r w:rsidRPr="006B6D61">
        <w:t xml:space="preserve"> tis. Kč, tj. plnění </w:t>
      </w:r>
      <w:r w:rsidR="0086493C">
        <w:br/>
      </w:r>
      <w:r w:rsidRPr="006B6D61">
        <w:t>ve výši 1</w:t>
      </w:r>
      <w:r w:rsidR="009F65E7" w:rsidRPr="006B6D61">
        <w:t>07,22</w:t>
      </w:r>
      <w:r w:rsidRPr="006B6D61">
        <w:t xml:space="preserve"> % schváleného rozpočtu v částce 185 000 tis. Kč. Tyto příjmy jsou tvořeny pouze správními poplatky, z nichž největší podíl </w:t>
      </w:r>
      <w:r w:rsidR="00643144" w:rsidRPr="006B6D61">
        <w:t>206 401</w:t>
      </w:r>
      <w:r w:rsidRPr="006B6D61">
        <w:t xml:space="preserve"> tis. Kč připadá na ústřední orgán Ministerstva dopravy, dále</w:t>
      </w:r>
      <w:r w:rsidRPr="0077128B">
        <w:rPr>
          <w:color w:val="FF0000"/>
        </w:rPr>
        <w:t xml:space="preserve"> </w:t>
      </w:r>
      <w:r w:rsidR="0050100E" w:rsidRPr="006B6D61">
        <w:t>14 159</w:t>
      </w:r>
      <w:r w:rsidRPr="006B6D61">
        <w:t xml:space="preserve"> tis. Kč přijal Úřad pro civilní letectví, </w:t>
      </w:r>
      <w:r w:rsidR="0050100E" w:rsidRPr="006B6D61">
        <w:t>7 603</w:t>
      </w:r>
      <w:r w:rsidRPr="006B6D61">
        <w:t xml:space="preserve"> tis. Kč přijala Státní plavební správa a 7 </w:t>
      </w:r>
      <w:r w:rsidR="0050100E" w:rsidRPr="006B6D61">
        <w:t>438</w:t>
      </w:r>
      <w:r w:rsidRPr="006B6D61">
        <w:t xml:space="preserve"> tis. Kč přijal Drážní úřad. </w:t>
      </w:r>
    </w:p>
    <w:p w14:paraId="4252E670" w14:textId="59FC31E9" w:rsidR="00BF29AB" w:rsidRPr="002F1BE7" w:rsidRDefault="00BF29AB" w:rsidP="003F0A7C">
      <w:pPr>
        <w:pStyle w:val="KOMtext"/>
        <w:rPr>
          <w:i/>
          <w:color w:val="FF0000"/>
        </w:rPr>
      </w:pPr>
      <w:r w:rsidRPr="006B6D61">
        <w:rPr>
          <w:i/>
        </w:rPr>
        <w:t>Plnění daňových příjmů za rok</w:t>
      </w:r>
      <w:r w:rsidR="00F775B7" w:rsidRPr="006B6D61">
        <w:rPr>
          <w:i/>
        </w:rPr>
        <w:t xml:space="preserve"> 202</w:t>
      </w:r>
      <w:r w:rsidR="002D4D1B" w:rsidRPr="006B6D61">
        <w:rPr>
          <w:i/>
        </w:rPr>
        <w:t>3</w:t>
      </w:r>
      <w:r w:rsidR="00F775B7" w:rsidRPr="006B6D61">
        <w:rPr>
          <w:i/>
        </w:rPr>
        <w:t xml:space="preserve"> (2</w:t>
      </w:r>
      <w:r w:rsidR="0082628C" w:rsidRPr="006B6D61">
        <w:rPr>
          <w:i/>
        </w:rPr>
        <w:t>35 601</w:t>
      </w:r>
      <w:r w:rsidRPr="006B6D61">
        <w:rPr>
          <w:i/>
        </w:rPr>
        <w:t xml:space="preserve"> tis. Kč) je oproti roku</w:t>
      </w:r>
      <w:r w:rsidR="00F775B7" w:rsidRPr="006B6D61">
        <w:rPr>
          <w:i/>
        </w:rPr>
        <w:t xml:space="preserve"> 202</w:t>
      </w:r>
      <w:r w:rsidR="004E4FF4" w:rsidRPr="006B6D61">
        <w:rPr>
          <w:i/>
        </w:rPr>
        <w:t>2</w:t>
      </w:r>
      <w:r w:rsidR="00F775B7" w:rsidRPr="006B6D61">
        <w:rPr>
          <w:i/>
        </w:rPr>
        <w:t xml:space="preserve"> (</w:t>
      </w:r>
      <w:r w:rsidR="00511241" w:rsidRPr="006B6D61">
        <w:rPr>
          <w:i/>
        </w:rPr>
        <w:t>219 743</w:t>
      </w:r>
      <w:r w:rsidRPr="006B6D61">
        <w:rPr>
          <w:i/>
        </w:rPr>
        <w:t xml:space="preserve"> tis. Kč) vyšší o</w:t>
      </w:r>
      <w:r w:rsidR="00F775B7" w:rsidRPr="0077128B">
        <w:rPr>
          <w:i/>
          <w:color w:val="FF0000"/>
        </w:rPr>
        <w:t xml:space="preserve"> </w:t>
      </w:r>
      <w:r w:rsidR="00963DD0" w:rsidRPr="006B6D61">
        <w:rPr>
          <w:i/>
        </w:rPr>
        <w:t>15 858</w:t>
      </w:r>
      <w:r w:rsidR="00F775B7" w:rsidRPr="006B6D61">
        <w:rPr>
          <w:i/>
        </w:rPr>
        <w:t xml:space="preserve"> tis. Kč, tj. index 1</w:t>
      </w:r>
      <w:r w:rsidR="00002578" w:rsidRPr="006B6D61">
        <w:rPr>
          <w:i/>
        </w:rPr>
        <w:t>07,2</w:t>
      </w:r>
      <w:r w:rsidRPr="006B6D61">
        <w:rPr>
          <w:i/>
        </w:rPr>
        <w:t xml:space="preserve"> %.</w:t>
      </w:r>
    </w:p>
    <w:p w14:paraId="69240615" w14:textId="333018A3" w:rsidR="00041405" w:rsidRPr="006B6D61" w:rsidRDefault="00041405" w:rsidP="00E20BD6">
      <w:pPr>
        <w:pStyle w:val="KOMnadp3"/>
      </w:pPr>
      <w:bookmarkStart w:id="22" w:name="_Toc128397642"/>
      <w:bookmarkStart w:id="23" w:name="_Toc128397777"/>
      <w:bookmarkStart w:id="24" w:name="_Toc128398000"/>
      <w:bookmarkStart w:id="25" w:name="_Toc128398343"/>
      <w:bookmarkStart w:id="26" w:name="_Toc128398469"/>
      <w:bookmarkStart w:id="27" w:name="_Toc128398683"/>
      <w:bookmarkStart w:id="28" w:name="_Toc128399999"/>
      <w:bookmarkStart w:id="29" w:name="_Toc128401239"/>
      <w:bookmarkStart w:id="30" w:name="_Toc128401367"/>
      <w:bookmarkStart w:id="31" w:name="_Toc128401854"/>
      <w:bookmarkStart w:id="32" w:name="_Toc128400000"/>
      <w:bookmarkStart w:id="33" w:name="_Toc162269234"/>
      <w:bookmarkEnd w:id="22"/>
      <w:bookmarkEnd w:id="23"/>
      <w:bookmarkEnd w:id="24"/>
      <w:bookmarkEnd w:id="25"/>
      <w:bookmarkEnd w:id="26"/>
      <w:bookmarkEnd w:id="27"/>
      <w:bookmarkEnd w:id="28"/>
      <w:bookmarkEnd w:id="29"/>
      <w:bookmarkEnd w:id="30"/>
      <w:bookmarkEnd w:id="31"/>
      <w:r w:rsidRPr="006B6D61">
        <w:t>Nedaňové příjmy, kapitálové příjmy a přijaté transfery celkem</w:t>
      </w:r>
      <w:bookmarkEnd w:id="32"/>
      <w:bookmarkEnd w:id="33"/>
    </w:p>
    <w:p w14:paraId="572DEA99" w14:textId="29FBE0B0" w:rsidR="00C50A5D" w:rsidRPr="006B6D61" w:rsidRDefault="00D16E3E" w:rsidP="008A0E44">
      <w:pPr>
        <w:pStyle w:val="KOMnadp4"/>
      </w:pPr>
      <w:r w:rsidRPr="006B6D61">
        <w:t>Příjmy z rozpočtu Evropské unie bez společné zemědělské politiky celkem</w:t>
      </w:r>
    </w:p>
    <w:p w14:paraId="65D8A17C" w14:textId="4BDC9191" w:rsidR="00D16E3E" w:rsidRPr="006B6D61" w:rsidRDefault="00D16E3E" w:rsidP="003F0A7C">
      <w:pPr>
        <w:pStyle w:val="KOMtext"/>
      </w:pPr>
      <w:r w:rsidRPr="006B6D61">
        <w:rPr>
          <w:b/>
        </w:rPr>
        <w:t>Příjmy z rozpočtu EU</w:t>
      </w:r>
      <w:r w:rsidRPr="006B6D61">
        <w:t xml:space="preserve"> (upravený rozpočet ve výši </w:t>
      </w:r>
      <w:r w:rsidR="007A4922" w:rsidRPr="006B6D61">
        <w:t>28 788 344</w:t>
      </w:r>
      <w:r w:rsidRPr="006B6D61">
        <w:t xml:space="preserve"> tis. Kč) byly v průběhu roku 202</w:t>
      </w:r>
      <w:r w:rsidR="007A4922" w:rsidRPr="006B6D61">
        <w:t>3</w:t>
      </w:r>
      <w:r w:rsidRPr="006B6D61">
        <w:t xml:space="preserve"> realizovány ve výši </w:t>
      </w:r>
      <w:r w:rsidR="007A4922" w:rsidRPr="006B6D61">
        <w:t>50 329 163</w:t>
      </w:r>
      <w:r w:rsidRPr="006B6D61">
        <w:t xml:space="preserve"> tis. Kč, z toho příjmy z EU na projekty rozpočtované v roce 202</w:t>
      </w:r>
      <w:r w:rsidR="007A4922" w:rsidRPr="006B6D61">
        <w:t>2</w:t>
      </w:r>
      <w:r w:rsidRPr="006B6D61">
        <w:t xml:space="preserve"> a dříve</w:t>
      </w:r>
      <w:r w:rsidRPr="0077128B">
        <w:rPr>
          <w:color w:val="FF0000"/>
        </w:rPr>
        <w:t xml:space="preserve"> </w:t>
      </w:r>
      <w:r w:rsidR="009B5388" w:rsidRPr="00D4453B">
        <w:rPr>
          <w:rFonts w:cstheme="minorHAnsi"/>
          <w:szCs w:val="24"/>
        </w:rPr>
        <w:t xml:space="preserve">23 623 </w:t>
      </w:r>
      <w:r w:rsidR="009B5388" w:rsidRPr="002B6DFE">
        <w:rPr>
          <w:rFonts w:cstheme="minorHAnsi"/>
          <w:szCs w:val="24"/>
        </w:rPr>
        <w:t>850</w:t>
      </w:r>
      <w:r w:rsidRPr="006B6D61">
        <w:t xml:space="preserve"> tis. Kč a převod z rezervního fondu činí </w:t>
      </w:r>
      <w:r w:rsidR="009B5388" w:rsidRPr="006B6D61">
        <w:t>2 645</w:t>
      </w:r>
      <w:r w:rsidRPr="006B6D61">
        <w:t xml:space="preserve"> tis. Kč, tj. plnění ve výši </w:t>
      </w:r>
      <w:r w:rsidR="004F59A9" w:rsidRPr="006B6D61">
        <w:br/>
      </w:r>
      <w:r w:rsidR="006A1777" w:rsidRPr="006B6D61">
        <w:t>174,8</w:t>
      </w:r>
      <w:r w:rsidRPr="006B6D61">
        <w:t xml:space="preserve"> % upraveného rozpočtu (resp. </w:t>
      </w:r>
      <w:r w:rsidR="008813B7" w:rsidRPr="006B6D61">
        <w:t>92,8</w:t>
      </w:r>
      <w:r w:rsidRPr="006B6D61">
        <w:t xml:space="preserve"> % upraveného rozpočtu dle § 25 odst. 1, písm. c) </w:t>
      </w:r>
      <w:r w:rsidR="004F59A9" w:rsidRPr="006B6D61">
        <w:br/>
      </w:r>
      <w:r w:rsidRPr="006B6D61">
        <w:t>zák. č. 218/2000 Sb., rozpočtová pravidla, v platném znění, kdy jsou do plnění počítány jen příjmy na projekty rozpočtované v roce 202</w:t>
      </w:r>
      <w:r w:rsidR="007A4922" w:rsidRPr="006B6D61">
        <w:t>2</w:t>
      </w:r>
      <w:r w:rsidRPr="006B6D61">
        <w:t>).</w:t>
      </w:r>
    </w:p>
    <w:p w14:paraId="2A141943" w14:textId="2328F297" w:rsidR="00D16E3E" w:rsidRPr="0077128B" w:rsidRDefault="00D16E3E" w:rsidP="003F0A7C">
      <w:pPr>
        <w:pStyle w:val="KOMtext"/>
        <w:rPr>
          <w:color w:val="FF0000"/>
        </w:rPr>
      </w:pPr>
      <w:r w:rsidRPr="006B6D61">
        <w:t xml:space="preserve">Z celkových příjmů z rozpočtu EU příjmy z </w:t>
      </w:r>
      <w:r w:rsidRPr="006B6D61">
        <w:rPr>
          <w:b/>
        </w:rPr>
        <w:t>programového období 2014-2020</w:t>
      </w:r>
      <w:r w:rsidRPr="0077128B">
        <w:rPr>
          <w:color w:val="FF0000"/>
        </w:rPr>
        <w:t xml:space="preserve"> </w:t>
      </w:r>
      <w:r w:rsidRPr="006B6D61">
        <w:t>činí</w:t>
      </w:r>
      <w:r w:rsidRPr="0077128B">
        <w:rPr>
          <w:color w:val="FF0000"/>
        </w:rPr>
        <w:t xml:space="preserve"> </w:t>
      </w:r>
      <w:r w:rsidR="00D12634" w:rsidRPr="0077128B">
        <w:rPr>
          <w:color w:val="FF0000"/>
        </w:rPr>
        <w:br/>
      </w:r>
      <w:r w:rsidR="0021169E" w:rsidRPr="006B6D61">
        <w:t>20 236 553</w:t>
      </w:r>
      <w:r w:rsidRPr="006B6D61">
        <w:t xml:space="preserve"> tis. Kč, v tom Operační program Doprava – Strukturální fondy </w:t>
      </w:r>
      <w:r w:rsidR="00EB68C0" w:rsidRPr="006B6D61">
        <w:t>5 092 400</w:t>
      </w:r>
      <w:r w:rsidRPr="006B6D61">
        <w:t xml:space="preserve"> tis. Kč, Operační program Doprava – Fond soudržnosti </w:t>
      </w:r>
      <w:r w:rsidR="00B92BB5" w:rsidRPr="006B6D61">
        <w:t>12 580 098</w:t>
      </w:r>
      <w:r w:rsidRPr="006B6D61">
        <w:t xml:space="preserve"> tis. Kč, Operační program Zaměstnanost</w:t>
      </w:r>
      <w:r w:rsidRPr="0077128B">
        <w:rPr>
          <w:color w:val="FF0000"/>
        </w:rPr>
        <w:t xml:space="preserve"> </w:t>
      </w:r>
      <w:r w:rsidR="006575CF" w:rsidRPr="006B6D61">
        <w:t>3 745</w:t>
      </w:r>
      <w:r w:rsidRPr="006B6D61">
        <w:t xml:space="preserve"> tis. Kč,</w:t>
      </w:r>
      <w:r w:rsidR="000326D8">
        <w:t xml:space="preserve"> Operační program Podnikání a inovace pro konkurenceschopnost 119 672 tis. </w:t>
      </w:r>
      <w:r>
        <w:t>Kč,</w:t>
      </w:r>
      <w:r w:rsidRPr="006B6D61">
        <w:t xml:space="preserve"> komunitární programy Nástroj pro propojení Evropy 2014+ (CEF) </w:t>
      </w:r>
      <w:r w:rsidR="00D2392B">
        <w:br/>
      </w:r>
      <w:r w:rsidR="002D4EE0" w:rsidRPr="006B6D61">
        <w:t>2 440 638</w:t>
      </w:r>
      <w:r w:rsidRPr="006B6D61">
        <w:t xml:space="preserve"> tis. Kč (z toho převod z rezervního fondu </w:t>
      </w:r>
      <w:r w:rsidR="00623CED" w:rsidRPr="006B6D61">
        <w:t>1</w:t>
      </w:r>
      <w:r w:rsidR="00F149B1" w:rsidRPr="006B6D61">
        <w:t xml:space="preserve"> 925</w:t>
      </w:r>
      <w:r w:rsidRPr="006B6D61">
        <w:t xml:space="preserve"> tis. Kč).</w:t>
      </w:r>
      <w:r w:rsidR="001827F0" w:rsidRPr="006B6D61">
        <w:t xml:space="preserve"> Oproti roku 202</w:t>
      </w:r>
      <w:r w:rsidR="00E42BEA" w:rsidRPr="006B6D61">
        <w:t>2</w:t>
      </w:r>
      <w:r w:rsidR="001827F0" w:rsidRPr="006B6D61">
        <w:t xml:space="preserve"> </w:t>
      </w:r>
      <w:r w:rsidR="005D147A">
        <w:br/>
      </w:r>
      <w:r w:rsidR="001827F0" w:rsidRPr="006B6D61">
        <w:t>(</w:t>
      </w:r>
      <w:r w:rsidR="00E42BEA" w:rsidRPr="006B6D61">
        <w:t xml:space="preserve">17 052 </w:t>
      </w:r>
      <w:r w:rsidR="005D147A" w:rsidRPr="006B6D61">
        <w:t>084</w:t>
      </w:r>
      <w:r w:rsidR="001827F0" w:rsidRPr="006B6D61">
        <w:t xml:space="preserve"> tis. Kč)</w:t>
      </w:r>
      <w:r w:rsidR="001827F0" w:rsidRPr="0077128B">
        <w:rPr>
          <w:color w:val="FF0000"/>
        </w:rPr>
        <w:t xml:space="preserve"> </w:t>
      </w:r>
      <w:r w:rsidR="001827F0" w:rsidRPr="006B6D61">
        <w:t xml:space="preserve">dochází ke </w:t>
      </w:r>
      <w:r w:rsidR="00A30C40">
        <w:t>zvýšení</w:t>
      </w:r>
      <w:r w:rsidR="001827F0" w:rsidRPr="0077128B">
        <w:rPr>
          <w:color w:val="FF0000"/>
        </w:rPr>
        <w:t xml:space="preserve"> </w:t>
      </w:r>
      <w:r w:rsidR="001827F0" w:rsidRPr="006B6D61">
        <w:t xml:space="preserve">příjmů o </w:t>
      </w:r>
      <w:r w:rsidR="00A30C40" w:rsidRPr="006B6D61">
        <w:t>3 184 469</w:t>
      </w:r>
      <w:r w:rsidR="001827F0" w:rsidRPr="006B6D61">
        <w:t xml:space="preserve"> tis. Kč, tj. </w:t>
      </w:r>
      <w:r w:rsidR="00496136" w:rsidRPr="006B6D61">
        <w:t>in</w:t>
      </w:r>
      <w:r w:rsidR="00DD79A8" w:rsidRPr="006B6D61">
        <w:t xml:space="preserve">dex </w:t>
      </w:r>
      <w:r w:rsidR="00162C73" w:rsidRPr="006B6D61">
        <w:t>118,7</w:t>
      </w:r>
      <w:r w:rsidR="00496136" w:rsidRPr="006B6D61">
        <w:t xml:space="preserve"> %.</w:t>
      </w:r>
    </w:p>
    <w:p w14:paraId="29DF9AC0" w14:textId="474DB9C5" w:rsidR="00C279AA" w:rsidRPr="002F1BE7" w:rsidRDefault="00C279AA" w:rsidP="003F0A7C">
      <w:pPr>
        <w:pStyle w:val="KOMtext"/>
        <w:rPr>
          <w:color w:val="FF0000"/>
        </w:rPr>
      </w:pPr>
      <w:r w:rsidRPr="006B6D61">
        <w:t xml:space="preserve">Z celkových příjmů z rozpočtu EU příjmy z </w:t>
      </w:r>
      <w:r w:rsidRPr="006B6D61">
        <w:rPr>
          <w:b/>
        </w:rPr>
        <w:t>programového období 2021-2027</w:t>
      </w:r>
      <w:r w:rsidRPr="006B6D61">
        <w:t xml:space="preserve"> činí </w:t>
      </w:r>
      <w:r w:rsidR="004F59A9" w:rsidRPr="006B6D61">
        <w:br/>
      </w:r>
      <w:r w:rsidRPr="006B6D61">
        <w:t>3</w:t>
      </w:r>
      <w:r w:rsidR="00C23F88" w:rsidRPr="006B6D61">
        <w:t>0 092 610</w:t>
      </w:r>
      <w:r w:rsidR="00D12634" w:rsidRPr="006B6D61">
        <w:t xml:space="preserve"> tis. Kč, </w:t>
      </w:r>
      <w:r w:rsidRPr="006B6D61">
        <w:t xml:space="preserve">v tom komunitární programy Nástroj pro propojení Evropy 2021+ (CEF) </w:t>
      </w:r>
      <w:r w:rsidR="004F59A9" w:rsidRPr="006B6D61">
        <w:br/>
      </w:r>
      <w:r w:rsidR="002A0C77" w:rsidRPr="006B6D61">
        <w:t>4 960 834</w:t>
      </w:r>
      <w:r w:rsidRPr="006B6D61">
        <w:t xml:space="preserve"> tis. Kč</w:t>
      </w:r>
      <w:r w:rsidR="002A0C77" w:rsidRPr="006B6D61">
        <w:t xml:space="preserve">, </w:t>
      </w:r>
      <w:r w:rsidR="00A67164" w:rsidRPr="006B6D61">
        <w:t>Operační program Doprava</w:t>
      </w:r>
      <w:r w:rsidR="00EA4E11" w:rsidRPr="006B6D61">
        <w:t xml:space="preserve"> </w:t>
      </w:r>
      <w:r w:rsidR="00F12CC6" w:rsidRPr="006B6D61">
        <w:t xml:space="preserve">– Fond soudržnosti </w:t>
      </w:r>
      <w:r w:rsidR="00AB761B" w:rsidRPr="006B6D61">
        <w:t>4 643 374 tis. Kč</w:t>
      </w:r>
      <w:r w:rsidR="00C62471" w:rsidRPr="006B6D61">
        <w:t xml:space="preserve">, </w:t>
      </w:r>
      <w:r w:rsidR="00035402">
        <w:t xml:space="preserve">Horizont Evropa 1 024 tis. Kč, </w:t>
      </w:r>
      <w:r w:rsidR="00A52777">
        <w:t xml:space="preserve">Národní </w:t>
      </w:r>
      <w:r w:rsidR="004417D2">
        <w:t>plán</w:t>
      </w:r>
      <w:r w:rsidR="00A52777">
        <w:t xml:space="preserve"> obnovy 20 486 659 tis. Kč</w:t>
      </w:r>
      <w:r w:rsidR="00A2735C">
        <w:t xml:space="preserve"> a převod v rámci rezervního fondu </w:t>
      </w:r>
      <w:r w:rsidR="0065271C">
        <w:t xml:space="preserve">u Drážního úřadu </w:t>
      </w:r>
      <w:r w:rsidR="007951D9">
        <w:t>7</w:t>
      </w:r>
      <w:r w:rsidR="003A33C0">
        <w:t>20</w:t>
      </w:r>
      <w:r w:rsidR="007951D9">
        <w:t xml:space="preserve"> tis. Kč.</w:t>
      </w:r>
      <w:r w:rsidR="00496136" w:rsidDel="00E61F13">
        <w:t xml:space="preserve"> </w:t>
      </w:r>
      <w:r w:rsidR="00EF0368">
        <w:t>Oproti roku 2022 (</w:t>
      </w:r>
      <w:r w:rsidR="002253DD">
        <w:t xml:space="preserve">3 678 353 tis. Kč) dochází ke zvýšení příjmů o </w:t>
      </w:r>
      <w:r w:rsidR="00173C21">
        <w:t xml:space="preserve">26 414 257 tis. Kč, tj. index </w:t>
      </w:r>
      <w:r w:rsidR="00D92A73">
        <w:t>818,1 %.</w:t>
      </w:r>
    </w:p>
    <w:p w14:paraId="0A0CD0BD" w14:textId="2AD91B23" w:rsidR="00DD79A8" w:rsidRPr="0077128B" w:rsidRDefault="00DD79A8" w:rsidP="003F0A7C">
      <w:pPr>
        <w:pStyle w:val="KOMtext"/>
        <w:rPr>
          <w:color w:val="FF0000"/>
        </w:rPr>
      </w:pPr>
      <w:r w:rsidRPr="006B6D61">
        <w:t>Celková výše příjmů z </w:t>
      </w:r>
      <w:r w:rsidRPr="006B6D61">
        <w:rPr>
          <w:b/>
        </w:rPr>
        <w:t>Operačních programů 2014-2020 a 2021-2027</w:t>
      </w:r>
      <w:r w:rsidRPr="006B6D61">
        <w:t xml:space="preserve"> činila </w:t>
      </w:r>
      <w:r w:rsidR="005C640F" w:rsidRPr="006B6D61">
        <w:t>22 439 288</w:t>
      </w:r>
      <w:r w:rsidRPr="006B6D61">
        <w:t xml:space="preserve"> tis. Kč, přičemž oproti roku 202</w:t>
      </w:r>
      <w:r w:rsidR="005C640F" w:rsidRPr="006B6D61">
        <w:t>2</w:t>
      </w:r>
      <w:r w:rsidRPr="006B6D61">
        <w:t xml:space="preserve"> (</w:t>
      </w:r>
      <w:r w:rsidR="00551195" w:rsidRPr="006B6D61">
        <w:t>12 703 270</w:t>
      </w:r>
      <w:r w:rsidRPr="006B6D61">
        <w:t xml:space="preserve"> tis. Kč) dochází ke </w:t>
      </w:r>
      <w:r w:rsidR="00551195" w:rsidRPr="006B6D61">
        <w:t>zvýšení</w:t>
      </w:r>
      <w:r w:rsidRPr="006B6D61">
        <w:t xml:space="preserve"> o </w:t>
      </w:r>
      <w:r w:rsidR="00316894" w:rsidRPr="006B6D61">
        <w:t>9 736 019</w:t>
      </w:r>
      <w:r w:rsidRPr="006B6D61">
        <w:t xml:space="preserve"> tis. Kč, tj. index </w:t>
      </w:r>
      <w:r w:rsidR="00BA2B88" w:rsidRPr="006B6D61">
        <w:t>176,</w:t>
      </w:r>
      <w:r w:rsidR="003A76A9" w:rsidRPr="006B6D61">
        <w:t>6</w:t>
      </w:r>
      <w:r w:rsidRPr="006B6D61">
        <w:t xml:space="preserve"> %.</w:t>
      </w:r>
    </w:p>
    <w:p w14:paraId="19D395D2" w14:textId="14A3A15F" w:rsidR="009E71C9" w:rsidRPr="0077128B" w:rsidRDefault="00D16E3E" w:rsidP="003F0A7C">
      <w:pPr>
        <w:pStyle w:val="KOMtext"/>
        <w:rPr>
          <w:color w:val="FF0000"/>
        </w:rPr>
      </w:pPr>
      <w:r w:rsidRPr="006B6D61">
        <w:t xml:space="preserve">Celková výše příjmů z </w:t>
      </w:r>
      <w:r w:rsidRPr="006B6D61">
        <w:rPr>
          <w:b/>
        </w:rPr>
        <w:t>k</w:t>
      </w:r>
      <w:r w:rsidR="009E71C9" w:rsidRPr="006B6D61">
        <w:rPr>
          <w:b/>
        </w:rPr>
        <w:t>omunitárních</w:t>
      </w:r>
      <w:r w:rsidRPr="006B6D61">
        <w:rPr>
          <w:b/>
        </w:rPr>
        <w:t xml:space="preserve"> program</w:t>
      </w:r>
      <w:r w:rsidR="009E71C9" w:rsidRPr="006B6D61">
        <w:rPr>
          <w:b/>
        </w:rPr>
        <w:t>ů</w:t>
      </w:r>
      <w:r w:rsidRPr="006B6D61">
        <w:t xml:space="preserve"> </w:t>
      </w:r>
      <w:r w:rsidR="009E71C9" w:rsidRPr="006B6D61">
        <w:rPr>
          <w:b/>
        </w:rPr>
        <w:t>2014-2020 a 2021-2027</w:t>
      </w:r>
      <w:r w:rsidR="009E71C9" w:rsidRPr="006B6D61">
        <w:t xml:space="preserve"> činila </w:t>
      </w:r>
      <w:r w:rsidR="004F59A9" w:rsidRPr="006B6D61">
        <w:br/>
      </w:r>
      <w:r w:rsidR="005D25CD" w:rsidRPr="006B6D61">
        <w:t>27 889 875</w:t>
      </w:r>
      <w:r w:rsidR="009E71C9" w:rsidRPr="006B6D61">
        <w:t xml:space="preserve"> tis. Kč, přičemž oproti roku 202</w:t>
      </w:r>
      <w:r w:rsidR="005D25CD" w:rsidRPr="006B6D61">
        <w:t>2</w:t>
      </w:r>
      <w:r w:rsidR="009E71C9" w:rsidRPr="006B6D61">
        <w:t xml:space="preserve"> (</w:t>
      </w:r>
      <w:r w:rsidR="005D25CD" w:rsidRPr="006B6D61">
        <w:t>8 027 168</w:t>
      </w:r>
      <w:r w:rsidR="009E71C9" w:rsidRPr="006B6D61">
        <w:t xml:space="preserve"> tis. Kč) dochází ke zvýšení </w:t>
      </w:r>
      <w:r w:rsidR="004F59A9" w:rsidRPr="006B6D61">
        <w:br/>
      </w:r>
      <w:r w:rsidR="009E71C9" w:rsidRPr="006B6D61">
        <w:t>o</w:t>
      </w:r>
      <w:r w:rsidR="009E71C9" w:rsidRPr="0077128B">
        <w:rPr>
          <w:color w:val="FF0000"/>
        </w:rPr>
        <w:t xml:space="preserve"> </w:t>
      </w:r>
      <w:r w:rsidR="007222E5" w:rsidRPr="006B6D61">
        <w:t>19 862 707</w:t>
      </w:r>
      <w:r w:rsidR="009E71C9" w:rsidRPr="006B6D61">
        <w:t xml:space="preserve"> tis. Kč, tj. index </w:t>
      </w:r>
      <w:r w:rsidR="007222E5" w:rsidRPr="006B6D61">
        <w:t>347,4</w:t>
      </w:r>
      <w:r w:rsidR="009E71C9" w:rsidRPr="006B6D61">
        <w:t xml:space="preserve"> %. </w:t>
      </w:r>
    </w:p>
    <w:p w14:paraId="7193D12F" w14:textId="303DC904" w:rsidR="00D16E3E" w:rsidRPr="0077128B" w:rsidRDefault="00D16E3E" w:rsidP="003F0A7C">
      <w:pPr>
        <w:pStyle w:val="KOMtext"/>
        <w:rPr>
          <w:color w:val="FF0000"/>
        </w:rPr>
      </w:pPr>
      <w:r w:rsidRPr="006B6D61">
        <w:lastRenderedPageBreak/>
        <w:t xml:space="preserve">Z celkových příjmů z rozpočtu EU činí neinvestiční přijaté transfery </w:t>
      </w:r>
      <w:r w:rsidR="001921D9" w:rsidRPr="006B6D61">
        <w:t>294 820</w:t>
      </w:r>
      <w:r w:rsidRPr="006B6D61">
        <w:t xml:space="preserve"> tis. Kč, investi</w:t>
      </w:r>
      <w:r w:rsidR="00F969CC" w:rsidRPr="006B6D61">
        <w:t xml:space="preserve">ční přijaté transfery </w:t>
      </w:r>
      <w:r w:rsidR="001921D9" w:rsidRPr="006B6D61">
        <w:t>50 031 698</w:t>
      </w:r>
      <w:r w:rsidRPr="006B6D61">
        <w:t xml:space="preserve"> tis. Kč, převody z rezervního fondu </w:t>
      </w:r>
      <w:r w:rsidR="001921D9" w:rsidRPr="006B6D61">
        <w:t>2 645</w:t>
      </w:r>
      <w:r w:rsidRPr="006B6D61">
        <w:t xml:space="preserve"> tis. Kč.</w:t>
      </w:r>
    </w:p>
    <w:p w14:paraId="68E27DF3" w14:textId="77D1BB6C" w:rsidR="004D33EA" w:rsidRDefault="00D16E3E" w:rsidP="003F0A7C">
      <w:pPr>
        <w:pStyle w:val="KOMtext"/>
      </w:pPr>
      <w:r w:rsidRPr="006B6D61">
        <w:t>V průběhu roku</w:t>
      </w:r>
      <w:r>
        <w:t xml:space="preserve"> </w:t>
      </w:r>
      <w:r w:rsidR="00D33DD7">
        <w:t>2023</w:t>
      </w:r>
      <w:r w:rsidRPr="006B6D61">
        <w:t xml:space="preserve"> byly</w:t>
      </w:r>
      <w:r>
        <w:t xml:space="preserve"> </w:t>
      </w:r>
      <w:r w:rsidR="0095128F">
        <w:t xml:space="preserve">v rámci Operačního programu Doprava 2014-2020 </w:t>
      </w:r>
      <w:r>
        <w:t xml:space="preserve">a </w:t>
      </w:r>
      <w:r w:rsidR="0095128F">
        <w:t>2021-2027</w:t>
      </w:r>
      <w:r w:rsidRPr="006B6D61">
        <w:t xml:space="preserve"> </w:t>
      </w:r>
      <w:r w:rsidR="002C15BC">
        <w:br/>
      </w:r>
      <w:r w:rsidR="00CB2C8B">
        <w:t>na</w:t>
      </w:r>
      <w:r w:rsidRPr="006B6D61">
        <w:t xml:space="preserve"> Platební</w:t>
      </w:r>
      <w:r w:rsidR="00BE0C78">
        <w:t>m</w:t>
      </w:r>
      <w:r w:rsidRPr="006B6D61">
        <w:t xml:space="preserve"> a certifikační</w:t>
      </w:r>
      <w:r w:rsidR="009F4AEF">
        <w:t>m</w:t>
      </w:r>
      <w:r w:rsidRPr="006B6D61">
        <w:t xml:space="preserve"> orgánu (odbor Národního fondu MF) </w:t>
      </w:r>
      <w:r w:rsidR="004E3380">
        <w:t>vyžádány</w:t>
      </w:r>
      <w:r w:rsidRPr="006B6D61">
        <w:t xml:space="preserve"> prostředky v</w:t>
      </w:r>
      <w:r w:rsidR="004E3380">
        <w:t> </w:t>
      </w:r>
      <w:r w:rsidRPr="006B6D61">
        <w:t xml:space="preserve">souhrnné výši </w:t>
      </w:r>
      <w:r w:rsidR="00365AB8" w:rsidRPr="006B6D61">
        <w:t>28 322 214</w:t>
      </w:r>
      <w:r w:rsidRPr="006B6D61">
        <w:t xml:space="preserve"> tis. Kč</w:t>
      </w:r>
      <w:r w:rsidR="004D33EA">
        <w:t>, přičemž částka</w:t>
      </w:r>
      <w:r w:rsidR="004E3380">
        <w:t xml:space="preserve"> v souhrnné výši 22 315 872 tis. </w:t>
      </w:r>
      <w:r w:rsidR="004D33EA">
        <w:t xml:space="preserve">Kč byla zpět refundována do kapitoly MD. Celkově od počátku implementace </w:t>
      </w:r>
      <w:r w:rsidR="00342B9F">
        <w:t>bylo z Národního fondu refundováno 114 066 582 tis. Kč.</w:t>
      </w:r>
    </w:p>
    <w:p w14:paraId="247BAB9B" w14:textId="1184F2B2" w:rsidR="00482E9B" w:rsidRPr="002F1BE7" w:rsidRDefault="00D16E3E" w:rsidP="003F0A7C">
      <w:pPr>
        <w:pStyle w:val="KOMtext"/>
        <w:rPr>
          <w:color w:val="FF0000"/>
        </w:rPr>
      </w:pPr>
      <w:r w:rsidRPr="006B6D61">
        <w:rPr>
          <w:i/>
        </w:rPr>
        <w:t xml:space="preserve">Plnění </w:t>
      </w:r>
      <w:r w:rsidR="00FC5435" w:rsidRPr="006B6D61">
        <w:rPr>
          <w:i/>
        </w:rPr>
        <w:t>příjmů z rozpočtu EU za rok 202</w:t>
      </w:r>
      <w:r w:rsidR="00F61CD5" w:rsidRPr="006B6D61">
        <w:rPr>
          <w:i/>
        </w:rPr>
        <w:t>3</w:t>
      </w:r>
      <w:r w:rsidR="00FC5435" w:rsidRPr="006B6D61">
        <w:rPr>
          <w:i/>
        </w:rPr>
        <w:t xml:space="preserve"> (</w:t>
      </w:r>
      <w:r w:rsidR="00F61CD5" w:rsidRPr="006B6D61">
        <w:rPr>
          <w:i/>
        </w:rPr>
        <w:t>50 329 163</w:t>
      </w:r>
      <w:r w:rsidRPr="006B6D61">
        <w:rPr>
          <w:i/>
        </w:rPr>
        <w:t xml:space="preserve"> tis. Kč) je oproti stejnému období roku </w:t>
      </w:r>
      <w:r w:rsidR="00FC5435" w:rsidRPr="006B6D61">
        <w:rPr>
          <w:i/>
        </w:rPr>
        <w:t>202</w:t>
      </w:r>
      <w:r w:rsidR="00F266B2" w:rsidRPr="006B6D61">
        <w:rPr>
          <w:i/>
        </w:rPr>
        <w:t>2</w:t>
      </w:r>
      <w:r w:rsidRPr="006B6D61">
        <w:rPr>
          <w:i/>
        </w:rPr>
        <w:t xml:space="preserve"> (</w:t>
      </w:r>
      <w:r w:rsidR="00F266B2" w:rsidRPr="006B6D61">
        <w:rPr>
          <w:i/>
        </w:rPr>
        <w:t>20 730 438</w:t>
      </w:r>
      <w:r w:rsidRPr="006B6D61">
        <w:rPr>
          <w:i/>
        </w:rPr>
        <w:t xml:space="preserve"> tis. Kč) </w:t>
      </w:r>
      <w:r w:rsidR="00FC5435" w:rsidRPr="006B6D61">
        <w:rPr>
          <w:i/>
        </w:rPr>
        <w:t xml:space="preserve">vyšší o </w:t>
      </w:r>
      <w:r w:rsidR="007A4737" w:rsidRPr="006B6D61">
        <w:rPr>
          <w:i/>
        </w:rPr>
        <w:t>29 598 726</w:t>
      </w:r>
      <w:r w:rsidRPr="006B6D61">
        <w:rPr>
          <w:i/>
        </w:rPr>
        <w:t xml:space="preserve"> tis. Kč, tj. </w:t>
      </w:r>
      <w:r w:rsidR="00FC5435" w:rsidRPr="006B6D61">
        <w:rPr>
          <w:i/>
        </w:rPr>
        <w:t xml:space="preserve">index </w:t>
      </w:r>
      <w:r w:rsidR="00633FED" w:rsidRPr="006B6D61">
        <w:rPr>
          <w:i/>
        </w:rPr>
        <w:t>242,</w:t>
      </w:r>
      <w:r w:rsidR="00CA2C7E" w:rsidRPr="006B6D61">
        <w:rPr>
          <w:i/>
        </w:rPr>
        <w:t>8</w:t>
      </w:r>
      <w:r w:rsidRPr="006B6D61">
        <w:rPr>
          <w:i/>
        </w:rPr>
        <w:t xml:space="preserve"> %. Důvodem </w:t>
      </w:r>
      <w:r w:rsidR="00C51056" w:rsidRPr="006B6D61">
        <w:rPr>
          <w:i/>
        </w:rPr>
        <w:t>vyšších</w:t>
      </w:r>
      <w:r w:rsidRPr="006B6D61">
        <w:rPr>
          <w:i/>
        </w:rPr>
        <w:t xml:space="preserve"> příjmů </w:t>
      </w:r>
      <w:r w:rsidR="004F59A9" w:rsidRPr="006B6D61">
        <w:rPr>
          <w:i/>
        </w:rPr>
        <w:br/>
      </w:r>
      <w:r w:rsidRPr="006B6D61">
        <w:rPr>
          <w:i/>
        </w:rPr>
        <w:t xml:space="preserve">z rozpočtu EU v roce </w:t>
      </w:r>
      <w:r w:rsidR="00C51056" w:rsidRPr="006B6D61">
        <w:rPr>
          <w:i/>
        </w:rPr>
        <w:t>202</w:t>
      </w:r>
      <w:r w:rsidR="00CA2C7E" w:rsidRPr="006B6D61">
        <w:rPr>
          <w:i/>
        </w:rPr>
        <w:t>3</w:t>
      </w:r>
      <w:r w:rsidR="00C51056" w:rsidRPr="006B6D61">
        <w:rPr>
          <w:i/>
        </w:rPr>
        <w:t xml:space="preserve"> </w:t>
      </w:r>
      <w:r w:rsidRPr="006B6D61">
        <w:rPr>
          <w:i/>
        </w:rPr>
        <w:t xml:space="preserve">oproti roku </w:t>
      </w:r>
      <w:r w:rsidR="00C51056" w:rsidRPr="006B6D61">
        <w:rPr>
          <w:i/>
        </w:rPr>
        <w:t>202</w:t>
      </w:r>
      <w:r w:rsidR="00CA2C7E" w:rsidRPr="006B6D61">
        <w:rPr>
          <w:i/>
        </w:rPr>
        <w:t>2</w:t>
      </w:r>
      <w:r w:rsidRPr="006B6D61">
        <w:rPr>
          <w:i/>
        </w:rPr>
        <w:t xml:space="preserve"> jsou především </w:t>
      </w:r>
      <w:r w:rsidR="00C51056" w:rsidRPr="006B6D61">
        <w:rPr>
          <w:i/>
        </w:rPr>
        <w:t>nové</w:t>
      </w:r>
      <w:r w:rsidRPr="006B6D61">
        <w:rPr>
          <w:i/>
        </w:rPr>
        <w:t xml:space="preserve"> příjmy v rámci </w:t>
      </w:r>
      <w:r w:rsidR="00C51056" w:rsidRPr="006B6D61">
        <w:rPr>
          <w:i/>
        </w:rPr>
        <w:t>N</w:t>
      </w:r>
      <w:r w:rsidR="00796840" w:rsidRPr="006B6D61">
        <w:rPr>
          <w:i/>
        </w:rPr>
        <w:t xml:space="preserve">árodního </w:t>
      </w:r>
      <w:r w:rsidR="0013420F">
        <w:rPr>
          <w:i/>
        </w:rPr>
        <w:t>plán</w:t>
      </w:r>
      <w:r w:rsidR="0025605E" w:rsidRPr="006B6D61">
        <w:rPr>
          <w:i/>
        </w:rPr>
        <w:t>u obnovy</w:t>
      </w:r>
      <w:r w:rsidR="0025605E">
        <w:rPr>
          <w:i/>
          <w:color w:val="FF0000"/>
        </w:rPr>
        <w:t xml:space="preserve"> </w:t>
      </w:r>
      <w:r w:rsidR="00867744" w:rsidRPr="006B6D61">
        <w:rPr>
          <w:i/>
        </w:rPr>
        <w:t xml:space="preserve">– Udržitelná a bezpečná doprava </w:t>
      </w:r>
      <w:r w:rsidR="004D7CA1" w:rsidRPr="006B6D61">
        <w:rPr>
          <w:i/>
        </w:rPr>
        <w:t xml:space="preserve">a vyšší příjmy u </w:t>
      </w:r>
      <w:r w:rsidR="00D11BF3" w:rsidRPr="006B6D61">
        <w:rPr>
          <w:i/>
        </w:rPr>
        <w:t>Operačního programu Doprava.</w:t>
      </w:r>
      <w:r w:rsidR="00662AD0">
        <w:rPr>
          <w:rStyle w:val="Znakapoznpodarou"/>
          <w:i/>
        </w:rPr>
        <w:footnoteReference w:id="2"/>
      </w:r>
    </w:p>
    <w:p w14:paraId="260A4E70" w14:textId="2345FE7C" w:rsidR="00041405" w:rsidRPr="006B6D61" w:rsidRDefault="00041405" w:rsidP="008A0E44">
      <w:pPr>
        <w:pStyle w:val="KOMnadp4"/>
      </w:pPr>
      <w:bookmarkStart w:id="34" w:name="_Toc126669161"/>
      <w:r w:rsidRPr="006B6D61">
        <w:t>Ostatní nedaňové příjmy, kapitálové příjmy a přijaté transfery celkem</w:t>
      </w:r>
      <w:bookmarkEnd w:id="34"/>
    </w:p>
    <w:p w14:paraId="1556586F" w14:textId="44F46E78" w:rsidR="00C50A5D" w:rsidRPr="002F1BE7" w:rsidRDefault="00C50A5D" w:rsidP="003F0A7C">
      <w:pPr>
        <w:pStyle w:val="KOMtext"/>
        <w:rPr>
          <w:b/>
          <w:color w:val="FF0000"/>
        </w:rPr>
      </w:pPr>
      <w:r w:rsidRPr="006B6D61">
        <w:t xml:space="preserve">Nedaňové příjmy organizačních složek státu rozpočtované ve výši </w:t>
      </w:r>
      <w:r w:rsidR="008660FB" w:rsidRPr="006B6D61">
        <w:t>82 000</w:t>
      </w:r>
      <w:r w:rsidRPr="006B6D61">
        <w:t xml:space="preserve"> tis. Kč byly naplněny ve výši </w:t>
      </w:r>
      <w:r w:rsidR="002510AC">
        <w:t>197</w:t>
      </w:r>
      <w:r w:rsidR="00171463">
        <w:t xml:space="preserve"> </w:t>
      </w:r>
      <w:r w:rsidR="00AB004B">
        <w:t>422</w:t>
      </w:r>
      <w:r w:rsidRPr="006B6D61">
        <w:t xml:space="preserve"> tis. Kč, tj. plnění ve výši </w:t>
      </w:r>
      <w:r w:rsidR="00AB004B" w:rsidRPr="006B6D61">
        <w:t>240,8</w:t>
      </w:r>
      <w:r w:rsidRPr="006B6D61">
        <w:t xml:space="preserve"> %.</w:t>
      </w:r>
    </w:p>
    <w:p w14:paraId="2C8B5239" w14:textId="37D7789A" w:rsidR="00C50A5D" w:rsidRPr="002F1BE7" w:rsidRDefault="00C50A5D" w:rsidP="003F0A7C">
      <w:pPr>
        <w:pStyle w:val="KOMtext"/>
        <w:rPr>
          <w:b/>
          <w:color w:val="FF0000"/>
        </w:rPr>
      </w:pPr>
      <w:r w:rsidRPr="006B6D61">
        <w:t>Na plnění příjmů z vlastní činnosti, příjmů z pronájmu majetku a také nerozpočtovaných příjmů (tj. přijaté náhrady, dobropisy, vratky, pojistné náhrady atd.) ve výši</w:t>
      </w:r>
      <w:r w:rsidR="00731927" w:rsidRPr="006B6D61">
        <w:t xml:space="preserve"> </w:t>
      </w:r>
      <w:r w:rsidR="000B18F1" w:rsidRPr="006B6D61">
        <w:t>157 7</w:t>
      </w:r>
      <w:r w:rsidR="00CF7E14">
        <w:t>51</w:t>
      </w:r>
      <w:r w:rsidRPr="006B6D61">
        <w:t xml:space="preserve"> tis. Kč se podílel ústřední orgán MD objemem</w:t>
      </w:r>
      <w:r w:rsidR="00731927" w:rsidRPr="006B6D61">
        <w:t xml:space="preserve"> 8</w:t>
      </w:r>
      <w:r w:rsidR="006E77A9" w:rsidRPr="006B6D61">
        <w:t>3 884</w:t>
      </w:r>
      <w:r w:rsidR="002A0E5C" w:rsidRPr="006B6D61">
        <w:t xml:space="preserve"> tis. Kč</w:t>
      </w:r>
      <w:r w:rsidRPr="006B6D61">
        <w:t xml:space="preserve"> (</w:t>
      </w:r>
      <w:r w:rsidR="00BB5161" w:rsidRPr="00BB5161">
        <w:t>zejména příjmy z pronájmu nebo pachtu ostatních nemovitých věcí</w:t>
      </w:r>
      <w:r w:rsidRPr="006B6D61">
        <w:t xml:space="preserve">), </w:t>
      </w:r>
      <w:r w:rsidR="002A0E5C" w:rsidRPr="006B6D61">
        <w:t>Úřad pro civilní letectví částkou 5</w:t>
      </w:r>
      <w:r w:rsidR="00097DCC" w:rsidRPr="006B6D61">
        <w:t>5 756</w:t>
      </w:r>
      <w:r w:rsidR="002A0E5C" w:rsidRPr="006B6D61">
        <w:t xml:space="preserve"> tis. Kč (zejména příjmy z poskytovaných služeb, atd.)</w:t>
      </w:r>
      <w:r w:rsidR="00EA2979" w:rsidRPr="006B6D61">
        <w:t>,</w:t>
      </w:r>
      <w:r w:rsidR="002A0E5C" w:rsidRPr="006B6D61">
        <w:t xml:space="preserve"> </w:t>
      </w:r>
      <w:r w:rsidRPr="006B6D61">
        <w:t xml:space="preserve">Ředitelství vodních cest ČR </w:t>
      </w:r>
      <w:r w:rsidR="002A0E5C" w:rsidRPr="006B6D61">
        <w:t>1</w:t>
      </w:r>
      <w:r w:rsidR="00A744EA" w:rsidRPr="006B6D61">
        <w:t>7 254</w:t>
      </w:r>
      <w:r w:rsidRPr="006B6D61">
        <w:t xml:space="preserve"> tis. Kč</w:t>
      </w:r>
      <w:r w:rsidRPr="0077128B">
        <w:rPr>
          <w:color w:val="FF0000"/>
        </w:rPr>
        <w:t xml:space="preserve"> </w:t>
      </w:r>
      <w:r w:rsidRPr="006B6D61">
        <w:t>(zejména příjmy z</w:t>
      </w:r>
      <w:r w:rsidR="002C0999" w:rsidRPr="006B6D61">
        <w:t> </w:t>
      </w:r>
      <w:r w:rsidRPr="006B6D61">
        <w:t>pronájmu</w:t>
      </w:r>
      <w:r w:rsidR="002C0999" w:rsidRPr="006B6D61">
        <w:t xml:space="preserve"> nebo pachtu</w:t>
      </w:r>
      <w:r w:rsidRPr="006B6D61">
        <w:t xml:space="preserve"> ostatních nemovitých věcí), Drážní úřad </w:t>
      </w:r>
      <w:r w:rsidR="00081439" w:rsidRPr="006B6D61">
        <w:t>286</w:t>
      </w:r>
      <w:r w:rsidRPr="006B6D61">
        <w:t xml:space="preserve"> tis. Kč, Státní plavební správa</w:t>
      </w:r>
      <w:r w:rsidR="002A0E5C" w:rsidRPr="006B6D61">
        <w:t xml:space="preserve"> </w:t>
      </w:r>
      <w:r w:rsidR="00B653C7" w:rsidRPr="006B6D61">
        <w:t>389</w:t>
      </w:r>
      <w:r w:rsidRPr="006B6D61">
        <w:t xml:space="preserve"> tis. Kč,</w:t>
      </w:r>
      <w:r w:rsidR="002A0E5C" w:rsidRPr="006B6D61">
        <w:t xml:space="preserve"> Drážní inspekce </w:t>
      </w:r>
      <w:r w:rsidR="00745189">
        <w:t>54</w:t>
      </w:r>
      <w:r w:rsidR="002A0E5C" w:rsidRPr="006B6D61">
        <w:t xml:space="preserve"> tis. Kč a</w:t>
      </w:r>
      <w:r w:rsidRPr="006B6D61">
        <w:t xml:space="preserve"> Ústav pro zjišťování příčin leteckých nehod </w:t>
      </w:r>
      <w:r w:rsidR="00BB5161">
        <w:br/>
      </w:r>
      <w:r w:rsidR="004F3AB3" w:rsidRPr="006B6D61">
        <w:t>128</w:t>
      </w:r>
      <w:r w:rsidR="002A0E5C" w:rsidRPr="006B6D61">
        <w:t xml:space="preserve"> tis. Kč.</w:t>
      </w:r>
    </w:p>
    <w:p w14:paraId="77DE1B83" w14:textId="603A7C6B" w:rsidR="00C50A5D" w:rsidRPr="006B6D61" w:rsidRDefault="00C50A5D" w:rsidP="003F0A7C">
      <w:pPr>
        <w:pStyle w:val="KOMtext"/>
        <w:rPr>
          <w:b/>
        </w:rPr>
      </w:pPr>
      <w:r w:rsidRPr="006B6D61">
        <w:t xml:space="preserve">Část nedaňových příjmů ústředního orgánu MD byla rovněž tvořena příjmem z prodeje vyřazených registračních značek ve výši </w:t>
      </w:r>
      <w:r w:rsidR="00B86C9D" w:rsidRPr="006B6D61">
        <w:t xml:space="preserve">3 </w:t>
      </w:r>
      <w:r w:rsidR="009C4F17" w:rsidRPr="006B6D61">
        <w:t>078</w:t>
      </w:r>
      <w:r w:rsidRPr="006B6D61">
        <w:t xml:space="preserve"> tis. Kč.</w:t>
      </w:r>
    </w:p>
    <w:p w14:paraId="1ED26362" w14:textId="75063DBE" w:rsidR="00C50A5D" w:rsidRPr="006B6D61" w:rsidRDefault="00C50A5D" w:rsidP="003F0A7C">
      <w:pPr>
        <w:pStyle w:val="KOMtext"/>
      </w:pPr>
      <w:r w:rsidRPr="006B6D61">
        <w:t>Ostatní odvody příspěvkových organizací činily v hodnoceném období</w:t>
      </w:r>
      <w:r w:rsidR="004D3A60" w:rsidRPr="006B6D61">
        <w:t xml:space="preserve"> </w:t>
      </w:r>
      <w:r w:rsidR="0045495A" w:rsidRPr="006B6D61">
        <w:t>31 915</w:t>
      </w:r>
      <w:r w:rsidRPr="006B6D61">
        <w:t xml:space="preserve"> tis. Kč, přičemž se na nich podílelo </w:t>
      </w:r>
      <w:r w:rsidR="00984DB3" w:rsidRPr="006B6D61">
        <w:t>v</w:t>
      </w:r>
      <w:r w:rsidR="000F1985" w:rsidRPr="006B6D61">
        <w:t>e</w:t>
      </w:r>
      <w:r w:rsidR="00984DB3" w:rsidRPr="006B6D61">
        <w:t xml:space="preserve"> výši </w:t>
      </w:r>
      <w:r w:rsidR="001E6CED" w:rsidRPr="006B6D61">
        <w:t>31 914</w:t>
      </w:r>
      <w:r w:rsidR="00984DB3" w:rsidRPr="006B6D61">
        <w:t xml:space="preserve"> </w:t>
      </w:r>
      <w:r w:rsidR="005A319E">
        <w:t xml:space="preserve">tis. Kč </w:t>
      </w:r>
      <w:r w:rsidRPr="006B6D61">
        <w:t>Ředitelství silnic a dálnic ČR za</w:t>
      </w:r>
      <w:r w:rsidRPr="0077128B">
        <w:rPr>
          <w:color w:val="FF0000"/>
        </w:rPr>
        <w:t xml:space="preserve"> </w:t>
      </w:r>
      <w:r w:rsidRPr="006B6D61">
        <w:t>směnu nemovitého majetku</w:t>
      </w:r>
      <w:r w:rsidR="001E6CED" w:rsidRPr="006B6D61">
        <w:t xml:space="preserve"> a Centrum služeb </w:t>
      </w:r>
      <w:r w:rsidR="005A319E" w:rsidRPr="006B6D61">
        <w:t>pro silniční dopravu ve výši 1 tis. Kč</w:t>
      </w:r>
      <w:r w:rsidRPr="006B6D61">
        <w:t xml:space="preserve">. Jde o nerozpočtované příjmy </w:t>
      </w:r>
      <w:r w:rsidR="00C63244">
        <w:br/>
      </w:r>
      <w:r w:rsidRPr="006B6D61">
        <w:t>v rámci ústředního orgánu MD.</w:t>
      </w:r>
    </w:p>
    <w:p w14:paraId="698DF0D4" w14:textId="2A1ED578" w:rsidR="00C50A5D" w:rsidRPr="006B6D61" w:rsidRDefault="00C50A5D" w:rsidP="003F0A7C">
      <w:pPr>
        <w:pStyle w:val="KOMtext"/>
      </w:pPr>
      <w:r w:rsidRPr="006B6D61">
        <w:t xml:space="preserve">Ostatní odvody přebytků organizací s přímým vztahem nebyly s ohledem na pandemii </w:t>
      </w:r>
      <w:r w:rsidR="004F59A9" w:rsidRPr="006B6D61">
        <w:br/>
      </w:r>
      <w:r w:rsidR="00573FEA" w:rsidRPr="006B6D61">
        <w:t>COVID-19 v roce 202</w:t>
      </w:r>
      <w:r w:rsidR="004417D2">
        <w:t>3</w:t>
      </w:r>
      <w:r w:rsidRPr="006B6D61">
        <w:t xml:space="preserve"> realizovány.</w:t>
      </w:r>
    </w:p>
    <w:p w14:paraId="59ED7A60" w14:textId="61AB7DCF" w:rsidR="00C50A5D" w:rsidRPr="002F1BE7" w:rsidRDefault="00C50A5D" w:rsidP="003F0A7C">
      <w:pPr>
        <w:pStyle w:val="KOMtext"/>
        <w:rPr>
          <w:b/>
          <w:color w:val="FF0000"/>
        </w:rPr>
      </w:pPr>
      <w:r w:rsidRPr="006B6D61">
        <w:lastRenderedPageBreak/>
        <w:t>Přijaté sankční platby jsou za rok 202</w:t>
      </w:r>
      <w:r w:rsidR="00462EEB" w:rsidRPr="006B6D61">
        <w:t>3</w:t>
      </w:r>
      <w:r w:rsidRPr="006B6D61">
        <w:t xml:space="preserve"> evidovány v celkové výši </w:t>
      </w:r>
      <w:r w:rsidR="00731927" w:rsidRPr="006B6D61">
        <w:t xml:space="preserve">4 </w:t>
      </w:r>
      <w:r w:rsidR="009546BF" w:rsidRPr="006B6D61">
        <w:t>678</w:t>
      </w:r>
      <w:r w:rsidRPr="006B6D61">
        <w:t xml:space="preserve"> tis. Kč. Na přijatých pokutách ze správního řízení se podílejí Úřad pro civilní letectví </w:t>
      </w:r>
      <w:r w:rsidR="00540832" w:rsidRPr="006B6D61">
        <w:t>1 3</w:t>
      </w:r>
      <w:r w:rsidR="00FF486E" w:rsidRPr="006B6D61">
        <w:t>88</w:t>
      </w:r>
      <w:r w:rsidRPr="006B6D61">
        <w:t xml:space="preserve"> tis. Kč, ústřední orgán MD </w:t>
      </w:r>
      <w:r w:rsidR="00FF486E" w:rsidRPr="006B6D61">
        <w:t>740</w:t>
      </w:r>
      <w:r w:rsidRPr="006B6D61">
        <w:t xml:space="preserve"> tis. Kč a Drážní úřad </w:t>
      </w:r>
      <w:r w:rsidR="00FF486E" w:rsidRPr="006B6D61">
        <w:t>278</w:t>
      </w:r>
      <w:r w:rsidRPr="006B6D61">
        <w:t xml:space="preserve"> tis. Kč. Ostatní sankční platby přijal ústřední orgán MD ve výši </w:t>
      </w:r>
      <w:r w:rsidR="0042107E" w:rsidRPr="006B6D61">
        <w:t>939</w:t>
      </w:r>
      <w:r w:rsidRPr="006B6D61">
        <w:t xml:space="preserve"> tis. Kč</w:t>
      </w:r>
      <w:r w:rsidR="005D3B84" w:rsidRPr="006B6D61">
        <w:t>,</w:t>
      </w:r>
      <w:r w:rsidRPr="006B6D61">
        <w:t xml:space="preserve"> Ředitelství vodních cest ČR ve výši </w:t>
      </w:r>
      <w:r w:rsidR="00A4179A" w:rsidRPr="006B6D61">
        <w:t>1 285</w:t>
      </w:r>
      <w:r w:rsidRPr="006B6D61">
        <w:t xml:space="preserve"> tis. Kč</w:t>
      </w:r>
      <w:r w:rsidR="00695166">
        <w:t>,</w:t>
      </w:r>
      <w:r w:rsidR="005D3B84" w:rsidRPr="006B6D61">
        <w:t xml:space="preserve"> </w:t>
      </w:r>
      <w:r w:rsidR="00581381">
        <w:t xml:space="preserve">Státní plavební správa 30 tis. Kč </w:t>
      </w:r>
      <w:r w:rsidR="00581381">
        <w:br/>
        <w:t xml:space="preserve">a </w:t>
      </w:r>
      <w:r w:rsidR="00581381" w:rsidRPr="00B26B91">
        <w:t>Drážní inspekce 18 tis. Kč</w:t>
      </w:r>
      <w:r w:rsidR="00581381">
        <w:t>.</w:t>
      </w:r>
    </w:p>
    <w:p w14:paraId="067CACB0" w14:textId="0B065AA0" w:rsidR="00C50A5D" w:rsidRPr="006B6D61" w:rsidRDefault="00C50A5D" w:rsidP="003F0A7C">
      <w:pPr>
        <w:pStyle w:val="KOMtext"/>
        <w:rPr>
          <w:b/>
        </w:rPr>
      </w:pPr>
      <w:r w:rsidRPr="006B6D61">
        <w:rPr>
          <w:b/>
        </w:rPr>
        <w:t>Kapitálové příjmy</w:t>
      </w:r>
      <w:r w:rsidRPr="006B6D61">
        <w:t xml:space="preserve"> dosáhly za hodnocené období výše</w:t>
      </w:r>
      <w:r w:rsidR="004D3A60" w:rsidRPr="006B6D61">
        <w:t xml:space="preserve"> </w:t>
      </w:r>
      <w:r w:rsidR="003E269E" w:rsidRPr="006B6D61">
        <w:t>65</w:t>
      </w:r>
      <w:r w:rsidRPr="006B6D61">
        <w:t xml:space="preserve"> tis. Kč.</w:t>
      </w:r>
    </w:p>
    <w:p w14:paraId="77F9A06B" w14:textId="669F139C" w:rsidR="00C50A5D" w:rsidRPr="006B6D61" w:rsidRDefault="00C50A5D" w:rsidP="003F0A7C">
      <w:pPr>
        <w:pStyle w:val="KOMtext"/>
      </w:pPr>
      <w:r w:rsidRPr="006B6D61">
        <w:rPr>
          <w:b/>
        </w:rPr>
        <w:t>Převody z ostatních vlastních fondů</w:t>
      </w:r>
      <w:r w:rsidRPr="006B6D61">
        <w:t xml:space="preserve"> za </w:t>
      </w:r>
      <w:r w:rsidR="00141531" w:rsidRPr="006B6D61">
        <w:t>rok 202</w:t>
      </w:r>
      <w:r w:rsidR="009C6BA4" w:rsidRPr="006B6D61">
        <w:t>3</w:t>
      </w:r>
      <w:r w:rsidR="00141531" w:rsidRPr="006B6D61">
        <w:t xml:space="preserve"> činí </w:t>
      </w:r>
      <w:r w:rsidR="009C6BA4" w:rsidRPr="006B6D61">
        <w:t>523</w:t>
      </w:r>
      <w:r w:rsidR="00141531" w:rsidRPr="006B6D61">
        <w:t xml:space="preserve"> </w:t>
      </w:r>
      <w:r w:rsidRPr="006B6D61">
        <w:t xml:space="preserve">tis. Kč. </w:t>
      </w:r>
    </w:p>
    <w:p w14:paraId="222D4E5C" w14:textId="68753EC6" w:rsidR="00C50A5D" w:rsidRPr="006B6D61" w:rsidRDefault="00C50A5D" w:rsidP="006B6D61">
      <w:pPr>
        <w:pStyle w:val="KOMtext"/>
      </w:pPr>
      <w:r w:rsidRPr="006B6D61">
        <w:rPr>
          <w:b/>
        </w:rPr>
        <w:t xml:space="preserve">Převody z rezervních fondů </w:t>
      </w:r>
      <w:r w:rsidRPr="006B6D61">
        <w:t>organizačních složek státu čin</w:t>
      </w:r>
      <w:r w:rsidR="00C55E9E">
        <w:t>il</w:t>
      </w:r>
      <w:r w:rsidR="00785855">
        <w:rPr>
          <w:rStyle w:val="Znakapoznpodarou"/>
        </w:rPr>
        <w:footnoteReference w:id="3"/>
      </w:r>
      <w:r w:rsidR="00C55E9E">
        <w:t xml:space="preserve"> </w:t>
      </w:r>
      <w:r w:rsidR="00296C4D" w:rsidRPr="006B6D61">
        <w:t>3 726</w:t>
      </w:r>
      <w:r w:rsidRPr="006B6D61">
        <w:t xml:space="preserve"> tis. Kč </w:t>
      </w:r>
      <w:r w:rsidR="00EA66C5">
        <w:br/>
      </w:r>
      <w:r w:rsidRPr="006B6D61">
        <w:t>z prostředků Fondu zábrany škod</w:t>
      </w:r>
      <w:r w:rsidR="00C55E9E">
        <w:t>.</w:t>
      </w:r>
    </w:p>
    <w:p w14:paraId="4BD16407" w14:textId="641BFC11" w:rsidR="00C50A5D" w:rsidRPr="002F1BE7" w:rsidRDefault="00C50A5D" w:rsidP="003F0A7C">
      <w:pPr>
        <w:pStyle w:val="KOMtext"/>
        <w:rPr>
          <w:b/>
          <w:color w:val="FF0000"/>
        </w:rPr>
      </w:pPr>
      <w:r w:rsidRPr="006B6D61">
        <w:t xml:space="preserve">Specifický ukazatel „Ostatní nedaňové příjmy, kapitálové příjmy a přijaté transfery celkem“ </w:t>
      </w:r>
      <w:r w:rsidR="0086493C">
        <w:br/>
      </w:r>
      <w:r w:rsidRPr="006B6D61">
        <w:t>ve výši</w:t>
      </w:r>
      <w:r w:rsidR="00215EAB" w:rsidRPr="006B6D61">
        <w:t xml:space="preserve"> </w:t>
      </w:r>
      <w:r w:rsidR="00973934" w:rsidRPr="006B6D61">
        <w:t>201 736</w:t>
      </w:r>
      <w:r w:rsidR="00215EAB" w:rsidRPr="006B6D61">
        <w:t xml:space="preserve"> tis. Kč byl splněn na </w:t>
      </w:r>
      <w:r w:rsidR="00013633" w:rsidRPr="006B6D61">
        <w:t>246,0</w:t>
      </w:r>
      <w:r w:rsidRPr="006B6D61">
        <w:t xml:space="preserve"> %.</w:t>
      </w:r>
    </w:p>
    <w:p w14:paraId="6E1C993F" w14:textId="19326574" w:rsidR="00D63480" w:rsidRPr="0077128B" w:rsidRDefault="00C50A5D" w:rsidP="003F0A7C">
      <w:pPr>
        <w:pStyle w:val="KOMtext"/>
        <w:rPr>
          <w:color w:val="FF0000"/>
        </w:rPr>
      </w:pPr>
      <w:r w:rsidRPr="006B6D61">
        <w:t xml:space="preserve">Plnění ostatních nedaňových a kapitálových příjmů a přijatých transferů za rok </w:t>
      </w:r>
      <w:r w:rsidR="008022ED" w:rsidRPr="006B6D61">
        <w:t>202</w:t>
      </w:r>
      <w:r w:rsidR="005F0D80" w:rsidRPr="006B6D61">
        <w:t>3</w:t>
      </w:r>
      <w:r w:rsidRPr="006B6D61">
        <w:t xml:space="preserve"> </w:t>
      </w:r>
      <w:r w:rsidRPr="006B6D61">
        <w:br/>
      </w:r>
      <w:r w:rsidR="008022ED" w:rsidRPr="006B6D61">
        <w:t>(</w:t>
      </w:r>
      <w:r w:rsidR="0038575D" w:rsidRPr="006B6D61">
        <w:t>201 736</w:t>
      </w:r>
      <w:r w:rsidRPr="006B6D61">
        <w:t xml:space="preserve"> tis. Kč) je </w:t>
      </w:r>
      <w:r w:rsidR="008022ED" w:rsidRPr="006B6D61">
        <w:t>oproti stejnému období roku 202</w:t>
      </w:r>
      <w:r w:rsidR="0038575D" w:rsidRPr="006B6D61">
        <w:t>2</w:t>
      </w:r>
      <w:r w:rsidRPr="006B6D61">
        <w:t xml:space="preserve"> </w:t>
      </w:r>
      <w:r w:rsidR="008022ED" w:rsidRPr="006B6D61">
        <w:t>(</w:t>
      </w:r>
      <w:r w:rsidR="0038575D" w:rsidRPr="006B6D61">
        <w:t>189 317</w:t>
      </w:r>
      <w:r w:rsidR="008022ED" w:rsidRPr="006B6D61">
        <w:t xml:space="preserve"> </w:t>
      </w:r>
      <w:r w:rsidRPr="006B6D61">
        <w:t>tis. Kč)</w:t>
      </w:r>
      <w:r w:rsidR="008022ED" w:rsidRPr="006B6D61">
        <w:rPr>
          <w:b/>
        </w:rPr>
        <w:t xml:space="preserve"> </w:t>
      </w:r>
      <w:r w:rsidR="008022ED" w:rsidRPr="006B6D61">
        <w:t>vyšší</w:t>
      </w:r>
      <w:r w:rsidRPr="006B6D61">
        <w:t xml:space="preserve"> </w:t>
      </w:r>
      <w:r w:rsidR="008022ED" w:rsidRPr="006B6D61">
        <w:t xml:space="preserve">o </w:t>
      </w:r>
      <w:r w:rsidR="00170544" w:rsidRPr="006B6D61">
        <w:t>12 419</w:t>
      </w:r>
      <w:r w:rsidRPr="006B6D61">
        <w:t xml:space="preserve"> tis. Kč, </w:t>
      </w:r>
      <w:r w:rsidR="001A6E16">
        <w:br/>
      </w:r>
      <w:r w:rsidRPr="006B6D61">
        <w:t xml:space="preserve">tj. index </w:t>
      </w:r>
      <w:r w:rsidR="00AF2C55" w:rsidRPr="006B6D61">
        <w:t>106,6</w:t>
      </w:r>
      <w:r w:rsidRPr="006B6D61">
        <w:t xml:space="preserve"> %</w:t>
      </w:r>
      <w:r w:rsidR="00AF2C55" w:rsidRPr="006B6D61">
        <w:t>.</w:t>
      </w:r>
      <w:r w:rsidRPr="006B6D61">
        <w:t xml:space="preserve"> </w:t>
      </w:r>
    </w:p>
    <w:p w14:paraId="1C5097D9" w14:textId="78E01432" w:rsidR="005A4319" w:rsidRPr="0077128B" w:rsidRDefault="005A4319" w:rsidP="008A0E44">
      <w:pPr>
        <w:pStyle w:val="KOMnadp4"/>
        <w:rPr>
          <w:color w:val="FF0000"/>
        </w:rPr>
      </w:pPr>
      <w:r w:rsidRPr="006B6D61">
        <w:t>Porovnání jednotlivých druhů příjmů dosažených v roce 202</w:t>
      </w:r>
      <w:r w:rsidR="00222A67" w:rsidRPr="006B6D61">
        <w:t>3</w:t>
      </w:r>
      <w:r w:rsidRPr="006B6D61">
        <w:t xml:space="preserve"> s rokem 202</w:t>
      </w:r>
      <w:r w:rsidR="00222A67" w:rsidRPr="006B6D61">
        <w:t>2</w:t>
      </w:r>
    </w:p>
    <w:tbl>
      <w:tblPr>
        <w:tblW w:w="0" w:type="auto"/>
        <w:tblInd w:w="-5" w:type="dxa"/>
        <w:tblLayout w:type="fixed"/>
        <w:tblCellMar>
          <w:left w:w="70" w:type="dxa"/>
          <w:right w:w="70" w:type="dxa"/>
        </w:tblCellMar>
        <w:tblLook w:val="04A0" w:firstRow="1" w:lastRow="0" w:firstColumn="1" w:lastColumn="0" w:noHBand="0" w:noVBand="1"/>
      </w:tblPr>
      <w:tblGrid>
        <w:gridCol w:w="185"/>
        <w:gridCol w:w="2225"/>
        <w:gridCol w:w="1298"/>
        <w:gridCol w:w="1326"/>
        <w:gridCol w:w="1208"/>
        <w:gridCol w:w="1271"/>
        <w:gridCol w:w="856"/>
        <w:gridCol w:w="698"/>
      </w:tblGrid>
      <w:tr w:rsidR="002F1BE7" w:rsidRPr="002F1BE7" w14:paraId="13678DD2" w14:textId="77777777" w:rsidTr="00BA4E5A">
        <w:trPr>
          <w:trHeight w:val="256"/>
        </w:trPr>
        <w:tc>
          <w:tcPr>
            <w:tcW w:w="9067" w:type="dxa"/>
            <w:gridSpan w:val="8"/>
            <w:shd w:val="clear" w:color="auto" w:fill="auto"/>
            <w:noWrap/>
            <w:vAlign w:val="center"/>
          </w:tcPr>
          <w:p w14:paraId="77FF2CD3" w14:textId="191D4505" w:rsidR="00FB771D" w:rsidRPr="0077128B" w:rsidRDefault="00FB771D" w:rsidP="00BA4E5A">
            <w:pPr>
              <w:spacing w:after="0"/>
              <w:jc w:val="right"/>
              <w:rPr>
                <w:rFonts w:cstheme="minorHAnsi"/>
                <w:color w:val="FF0000"/>
              </w:rPr>
            </w:pPr>
            <w:r w:rsidRPr="006B6D61">
              <w:rPr>
                <w:rFonts w:cstheme="minorHAnsi"/>
              </w:rPr>
              <w:t>v tis. Kč</w:t>
            </w:r>
          </w:p>
        </w:tc>
      </w:tr>
      <w:tr w:rsidR="00FB62A4" w:rsidRPr="002F1BE7" w14:paraId="2635E4BC" w14:textId="77777777" w:rsidTr="00DF2BB2">
        <w:trPr>
          <w:trHeight w:val="469"/>
        </w:trPr>
        <w:tc>
          <w:tcPr>
            <w:tcW w:w="2410" w:type="dxa"/>
            <w:gridSpan w:val="2"/>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17C5D4AE" w14:textId="0D4A04C4" w:rsidR="0086434D" w:rsidRPr="006B6D61" w:rsidRDefault="0086434D">
            <w:pPr>
              <w:spacing w:after="0"/>
              <w:jc w:val="center"/>
              <w:rPr>
                <w:rFonts w:cstheme="minorHAnsi"/>
                <w:b/>
              </w:rPr>
            </w:pPr>
            <w:r w:rsidRPr="006B6D61">
              <w:rPr>
                <w:rFonts w:cstheme="minorHAnsi"/>
                <w:b/>
              </w:rPr>
              <w:t>Ukazatel</w:t>
            </w:r>
          </w:p>
        </w:tc>
        <w:tc>
          <w:tcPr>
            <w:tcW w:w="1298" w:type="dxa"/>
            <w:vMerge w:val="restart"/>
            <w:tcBorders>
              <w:top w:val="single" w:sz="4" w:space="0" w:color="000000"/>
              <w:left w:val="nil"/>
              <w:right w:val="single" w:sz="4" w:space="0" w:color="000000"/>
            </w:tcBorders>
            <w:shd w:val="clear" w:color="auto" w:fill="D9D9D9" w:themeFill="background1" w:themeFillShade="D9"/>
            <w:vAlign w:val="center"/>
          </w:tcPr>
          <w:p w14:paraId="56E86E76" w14:textId="77777777" w:rsidR="0086434D" w:rsidRPr="006B6D61" w:rsidRDefault="0086434D">
            <w:pPr>
              <w:spacing w:after="0"/>
              <w:jc w:val="center"/>
              <w:rPr>
                <w:rFonts w:cstheme="minorHAnsi"/>
                <w:b/>
              </w:rPr>
            </w:pPr>
            <w:r w:rsidRPr="006B6D61">
              <w:rPr>
                <w:rFonts w:cstheme="minorHAnsi"/>
                <w:b/>
              </w:rPr>
              <w:t>Skutečnost</w:t>
            </w:r>
          </w:p>
          <w:p w14:paraId="1B7CD315" w14:textId="4773A9DD" w:rsidR="0086434D" w:rsidRPr="006B6D61" w:rsidRDefault="0086434D">
            <w:pPr>
              <w:spacing w:after="0"/>
              <w:jc w:val="center"/>
              <w:rPr>
                <w:rFonts w:cstheme="minorHAnsi"/>
                <w:b/>
              </w:rPr>
            </w:pPr>
            <w:r w:rsidRPr="006B6D61">
              <w:rPr>
                <w:rFonts w:cstheme="minorHAnsi"/>
                <w:b/>
              </w:rPr>
              <w:t>202</w:t>
            </w:r>
            <w:r w:rsidR="00C714DB" w:rsidRPr="006B6D61">
              <w:rPr>
                <w:rFonts w:cstheme="minorHAnsi"/>
                <w:b/>
              </w:rPr>
              <w:t>2</w:t>
            </w:r>
          </w:p>
        </w:tc>
        <w:tc>
          <w:tcPr>
            <w:tcW w:w="2534" w:type="dxa"/>
            <w:gridSpan w:val="2"/>
            <w:tcBorders>
              <w:top w:val="single" w:sz="4" w:space="0" w:color="000000"/>
              <w:left w:val="nil"/>
              <w:bottom w:val="single" w:sz="4" w:space="0" w:color="auto"/>
              <w:right w:val="single" w:sz="4" w:space="0" w:color="000000"/>
            </w:tcBorders>
            <w:shd w:val="clear" w:color="auto" w:fill="D9D9D9" w:themeFill="background1" w:themeFillShade="D9"/>
            <w:vAlign w:val="center"/>
          </w:tcPr>
          <w:p w14:paraId="7491F4D0" w14:textId="3B486C1C" w:rsidR="0086434D" w:rsidRPr="006B6D61" w:rsidRDefault="0086434D">
            <w:pPr>
              <w:spacing w:after="0"/>
              <w:jc w:val="center"/>
              <w:rPr>
                <w:rFonts w:cstheme="minorHAnsi"/>
                <w:b/>
              </w:rPr>
            </w:pPr>
            <w:r w:rsidRPr="006B6D61">
              <w:rPr>
                <w:rFonts w:cstheme="minorHAnsi"/>
                <w:b/>
              </w:rPr>
              <w:t>Rozpočet 202</w:t>
            </w:r>
            <w:r w:rsidR="00C714DB" w:rsidRPr="006B6D61">
              <w:rPr>
                <w:rFonts w:cstheme="minorHAnsi"/>
                <w:b/>
              </w:rPr>
              <w:t>3</w:t>
            </w:r>
          </w:p>
        </w:tc>
        <w:tc>
          <w:tcPr>
            <w:tcW w:w="1271" w:type="dxa"/>
            <w:vMerge w:val="restart"/>
            <w:tcBorders>
              <w:top w:val="single" w:sz="4" w:space="0" w:color="000000"/>
              <w:left w:val="nil"/>
              <w:right w:val="single" w:sz="4" w:space="0" w:color="000000"/>
            </w:tcBorders>
            <w:shd w:val="clear" w:color="auto" w:fill="D9D9D9" w:themeFill="background1" w:themeFillShade="D9"/>
            <w:vAlign w:val="center"/>
          </w:tcPr>
          <w:p w14:paraId="042A89CB" w14:textId="77777777" w:rsidR="0086434D" w:rsidRPr="006B6D61" w:rsidRDefault="0086434D">
            <w:pPr>
              <w:spacing w:after="0"/>
              <w:jc w:val="center"/>
              <w:rPr>
                <w:rFonts w:cstheme="minorHAnsi"/>
                <w:b/>
              </w:rPr>
            </w:pPr>
            <w:r w:rsidRPr="006B6D61">
              <w:rPr>
                <w:rFonts w:cstheme="minorHAnsi"/>
                <w:b/>
              </w:rPr>
              <w:t>Skutečnost</w:t>
            </w:r>
          </w:p>
          <w:p w14:paraId="1E69C7C0" w14:textId="64684C6E" w:rsidR="0086434D" w:rsidRPr="006B6D61" w:rsidRDefault="0086434D">
            <w:pPr>
              <w:spacing w:after="0"/>
              <w:jc w:val="center"/>
              <w:rPr>
                <w:rFonts w:cstheme="minorHAnsi"/>
                <w:b/>
              </w:rPr>
            </w:pPr>
            <w:r w:rsidRPr="006B6D61">
              <w:rPr>
                <w:rFonts w:cstheme="minorHAnsi"/>
                <w:b/>
              </w:rPr>
              <w:t>202</w:t>
            </w:r>
            <w:r w:rsidR="00C714DB" w:rsidRPr="006B6D61">
              <w:rPr>
                <w:rFonts w:cstheme="minorHAnsi"/>
                <w:b/>
              </w:rPr>
              <w:t>3</w:t>
            </w:r>
          </w:p>
        </w:tc>
        <w:tc>
          <w:tcPr>
            <w:tcW w:w="856" w:type="dxa"/>
            <w:vMerge w:val="restart"/>
            <w:tcBorders>
              <w:top w:val="single" w:sz="4" w:space="0" w:color="000000"/>
              <w:left w:val="nil"/>
              <w:right w:val="single" w:sz="4" w:space="0" w:color="auto"/>
            </w:tcBorders>
            <w:shd w:val="clear" w:color="auto" w:fill="D9D9D9" w:themeFill="background1" w:themeFillShade="D9"/>
            <w:vAlign w:val="center"/>
          </w:tcPr>
          <w:p w14:paraId="4CDDB3BC" w14:textId="77777777" w:rsidR="0086434D" w:rsidRPr="006B6D61" w:rsidRDefault="0086434D">
            <w:pPr>
              <w:spacing w:after="0"/>
              <w:jc w:val="center"/>
              <w:rPr>
                <w:rFonts w:cstheme="minorHAnsi"/>
                <w:b/>
              </w:rPr>
            </w:pPr>
            <w:r w:rsidRPr="006B6D61">
              <w:rPr>
                <w:rFonts w:cstheme="minorHAnsi"/>
                <w:b/>
              </w:rPr>
              <w:t>Plnění</w:t>
            </w:r>
          </w:p>
          <w:p w14:paraId="5B20D1B6" w14:textId="704508CA" w:rsidR="0086434D" w:rsidRPr="006B6D61" w:rsidRDefault="0086434D">
            <w:pPr>
              <w:spacing w:after="0"/>
              <w:jc w:val="center"/>
              <w:rPr>
                <w:rFonts w:cstheme="minorHAnsi"/>
                <w:b/>
              </w:rPr>
            </w:pPr>
            <w:r w:rsidRPr="006B6D61">
              <w:rPr>
                <w:rFonts w:cstheme="minorHAnsi"/>
                <w:b/>
              </w:rPr>
              <w:t>v %</w:t>
            </w:r>
          </w:p>
        </w:tc>
        <w:tc>
          <w:tcPr>
            <w:tcW w:w="698" w:type="dxa"/>
            <w:vMerge w:val="restart"/>
            <w:tcBorders>
              <w:top w:val="single" w:sz="4" w:space="0" w:color="000000"/>
              <w:left w:val="single" w:sz="4" w:space="0" w:color="auto"/>
              <w:right w:val="single" w:sz="4" w:space="0" w:color="000000"/>
            </w:tcBorders>
            <w:shd w:val="clear" w:color="auto" w:fill="D9D9D9" w:themeFill="background1" w:themeFillShade="D9"/>
            <w:vAlign w:val="center"/>
          </w:tcPr>
          <w:p w14:paraId="18C42E34" w14:textId="77777777" w:rsidR="0086434D" w:rsidRPr="006B6D61" w:rsidRDefault="0086434D">
            <w:pPr>
              <w:spacing w:after="0"/>
              <w:jc w:val="center"/>
              <w:rPr>
                <w:rFonts w:cstheme="minorHAnsi"/>
                <w:b/>
              </w:rPr>
            </w:pPr>
            <w:r w:rsidRPr="006B6D61">
              <w:rPr>
                <w:rFonts w:cstheme="minorHAnsi"/>
                <w:b/>
              </w:rPr>
              <w:t>Index</w:t>
            </w:r>
          </w:p>
          <w:p w14:paraId="151A1F77" w14:textId="392D3F62" w:rsidR="0086434D" w:rsidRPr="006B6D61" w:rsidRDefault="0086434D">
            <w:pPr>
              <w:spacing w:after="0"/>
              <w:jc w:val="center"/>
              <w:rPr>
                <w:rFonts w:cstheme="minorHAnsi"/>
                <w:b/>
              </w:rPr>
            </w:pPr>
            <w:r w:rsidRPr="006B6D61">
              <w:rPr>
                <w:rFonts w:cstheme="minorHAnsi"/>
                <w:b/>
              </w:rPr>
              <w:t>(v %)</w:t>
            </w:r>
          </w:p>
        </w:tc>
      </w:tr>
      <w:tr w:rsidR="00FB62A4" w:rsidRPr="002F1BE7" w14:paraId="09452F21" w14:textId="77777777" w:rsidTr="00DF2BB2">
        <w:trPr>
          <w:trHeight w:val="470"/>
        </w:trPr>
        <w:tc>
          <w:tcPr>
            <w:tcW w:w="2410" w:type="dxa"/>
            <w:gridSpan w:val="2"/>
            <w:vMerge/>
            <w:tcBorders>
              <w:left w:val="single" w:sz="4" w:space="0" w:color="auto"/>
              <w:right w:val="single" w:sz="4" w:space="0" w:color="auto"/>
            </w:tcBorders>
            <w:shd w:val="clear" w:color="auto" w:fill="D9D9D9" w:themeFill="background1" w:themeFillShade="D9"/>
            <w:noWrap/>
            <w:vAlign w:val="center"/>
          </w:tcPr>
          <w:p w14:paraId="65B13AEA" w14:textId="092C4641" w:rsidR="00CD49C9" w:rsidRPr="0077128B" w:rsidRDefault="00CD49C9" w:rsidP="00DD114B">
            <w:pPr>
              <w:spacing w:after="0"/>
              <w:jc w:val="center"/>
              <w:rPr>
                <w:rFonts w:cstheme="minorHAnsi"/>
                <w:b/>
                <w:color w:val="FF0000"/>
              </w:rPr>
            </w:pPr>
          </w:p>
        </w:tc>
        <w:tc>
          <w:tcPr>
            <w:tcW w:w="1298" w:type="dxa"/>
            <w:vMerge/>
            <w:tcBorders>
              <w:left w:val="nil"/>
              <w:bottom w:val="single" w:sz="4" w:space="0" w:color="auto"/>
              <w:right w:val="single" w:sz="4" w:space="0" w:color="000000"/>
            </w:tcBorders>
            <w:shd w:val="clear" w:color="auto" w:fill="D9D9D9" w:themeFill="background1" w:themeFillShade="D9"/>
            <w:vAlign w:val="center"/>
          </w:tcPr>
          <w:p w14:paraId="5B2E0F21" w14:textId="3D1E70EC" w:rsidR="00CD49C9" w:rsidRPr="002F1BE7" w:rsidRDefault="00CD49C9" w:rsidP="00DD114B">
            <w:pPr>
              <w:spacing w:after="0"/>
              <w:jc w:val="center"/>
              <w:rPr>
                <w:rFonts w:cstheme="minorHAnsi"/>
                <w:b/>
                <w:color w:val="FF0000"/>
              </w:rPr>
            </w:pPr>
          </w:p>
        </w:tc>
        <w:tc>
          <w:tcPr>
            <w:tcW w:w="1326" w:type="dxa"/>
            <w:tcBorders>
              <w:top w:val="single" w:sz="4" w:space="0" w:color="000000"/>
              <w:left w:val="nil"/>
              <w:bottom w:val="single" w:sz="4" w:space="0" w:color="auto"/>
              <w:right w:val="single" w:sz="4" w:space="0" w:color="000000"/>
            </w:tcBorders>
            <w:shd w:val="clear" w:color="auto" w:fill="D9D9D9" w:themeFill="background1" w:themeFillShade="D9"/>
            <w:vAlign w:val="center"/>
          </w:tcPr>
          <w:p w14:paraId="6F9661C3" w14:textId="6FBC7F62" w:rsidR="00CD49C9" w:rsidRPr="006B6D61" w:rsidRDefault="00456719">
            <w:pPr>
              <w:spacing w:after="0"/>
              <w:jc w:val="center"/>
              <w:rPr>
                <w:rFonts w:cstheme="minorHAnsi"/>
                <w:b/>
              </w:rPr>
            </w:pPr>
            <w:r w:rsidRPr="006B6D61">
              <w:rPr>
                <w:rFonts w:cstheme="minorHAnsi"/>
                <w:b/>
              </w:rPr>
              <w:t>s</w:t>
            </w:r>
            <w:r w:rsidR="00CD49C9" w:rsidRPr="006B6D61">
              <w:rPr>
                <w:rFonts w:cstheme="minorHAnsi"/>
                <w:b/>
              </w:rPr>
              <w:t>chválený</w:t>
            </w:r>
          </w:p>
        </w:tc>
        <w:tc>
          <w:tcPr>
            <w:tcW w:w="1208" w:type="dxa"/>
            <w:tcBorders>
              <w:top w:val="single" w:sz="4" w:space="0" w:color="000000"/>
              <w:left w:val="nil"/>
              <w:bottom w:val="single" w:sz="4" w:space="0" w:color="auto"/>
              <w:right w:val="single" w:sz="4" w:space="0" w:color="000000"/>
            </w:tcBorders>
            <w:shd w:val="clear" w:color="auto" w:fill="D9D9D9" w:themeFill="background1" w:themeFillShade="D9"/>
            <w:vAlign w:val="center"/>
          </w:tcPr>
          <w:p w14:paraId="773158BE" w14:textId="7BD41755" w:rsidR="00CD49C9" w:rsidRPr="006B6D61" w:rsidRDefault="009B0D06" w:rsidP="00DD114B">
            <w:pPr>
              <w:spacing w:after="0"/>
              <w:jc w:val="center"/>
              <w:rPr>
                <w:rFonts w:cstheme="minorHAnsi"/>
                <w:b/>
              </w:rPr>
            </w:pPr>
            <w:r w:rsidRPr="006B6D61">
              <w:rPr>
                <w:rFonts w:cstheme="minorHAnsi"/>
                <w:b/>
              </w:rPr>
              <w:t xml:space="preserve">po </w:t>
            </w:r>
            <w:r w:rsidR="0086434D" w:rsidRPr="006B6D61">
              <w:rPr>
                <w:rFonts w:cstheme="minorHAnsi"/>
                <w:b/>
              </w:rPr>
              <w:t>změnách</w:t>
            </w:r>
          </w:p>
        </w:tc>
        <w:tc>
          <w:tcPr>
            <w:tcW w:w="1271" w:type="dxa"/>
            <w:vMerge/>
            <w:tcBorders>
              <w:left w:val="nil"/>
              <w:bottom w:val="single" w:sz="4" w:space="0" w:color="auto"/>
              <w:right w:val="single" w:sz="4" w:space="0" w:color="000000"/>
            </w:tcBorders>
            <w:shd w:val="clear" w:color="auto" w:fill="D9D9D9" w:themeFill="background1" w:themeFillShade="D9"/>
            <w:vAlign w:val="center"/>
          </w:tcPr>
          <w:p w14:paraId="428850E5" w14:textId="4E750B28" w:rsidR="00CD49C9" w:rsidRPr="002F1BE7" w:rsidRDefault="00CD49C9" w:rsidP="00DD114B">
            <w:pPr>
              <w:spacing w:after="0"/>
              <w:jc w:val="center"/>
              <w:rPr>
                <w:rFonts w:cstheme="minorHAnsi"/>
                <w:b/>
                <w:color w:val="FF0000"/>
              </w:rPr>
            </w:pPr>
          </w:p>
        </w:tc>
        <w:tc>
          <w:tcPr>
            <w:tcW w:w="856" w:type="dxa"/>
            <w:vMerge/>
            <w:tcBorders>
              <w:left w:val="nil"/>
              <w:bottom w:val="single" w:sz="4" w:space="0" w:color="auto"/>
              <w:right w:val="single" w:sz="4" w:space="0" w:color="auto"/>
            </w:tcBorders>
            <w:shd w:val="clear" w:color="auto" w:fill="D9D9D9" w:themeFill="background1" w:themeFillShade="D9"/>
            <w:vAlign w:val="center"/>
          </w:tcPr>
          <w:p w14:paraId="69FF052D" w14:textId="52D8EE32" w:rsidR="00CD49C9" w:rsidRPr="0077128B" w:rsidRDefault="00CD49C9" w:rsidP="00DD114B">
            <w:pPr>
              <w:spacing w:after="0"/>
              <w:jc w:val="center"/>
              <w:rPr>
                <w:rFonts w:cstheme="minorHAnsi"/>
                <w:b/>
                <w:color w:val="FF0000"/>
              </w:rPr>
            </w:pPr>
          </w:p>
        </w:tc>
        <w:tc>
          <w:tcPr>
            <w:tcW w:w="698" w:type="dxa"/>
            <w:vMerge/>
            <w:tcBorders>
              <w:left w:val="single" w:sz="4" w:space="0" w:color="auto"/>
              <w:bottom w:val="single" w:sz="4" w:space="0" w:color="auto"/>
              <w:right w:val="single" w:sz="4" w:space="0" w:color="000000"/>
            </w:tcBorders>
            <w:shd w:val="clear" w:color="auto" w:fill="D9D9D9" w:themeFill="background1" w:themeFillShade="D9"/>
            <w:vAlign w:val="center"/>
          </w:tcPr>
          <w:p w14:paraId="02942B13" w14:textId="4C6D2C61" w:rsidR="00CD49C9" w:rsidRPr="002F1BE7" w:rsidRDefault="00CD49C9" w:rsidP="00DD114B">
            <w:pPr>
              <w:spacing w:after="0"/>
              <w:jc w:val="center"/>
              <w:rPr>
                <w:rFonts w:cstheme="minorHAnsi"/>
                <w:b/>
                <w:color w:val="FF0000"/>
              </w:rPr>
            </w:pPr>
          </w:p>
        </w:tc>
      </w:tr>
      <w:tr w:rsidR="002F1BE7" w:rsidRPr="002F1BE7" w14:paraId="4748210E" w14:textId="77777777" w:rsidTr="00DF2BB2">
        <w:trPr>
          <w:trHeight w:val="300"/>
        </w:trPr>
        <w:tc>
          <w:tcPr>
            <w:tcW w:w="241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6A3472" w14:textId="77777777" w:rsidR="00DD114B" w:rsidRPr="006B6D61" w:rsidRDefault="00DD114B" w:rsidP="003F0A7C">
            <w:pPr>
              <w:spacing w:after="0"/>
              <w:jc w:val="center"/>
              <w:rPr>
                <w:rFonts w:cstheme="minorHAnsi"/>
              </w:rPr>
            </w:pPr>
            <w:r w:rsidRPr="006B6D61">
              <w:rPr>
                <w:rFonts w:cstheme="minorHAnsi"/>
              </w:rPr>
              <w:t>a</w:t>
            </w:r>
          </w:p>
        </w:tc>
        <w:tc>
          <w:tcPr>
            <w:tcW w:w="1298" w:type="dxa"/>
            <w:tcBorders>
              <w:top w:val="single" w:sz="4" w:space="0" w:color="auto"/>
              <w:left w:val="nil"/>
              <w:bottom w:val="single" w:sz="4" w:space="0" w:color="auto"/>
              <w:right w:val="single" w:sz="4" w:space="0" w:color="auto"/>
            </w:tcBorders>
            <w:shd w:val="clear" w:color="auto" w:fill="auto"/>
            <w:noWrap/>
            <w:vAlign w:val="center"/>
            <w:hideMark/>
          </w:tcPr>
          <w:p w14:paraId="256ACB16" w14:textId="77777777" w:rsidR="00DD114B" w:rsidRPr="006B6D61" w:rsidRDefault="00DD114B" w:rsidP="003F0A7C">
            <w:pPr>
              <w:spacing w:after="0"/>
              <w:jc w:val="center"/>
              <w:rPr>
                <w:rFonts w:cstheme="minorHAnsi"/>
              </w:rPr>
            </w:pPr>
            <w:r w:rsidRPr="006B6D61">
              <w:rPr>
                <w:rFonts w:cstheme="minorHAnsi"/>
              </w:rPr>
              <w:t>1</w:t>
            </w:r>
          </w:p>
        </w:tc>
        <w:tc>
          <w:tcPr>
            <w:tcW w:w="1326" w:type="dxa"/>
            <w:tcBorders>
              <w:top w:val="single" w:sz="4" w:space="0" w:color="auto"/>
              <w:left w:val="nil"/>
              <w:bottom w:val="single" w:sz="4" w:space="0" w:color="auto"/>
              <w:right w:val="single" w:sz="4" w:space="0" w:color="auto"/>
            </w:tcBorders>
            <w:shd w:val="clear" w:color="auto" w:fill="auto"/>
            <w:noWrap/>
            <w:vAlign w:val="center"/>
            <w:hideMark/>
          </w:tcPr>
          <w:p w14:paraId="0CFDE463" w14:textId="77777777" w:rsidR="00DD114B" w:rsidRPr="006B6D61" w:rsidRDefault="00DD114B" w:rsidP="003F0A7C">
            <w:pPr>
              <w:spacing w:after="0"/>
              <w:jc w:val="center"/>
              <w:rPr>
                <w:rFonts w:cstheme="minorHAnsi"/>
              </w:rPr>
            </w:pPr>
            <w:r w:rsidRPr="006B6D61">
              <w:rPr>
                <w:rFonts w:cstheme="minorHAnsi"/>
              </w:rPr>
              <w:t>2</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14:paraId="032F51D5" w14:textId="77777777" w:rsidR="00DD114B" w:rsidRPr="006B6D61" w:rsidRDefault="00DD114B" w:rsidP="003F0A7C">
            <w:pPr>
              <w:spacing w:after="0"/>
              <w:jc w:val="center"/>
              <w:rPr>
                <w:rFonts w:cstheme="minorHAnsi"/>
              </w:rPr>
            </w:pPr>
            <w:r w:rsidRPr="006B6D61">
              <w:rPr>
                <w:rFonts w:cstheme="minorHAnsi"/>
              </w:rPr>
              <w:t>3</w:t>
            </w:r>
          </w:p>
        </w:tc>
        <w:tc>
          <w:tcPr>
            <w:tcW w:w="1271" w:type="dxa"/>
            <w:tcBorders>
              <w:top w:val="single" w:sz="4" w:space="0" w:color="auto"/>
              <w:left w:val="nil"/>
              <w:bottom w:val="single" w:sz="4" w:space="0" w:color="auto"/>
              <w:right w:val="single" w:sz="4" w:space="0" w:color="auto"/>
            </w:tcBorders>
            <w:shd w:val="clear" w:color="auto" w:fill="auto"/>
            <w:noWrap/>
            <w:vAlign w:val="center"/>
            <w:hideMark/>
          </w:tcPr>
          <w:p w14:paraId="75AE3A8B" w14:textId="4EDDD465" w:rsidR="00DD114B" w:rsidRPr="006B6D61" w:rsidRDefault="00DD114B" w:rsidP="003F0A7C">
            <w:pPr>
              <w:spacing w:after="0"/>
              <w:jc w:val="center"/>
              <w:rPr>
                <w:rFonts w:cstheme="minorHAnsi"/>
              </w:rPr>
            </w:pPr>
            <w:r w:rsidRPr="006B6D61">
              <w:rPr>
                <w:rFonts w:cstheme="minorHAnsi"/>
              </w:rPr>
              <w:t>4</w:t>
            </w:r>
          </w:p>
        </w:tc>
        <w:tc>
          <w:tcPr>
            <w:tcW w:w="856" w:type="dxa"/>
            <w:tcBorders>
              <w:top w:val="single" w:sz="4" w:space="0" w:color="auto"/>
              <w:left w:val="nil"/>
              <w:bottom w:val="single" w:sz="4" w:space="0" w:color="auto"/>
              <w:right w:val="single" w:sz="4" w:space="0" w:color="auto"/>
            </w:tcBorders>
          </w:tcPr>
          <w:p w14:paraId="7D0B6E54" w14:textId="34E2D567" w:rsidR="00DD114B" w:rsidRPr="006B6D61" w:rsidRDefault="00DD114B" w:rsidP="003F0A7C">
            <w:pPr>
              <w:spacing w:after="0"/>
              <w:jc w:val="center"/>
              <w:rPr>
                <w:rFonts w:cstheme="minorHAnsi"/>
              </w:rPr>
            </w:pPr>
            <w:r w:rsidRPr="006B6D61">
              <w:rPr>
                <w:rFonts w:cstheme="minorHAnsi"/>
              </w:rPr>
              <w:t>4/3</w:t>
            </w:r>
          </w:p>
        </w:tc>
        <w:tc>
          <w:tcPr>
            <w:tcW w:w="6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8DE62" w14:textId="2F2A003B" w:rsidR="00DD114B" w:rsidRPr="006B6D61" w:rsidRDefault="00DD114B" w:rsidP="003F0A7C">
            <w:pPr>
              <w:spacing w:after="0"/>
              <w:jc w:val="center"/>
              <w:rPr>
                <w:rFonts w:cstheme="minorHAnsi"/>
              </w:rPr>
            </w:pPr>
            <w:r w:rsidRPr="006B6D61">
              <w:rPr>
                <w:rFonts w:cstheme="minorHAnsi"/>
              </w:rPr>
              <w:t>4/1</w:t>
            </w:r>
          </w:p>
        </w:tc>
      </w:tr>
      <w:tr w:rsidR="00B12724" w:rsidRPr="002F1BE7" w14:paraId="1214A4D0" w14:textId="77777777" w:rsidTr="00DF2BB2">
        <w:trPr>
          <w:trHeight w:val="300"/>
        </w:trPr>
        <w:tc>
          <w:tcPr>
            <w:tcW w:w="2410" w:type="dxa"/>
            <w:gridSpan w:val="2"/>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3528EC8E" w14:textId="77777777" w:rsidR="00DD114B" w:rsidRPr="006B6D61" w:rsidRDefault="00DD114B" w:rsidP="003F0A7C">
            <w:pPr>
              <w:spacing w:after="0"/>
              <w:rPr>
                <w:rFonts w:cstheme="minorHAnsi"/>
                <w:b/>
                <w:bCs/>
              </w:rPr>
            </w:pPr>
            <w:r w:rsidRPr="006B6D61">
              <w:rPr>
                <w:rFonts w:cstheme="minorHAnsi"/>
                <w:b/>
                <w:bCs/>
              </w:rPr>
              <w:t>Příjmy celkem</w:t>
            </w:r>
          </w:p>
        </w:tc>
        <w:tc>
          <w:tcPr>
            <w:tcW w:w="1298" w:type="dxa"/>
            <w:tcBorders>
              <w:top w:val="nil"/>
              <w:left w:val="nil"/>
              <w:bottom w:val="single" w:sz="4" w:space="0" w:color="auto"/>
              <w:right w:val="single" w:sz="4" w:space="0" w:color="auto"/>
            </w:tcBorders>
            <w:shd w:val="clear" w:color="auto" w:fill="D9D9D9" w:themeFill="background1" w:themeFillShade="D9"/>
            <w:noWrap/>
            <w:vAlign w:val="center"/>
            <w:hideMark/>
          </w:tcPr>
          <w:p w14:paraId="7E07CE96" w14:textId="10490522" w:rsidR="00DD114B" w:rsidRPr="002F1BE7" w:rsidRDefault="009C4E70">
            <w:pPr>
              <w:spacing w:after="0"/>
              <w:jc w:val="right"/>
              <w:rPr>
                <w:rFonts w:cstheme="minorHAnsi"/>
                <w:b/>
                <w:bCs/>
                <w:color w:val="FF0000"/>
              </w:rPr>
            </w:pPr>
            <w:r w:rsidRPr="006B6D61">
              <w:rPr>
                <w:rFonts w:cstheme="minorHAnsi"/>
                <w:b/>
                <w:bCs/>
              </w:rPr>
              <w:t>21 139 498</w:t>
            </w:r>
          </w:p>
        </w:tc>
        <w:tc>
          <w:tcPr>
            <w:tcW w:w="1326" w:type="dxa"/>
            <w:tcBorders>
              <w:top w:val="nil"/>
              <w:left w:val="nil"/>
              <w:bottom w:val="single" w:sz="4" w:space="0" w:color="auto"/>
              <w:right w:val="single" w:sz="4" w:space="0" w:color="auto"/>
            </w:tcBorders>
            <w:shd w:val="clear" w:color="auto" w:fill="D9D9D9" w:themeFill="background1" w:themeFillShade="D9"/>
            <w:noWrap/>
            <w:vAlign w:val="center"/>
            <w:hideMark/>
          </w:tcPr>
          <w:p w14:paraId="0C8D49E1" w14:textId="5C56B5C7" w:rsidR="00DD114B" w:rsidRPr="006B6D61" w:rsidRDefault="004D0A77">
            <w:pPr>
              <w:spacing w:after="0"/>
              <w:jc w:val="right"/>
              <w:rPr>
                <w:rFonts w:cstheme="minorHAnsi"/>
                <w:b/>
                <w:bCs/>
              </w:rPr>
            </w:pPr>
            <w:r w:rsidRPr="006B6D61">
              <w:rPr>
                <w:rFonts w:cstheme="minorHAnsi"/>
                <w:b/>
                <w:bCs/>
              </w:rPr>
              <w:t>29 053 763</w:t>
            </w:r>
          </w:p>
        </w:tc>
        <w:tc>
          <w:tcPr>
            <w:tcW w:w="1208" w:type="dxa"/>
            <w:tcBorders>
              <w:top w:val="nil"/>
              <w:left w:val="nil"/>
              <w:bottom w:val="single" w:sz="4" w:space="0" w:color="auto"/>
              <w:right w:val="single" w:sz="4" w:space="0" w:color="auto"/>
            </w:tcBorders>
            <w:shd w:val="clear" w:color="auto" w:fill="D9D9D9" w:themeFill="background1" w:themeFillShade="D9"/>
            <w:noWrap/>
            <w:vAlign w:val="center"/>
            <w:hideMark/>
          </w:tcPr>
          <w:p w14:paraId="2357FA1B" w14:textId="058877A0" w:rsidR="00DD114B" w:rsidRPr="002F1BE7" w:rsidRDefault="00B72B1D">
            <w:pPr>
              <w:spacing w:after="0"/>
              <w:jc w:val="right"/>
              <w:rPr>
                <w:rFonts w:cstheme="minorHAnsi"/>
                <w:b/>
                <w:bCs/>
                <w:color w:val="FF0000"/>
              </w:rPr>
            </w:pPr>
            <w:r w:rsidRPr="006B6D61">
              <w:rPr>
                <w:rFonts w:cstheme="minorHAnsi"/>
                <w:b/>
                <w:bCs/>
              </w:rPr>
              <w:t>29 055 344</w:t>
            </w:r>
          </w:p>
        </w:tc>
        <w:tc>
          <w:tcPr>
            <w:tcW w:w="1271" w:type="dxa"/>
            <w:tcBorders>
              <w:top w:val="nil"/>
              <w:left w:val="nil"/>
              <w:bottom w:val="single" w:sz="4" w:space="0" w:color="auto"/>
              <w:right w:val="single" w:sz="4" w:space="0" w:color="auto"/>
            </w:tcBorders>
            <w:shd w:val="clear" w:color="auto" w:fill="D9D9D9" w:themeFill="background1" w:themeFillShade="D9"/>
            <w:noWrap/>
            <w:vAlign w:val="center"/>
            <w:hideMark/>
          </w:tcPr>
          <w:p w14:paraId="2A905CA0" w14:textId="5F61F0EB" w:rsidR="00DD114B" w:rsidRPr="002F1BE7" w:rsidRDefault="003D31EC">
            <w:pPr>
              <w:spacing w:after="0"/>
              <w:jc w:val="right"/>
              <w:rPr>
                <w:rFonts w:cstheme="minorHAnsi"/>
                <w:b/>
                <w:bCs/>
                <w:color w:val="FF0000"/>
              </w:rPr>
            </w:pPr>
            <w:r w:rsidRPr="006B6D61">
              <w:rPr>
                <w:rFonts w:cstheme="minorHAnsi"/>
                <w:b/>
                <w:bCs/>
              </w:rPr>
              <w:t>50 766 501</w:t>
            </w:r>
          </w:p>
        </w:tc>
        <w:tc>
          <w:tcPr>
            <w:tcW w:w="856" w:type="dxa"/>
            <w:tcBorders>
              <w:top w:val="nil"/>
              <w:left w:val="nil"/>
              <w:bottom w:val="single" w:sz="4" w:space="0" w:color="auto"/>
              <w:right w:val="single" w:sz="4" w:space="0" w:color="auto"/>
            </w:tcBorders>
            <w:shd w:val="clear" w:color="auto" w:fill="D9D9D9" w:themeFill="background1" w:themeFillShade="D9"/>
            <w:vAlign w:val="center"/>
          </w:tcPr>
          <w:p w14:paraId="36C49812" w14:textId="4B643F43" w:rsidR="00DD114B" w:rsidRPr="006B6D61" w:rsidRDefault="00881539">
            <w:pPr>
              <w:spacing w:after="0"/>
              <w:jc w:val="right"/>
              <w:rPr>
                <w:rFonts w:cstheme="minorHAnsi"/>
                <w:b/>
                <w:bCs/>
              </w:rPr>
            </w:pPr>
            <w:r w:rsidRPr="006B6D61">
              <w:rPr>
                <w:rFonts w:cstheme="minorHAnsi"/>
                <w:b/>
                <w:bCs/>
              </w:rPr>
              <w:t>174,7</w:t>
            </w:r>
          </w:p>
        </w:tc>
        <w:tc>
          <w:tcPr>
            <w:tcW w:w="69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7F3E3F70" w14:textId="5FDBC9A6" w:rsidR="00DD114B" w:rsidRPr="006B6D61" w:rsidRDefault="00811337">
            <w:pPr>
              <w:spacing w:after="0"/>
              <w:jc w:val="right"/>
              <w:rPr>
                <w:rFonts w:cstheme="minorHAnsi"/>
                <w:b/>
                <w:bCs/>
              </w:rPr>
            </w:pPr>
            <w:r w:rsidRPr="006B6D61">
              <w:rPr>
                <w:rFonts w:cstheme="minorHAnsi"/>
                <w:b/>
                <w:bCs/>
              </w:rPr>
              <w:t>240,1</w:t>
            </w:r>
          </w:p>
        </w:tc>
      </w:tr>
      <w:tr w:rsidR="002F1BE7" w:rsidRPr="002F1BE7" w14:paraId="4EA3EE4E" w14:textId="77777777" w:rsidTr="00DF2BB2">
        <w:trPr>
          <w:trHeight w:val="300"/>
        </w:trPr>
        <w:tc>
          <w:tcPr>
            <w:tcW w:w="241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D0377D6" w14:textId="77777777" w:rsidR="00DD114B" w:rsidRPr="006B6D61" w:rsidRDefault="00DD114B" w:rsidP="003F0A7C">
            <w:pPr>
              <w:spacing w:after="0"/>
              <w:rPr>
                <w:rFonts w:cstheme="minorHAnsi"/>
              </w:rPr>
            </w:pPr>
            <w:r w:rsidRPr="006B6D61">
              <w:rPr>
                <w:rFonts w:cstheme="minorHAnsi"/>
              </w:rPr>
              <w:t>v tom:</w:t>
            </w:r>
          </w:p>
        </w:tc>
        <w:tc>
          <w:tcPr>
            <w:tcW w:w="1298" w:type="dxa"/>
            <w:tcBorders>
              <w:top w:val="nil"/>
              <w:left w:val="nil"/>
              <w:bottom w:val="single" w:sz="4" w:space="0" w:color="auto"/>
              <w:right w:val="single" w:sz="4" w:space="0" w:color="auto"/>
            </w:tcBorders>
            <w:shd w:val="clear" w:color="auto" w:fill="auto"/>
            <w:noWrap/>
            <w:vAlign w:val="center"/>
            <w:hideMark/>
          </w:tcPr>
          <w:p w14:paraId="49191007" w14:textId="77777777" w:rsidR="00DD114B" w:rsidRPr="002F1BE7" w:rsidRDefault="00DD114B" w:rsidP="00BA4E5A">
            <w:pPr>
              <w:spacing w:after="0"/>
              <w:jc w:val="right"/>
              <w:rPr>
                <w:rFonts w:cstheme="minorHAnsi"/>
                <w:color w:val="FF0000"/>
              </w:rPr>
            </w:pPr>
            <w:r w:rsidRPr="002F1BE7">
              <w:rPr>
                <w:rFonts w:cstheme="minorHAnsi"/>
                <w:color w:val="FF0000"/>
              </w:rPr>
              <w:t> </w:t>
            </w:r>
          </w:p>
        </w:tc>
        <w:tc>
          <w:tcPr>
            <w:tcW w:w="1326" w:type="dxa"/>
            <w:tcBorders>
              <w:top w:val="nil"/>
              <w:left w:val="nil"/>
              <w:bottom w:val="single" w:sz="4" w:space="0" w:color="auto"/>
              <w:right w:val="single" w:sz="4" w:space="0" w:color="auto"/>
            </w:tcBorders>
            <w:shd w:val="clear" w:color="auto" w:fill="auto"/>
            <w:noWrap/>
            <w:vAlign w:val="center"/>
            <w:hideMark/>
          </w:tcPr>
          <w:p w14:paraId="6188BABA" w14:textId="77777777" w:rsidR="00DD114B" w:rsidRPr="002F1BE7" w:rsidRDefault="00DD114B" w:rsidP="00BA4E5A">
            <w:pPr>
              <w:spacing w:after="0"/>
              <w:jc w:val="right"/>
              <w:rPr>
                <w:rFonts w:cstheme="minorHAnsi"/>
                <w:color w:val="FF0000"/>
              </w:rPr>
            </w:pPr>
            <w:r w:rsidRPr="002F1BE7">
              <w:rPr>
                <w:rFonts w:cstheme="minorHAnsi"/>
                <w:color w:val="FF0000"/>
              </w:rPr>
              <w:t> </w:t>
            </w:r>
          </w:p>
        </w:tc>
        <w:tc>
          <w:tcPr>
            <w:tcW w:w="1208" w:type="dxa"/>
            <w:tcBorders>
              <w:top w:val="nil"/>
              <w:left w:val="nil"/>
              <w:bottom w:val="single" w:sz="4" w:space="0" w:color="auto"/>
              <w:right w:val="single" w:sz="4" w:space="0" w:color="auto"/>
            </w:tcBorders>
            <w:shd w:val="clear" w:color="auto" w:fill="auto"/>
            <w:noWrap/>
            <w:vAlign w:val="center"/>
            <w:hideMark/>
          </w:tcPr>
          <w:p w14:paraId="557057C6" w14:textId="77777777" w:rsidR="00DD114B" w:rsidRPr="002F1BE7" w:rsidRDefault="00DD114B" w:rsidP="00BA4E5A">
            <w:pPr>
              <w:spacing w:after="0"/>
              <w:jc w:val="right"/>
              <w:rPr>
                <w:rFonts w:cstheme="minorHAnsi"/>
                <w:color w:val="FF0000"/>
              </w:rPr>
            </w:pPr>
            <w:r w:rsidRPr="002F1BE7">
              <w:rPr>
                <w:rFonts w:cstheme="minorHAnsi"/>
                <w:color w:val="FF0000"/>
              </w:rPr>
              <w:t> </w:t>
            </w:r>
          </w:p>
        </w:tc>
        <w:tc>
          <w:tcPr>
            <w:tcW w:w="1271" w:type="dxa"/>
            <w:tcBorders>
              <w:top w:val="nil"/>
              <w:left w:val="nil"/>
              <w:bottom w:val="single" w:sz="4" w:space="0" w:color="auto"/>
              <w:right w:val="single" w:sz="4" w:space="0" w:color="auto"/>
            </w:tcBorders>
            <w:shd w:val="clear" w:color="auto" w:fill="auto"/>
            <w:noWrap/>
            <w:vAlign w:val="center"/>
            <w:hideMark/>
          </w:tcPr>
          <w:p w14:paraId="36658747" w14:textId="77777777" w:rsidR="00DD114B" w:rsidRPr="002F1BE7" w:rsidRDefault="00DD114B">
            <w:pPr>
              <w:spacing w:after="0"/>
              <w:jc w:val="right"/>
              <w:rPr>
                <w:rFonts w:cstheme="minorHAnsi"/>
                <w:color w:val="FF0000"/>
              </w:rPr>
            </w:pPr>
            <w:r w:rsidRPr="002F1BE7">
              <w:rPr>
                <w:rFonts w:cstheme="minorHAnsi"/>
                <w:color w:val="FF0000"/>
              </w:rPr>
              <w:t> </w:t>
            </w:r>
          </w:p>
        </w:tc>
        <w:tc>
          <w:tcPr>
            <w:tcW w:w="856" w:type="dxa"/>
            <w:tcBorders>
              <w:top w:val="nil"/>
              <w:left w:val="nil"/>
              <w:bottom w:val="single" w:sz="4" w:space="0" w:color="auto"/>
              <w:right w:val="single" w:sz="4" w:space="0" w:color="auto"/>
            </w:tcBorders>
            <w:vAlign w:val="center"/>
          </w:tcPr>
          <w:p w14:paraId="3A559BEE" w14:textId="77777777" w:rsidR="00DD114B" w:rsidRPr="002F1BE7" w:rsidRDefault="00DD114B">
            <w:pPr>
              <w:spacing w:after="0"/>
              <w:jc w:val="right"/>
              <w:rPr>
                <w:rFonts w:cstheme="minorHAnsi"/>
                <w:color w:val="FF0000"/>
              </w:rPr>
            </w:pP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70036E1B" w14:textId="4CF050B9" w:rsidR="00DD114B" w:rsidRPr="002F1BE7" w:rsidRDefault="00DD114B">
            <w:pPr>
              <w:spacing w:after="0"/>
              <w:jc w:val="right"/>
              <w:rPr>
                <w:rFonts w:cstheme="minorHAnsi"/>
                <w:color w:val="FF0000"/>
              </w:rPr>
            </w:pPr>
            <w:r w:rsidRPr="002F1BE7">
              <w:rPr>
                <w:rFonts w:cstheme="minorHAnsi"/>
                <w:color w:val="FF0000"/>
              </w:rPr>
              <w:t> </w:t>
            </w:r>
          </w:p>
        </w:tc>
      </w:tr>
      <w:tr w:rsidR="002F1BE7" w:rsidRPr="002F1BE7" w14:paraId="34994363" w14:textId="77777777" w:rsidTr="00DF2BB2">
        <w:trPr>
          <w:trHeight w:val="300"/>
        </w:trPr>
        <w:tc>
          <w:tcPr>
            <w:tcW w:w="185" w:type="dxa"/>
            <w:tcBorders>
              <w:top w:val="nil"/>
              <w:left w:val="single" w:sz="4" w:space="0" w:color="auto"/>
              <w:bottom w:val="single" w:sz="4" w:space="0" w:color="auto"/>
              <w:right w:val="nil"/>
            </w:tcBorders>
            <w:shd w:val="clear" w:color="auto" w:fill="auto"/>
            <w:noWrap/>
            <w:vAlign w:val="bottom"/>
            <w:hideMark/>
          </w:tcPr>
          <w:p w14:paraId="01FA00C7"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noWrap/>
            <w:vAlign w:val="bottom"/>
            <w:hideMark/>
          </w:tcPr>
          <w:p w14:paraId="6EFC8EFB" w14:textId="77777777" w:rsidR="00DD114B" w:rsidRPr="006B6D61" w:rsidRDefault="00DD114B" w:rsidP="003F0A7C">
            <w:pPr>
              <w:spacing w:after="0"/>
              <w:rPr>
                <w:rFonts w:cstheme="minorHAnsi"/>
              </w:rPr>
            </w:pPr>
            <w:r w:rsidRPr="006B6D61">
              <w:rPr>
                <w:rFonts w:cstheme="minorHAnsi"/>
              </w:rPr>
              <w:t>daňové příjmy</w:t>
            </w:r>
          </w:p>
        </w:tc>
        <w:tc>
          <w:tcPr>
            <w:tcW w:w="1298" w:type="dxa"/>
            <w:tcBorders>
              <w:top w:val="nil"/>
              <w:left w:val="nil"/>
              <w:bottom w:val="single" w:sz="4" w:space="0" w:color="auto"/>
              <w:right w:val="single" w:sz="4" w:space="0" w:color="auto"/>
            </w:tcBorders>
            <w:shd w:val="clear" w:color="auto" w:fill="auto"/>
            <w:noWrap/>
            <w:vAlign w:val="center"/>
            <w:hideMark/>
          </w:tcPr>
          <w:p w14:paraId="6A063855" w14:textId="0DD3DD1E" w:rsidR="00DD114B" w:rsidRPr="006B6D61" w:rsidRDefault="009C4E70">
            <w:pPr>
              <w:spacing w:after="0"/>
              <w:jc w:val="right"/>
              <w:rPr>
                <w:rFonts w:cstheme="minorHAnsi"/>
              </w:rPr>
            </w:pPr>
            <w:r w:rsidRPr="006B6D61">
              <w:rPr>
                <w:rFonts w:cstheme="minorHAnsi"/>
              </w:rPr>
              <w:t>219 743</w:t>
            </w:r>
          </w:p>
        </w:tc>
        <w:tc>
          <w:tcPr>
            <w:tcW w:w="1326" w:type="dxa"/>
            <w:tcBorders>
              <w:top w:val="nil"/>
              <w:left w:val="nil"/>
              <w:bottom w:val="single" w:sz="4" w:space="0" w:color="auto"/>
              <w:right w:val="single" w:sz="4" w:space="0" w:color="auto"/>
            </w:tcBorders>
            <w:shd w:val="clear" w:color="auto" w:fill="auto"/>
            <w:noWrap/>
            <w:vAlign w:val="center"/>
            <w:hideMark/>
          </w:tcPr>
          <w:p w14:paraId="0BABFD1C" w14:textId="77777777" w:rsidR="00DD114B" w:rsidRPr="006B6D61" w:rsidRDefault="00DD114B">
            <w:pPr>
              <w:spacing w:after="0"/>
              <w:jc w:val="right"/>
              <w:rPr>
                <w:rFonts w:cstheme="minorHAnsi"/>
              </w:rPr>
            </w:pPr>
            <w:r w:rsidRPr="006B6D61">
              <w:rPr>
                <w:rFonts w:cstheme="minorHAnsi"/>
              </w:rPr>
              <w:t>185 000</w:t>
            </w:r>
          </w:p>
        </w:tc>
        <w:tc>
          <w:tcPr>
            <w:tcW w:w="1208" w:type="dxa"/>
            <w:tcBorders>
              <w:top w:val="nil"/>
              <w:left w:val="nil"/>
              <w:bottom w:val="single" w:sz="4" w:space="0" w:color="auto"/>
              <w:right w:val="single" w:sz="4" w:space="0" w:color="auto"/>
            </w:tcBorders>
            <w:shd w:val="clear" w:color="auto" w:fill="auto"/>
            <w:noWrap/>
            <w:vAlign w:val="center"/>
            <w:hideMark/>
          </w:tcPr>
          <w:p w14:paraId="6019C1AF" w14:textId="77777777" w:rsidR="00DD114B" w:rsidRPr="006B6D61" w:rsidRDefault="00DD114B">
            <w:pPr>
              <w:spacing w:after="0"/>
              <w:jc w:val="right"/>
              <w:rPr>
                <w:rFonts w:cstheme="minorHAnsi"/>
              </w:rPr>
            </w:pPr>
            <w:r w:rsidRPr="006B6D61">
              <w:rPr>
                <w:rFonts w:cstheme="minorHAnsi"/>
              </w:rPr>
              <w:t>185 000</w:t>
            </w:r>
          </w:p>
        </w:tc>
        <w:tc>
          <w:tcPr>
            <w:tcW w:w="1271" w:type="dxa"/>
            <w:tcBorders>
              <w:top w:val="nil"/>
              <w:left w:val="nil"/>
              <w:bottom w:val="single" w:sz="4" w:space="0" w:color="auto"/>
              <w:right w:val="single" w:sz="4" w:space="0" w:color="auto"/>
            </w:tcBorders>
            <w:shd w:val="clear" w:color="auto" w:fill="auto"/>
            <w:noWrap/>
            <w:vAlign w:val="center"/>
            <w:hideMark/>
          </w:tcPr>
          <w:p w14:paraId="3DECCC20" w14:textId="13D68C63" w:rsidR="00DD114B" w:rsidRPr="006B6D61" w:rsidRDefault="003D31EC">
            <w:pPr>
              <w:spacing w:after="0"/>
              <w:jc w:val="right"/>
              <w:rPr>
                <w:rFonts w:cstheme="minorHAnsi"/>
              </w:rPr>
            </w:pPr>
            <w:r w:rsidRPr="006B6D61">
              <w:rPr>
                <w:rFonts w:cstheme="minorHAnsi"/>
              </w:rPr>
              <w:t>235 601</w:t>
            </w:r>
          </w:p>
        </w:tc>
        <w:tc>
          <w:tcPr>
            <w:tcW w:w="856" w:type="dxa"/>
            <w:tcBorders>
              <w:top w:val="nil"/>
              <w:left w:val="nil"/>
              <w:bottom w:val="single" w:sz="4" w:space="0" w:color="auto"/>
              <w:right w:val="single" w:sz="4" w:space="0" w:color="auto"/>
            </w:tcBorders>
            <w:vAlign w:val="center"/>
          </w:tcPr>
          <w:p w14:paraId="46A85EE7" w14:textId="28D46631" w:rsidR="00DD114B" w:rsidRPr="006B6D61" w:rsidRDefault="00811337">
            <w:pPr>
              <w:spacing w:after="0"/>
              <w:jc w:val="right"/>
              <w:rPr>
                <w:rFonts w:cstheme="minorHAnsi"/>
              </w:rPr>
            </w:pPr>
            <w:r w:rsidRPr="006B6D61">
              <w:rPr>
                <w:rFonts w:cstheme="minorHAnsi"/>
              </w:rPr>
              <w:t>127,4</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405FC1C4" w14:textId="7761306D" w:rsidR="00DD114B" w:rsidRPr="006B6D61" w:rsidRDefault="00811337">
            <w:pPr>
              <w:spacing w:after="0"/>
              <w:jc w:val="right"/>
              <w:rPr>
                <w:rFonts w:cstheme="minorHAnsi"/>
              </w:rPr>
            </w:pPr>
            <w:r w:rsidRPr="006B6D61">
              <w:rPr>
                <w:rFonts w:cstheme="minorHAnsi"/>
              </w:rPr>
              <w:t>107,2</w:t>
            </w:r>
          </w:p>
        </w:tc>
      </w:tr>
      <w:tr w:rsidR="002F1BE7" w:rsidRPr="002F1BE7" w14:paraId="7D694093" w14:textId="77777777" w:rsidTr="00DF2BB2">
        <w:trPr>
          <w:trHeight w:val="300"/>
        </w:trPr>
        <w:tc>
          <w:tcPr>
            <w:tcW w:w="185" w:type="dxa"/>
            <w:tcBorders>
              <w:top w:val="nil"/>
              <w:left w:val="single" w:sz="4" w:space="0" w:color="auto"/>
              <w:bottom w:val="single" w:sz="4" w:space="0" w:color="auto"/>
              <w:right w:val="nil"/>
            </w:tcBorders>
            <w:shd w:val="clear" w:color="auto" w:fill="auto"/>
            <w:noWrap/>
            <w:vAlign w:val="bottom"/>
            <w:hideMark/>
          </w:tcPr>
          <w:p w14:paraId="76BAF5DE"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noWrap/>
            <w:vAlign w:val="bottom"/>
            <w:hideMark/>
          </w:tcPr>
          <w:p w14:paraId="7D773BBB" w14:textId="77777777" w:rsidR="00DD114B" w:rsidRPr="006B6D61" w:rsidRDefault="00DD114B" w:rsidP="003F0A7C">
            <w:pPr>
              <w:spacing w:after="0"/>
              <w:rPr>
                <w:rFonts w:cstheme="minorHAnsi"/>
              </w:rPr>
            </w:pPr>
            <w:r w:rsidRPr="006B6D61">
              <w:rPr>
                <w:rFonts w:cstheme="minorHAnsi"/>
              </w:rPr>
              <w:t>nedaňové příjmy</w:t>
            </w:r>
          </w:p>
        </w:tc>
        <w:tc>
          <w:tcPr>
            <w:tcW w:w="1298" w:type="dxa"/>
            <w:tcBorders>
              <w:top w:val="nil"/>
              <w:left w:val="nil"/>
              <w:bottom w:val="single" w:sz="4" w:space="0" w:color="auto"/>
              <w:right w:val="single" w:sz="4" w:space="0" w:color="auto"/>
            </w:tcBorders>
            <w:shd w:val="clear" w:color="auto" w:fill="auto"/>
            <w:noWrap/>
            <w:vAlign w:val="center"/>
            <w:hideMark/>
          </w:tcPr>
          <w:p w14:paraId="623B7F53" w14:textId="668BC280" w:rsidR="00DD114B" w:rsidRPr="006B6D61" w:rsidRDefault="009C4E70">
            <w:pPr>
              <w:spacing w:after="0"/>
              <w:jc w:val="right"/>
              <w:rPr>
                <w:rFonts w:cstheme="minorHAnsi"/>
              </w:rPr>
            </w:pPr>
            <w:r w:rsidRPr="006B6D61">
              <w:rPr>
                <w:rFonts w:cstheme="minorHAnsi"/>
              </w:rPr>
              <w:t>172 634</w:t>
            </w:r>
          </w:p>
        </w:tc>
        <w:tc>
          <w:tcPr>
            <w:tcW w:w="1326" w:type="dxa"/>
            <w:tcBorders>
              <w:top w:val="nil"/>
              <w:left w:val="nil"/>
              <w:bottom w:val="single" w:sz="4" w:space="0" w:color="auto"/>
              <w:right w:val="single" w:sz="4" w:space="0" w:color="auto"/>
            </w:tcBorders>
            <w:shd w:val="clear" w:color="auto" w:fill="auto"/>
            <w:noWrap/>
            <w:vAlign w:val="center"/>
            <w:hideMark/>
          </w:tcPr>
          <w:p w14:paraId="1F907FE0" w14:textId="1AB1A0EA" w:rsidR="00DD114B" w:rsidRPr="006B6D61" w:rsidRDefault="00394F34">
            <w:pPr>
              <w:spacing w:after="0"/>
              <w:jc w:val="right"/>
              <w:rPr>
                <w:rFonts w:cstheme="minorHAnsi"/>
              </w:rPr>
            </w:pPr>
            <w:r w:rsidRPr="006B6D61">
              <w:rPr>
                <w:rFonts w:cstheme="minorHAnsi"/>
              </w:rPr>
              <w:t>82 000</w:t>
            </w:r>
          </w:p>
        </w:tc>
        <w:tc>
          <w:tcPr>
            <w:tcW w:w="1208" w:type="dxa"/>
            <w:tcBorders>
              <w:top w:val="nil"/>
              <w:left w:val="nil"/>
              <w:bottom w:val="single" w:sz="4" w:space="0" w:color="auto"/>
              <w:right w:val="single" w:sz="4" w:space="0" w:color="auto"/>
            </w:tcBorders>
            <w:shd w:val="clear" w:color="auto" w:fill="auto"/>
            <w:noWrap/>
            <w:vAlign w:val="center"/>
            <w:hideMark/>
          </w:tcPr>
          <w:p w14:paraId="05867D5C" w14:textId="2B76E084" w:rsidR="00DD114B" w:rsidRPr="006B6D61" w:rsidRDefault="00440548">
            <w:pPr>
              <w:spacing w:after="0"/>
              <w:jc w:val="right"/>
              <w:rPr>
                <w:rFonts w:cstheme="minorHAnsi"/>
              </w:rPr>
            </w:pPr>
            <w:r w:rsidRPr="006B6D61">
              <w:rPr>
                <w:rFonts w:cstheme="minorHAnsi"/>
              </w:rPr>
              <w:t>82 000</w:t>
            </w:r>
          </w:p>
        </w:tc>
        <w:tc>
          <w:tcPr>
            <w:tcW w:w="1271" w:type="dxa"/>
            <w:tcBorders>
              <w:top w:val="nil"/>
              <w:left w:val="nil"/>
              <w:bottom w:val="single" w:sz="4" w:space="0" w:color="auto"/>
              <w:right w:val="single" w:sz="4" w:space="0" w:color="auto"/>
            </w:tcBorders>
            <w:shd w:val="clear" w:color="auto" w:fill="auto"/>
            <w:noWrap/>
            <w:vAlign w:val="center"/>
            <w:hideMark/>
          </w:tcPr>
          <w:p w14:paraId="459EBFA8" w14:textId="4CCD9207" w:rsidR="00DD114B" w:rsidRPr="006B6D61" w:rsidRDefault="00E473E2">
            <w:pPr>
              <w:spacing w:after="0"/>
              <w:jc w:val="right"/>
              <w:rPr>
                <w:rFonts w:cstheme="minorHAnsi"/>
              </w:rPr>
            </w:pPr>
            <w:r w:rsidRPr="006B6D61">
              <w:rPr>
                <w:rFonts w:cstheme="minorHAnsi"/>
              </w:rPr>
              <w:t>197 422</w:t>
            </w:r>
            <w:r w:rsidR="00DD114B" w:rsidRPr="006B6D61">
              <w:rPr>
                <w:rFonts w:cstheme="minorHAnsi"/>
              </w:rPr>
              <w:t xml:space="preserve"> </w:t>
            </w:r>
          </w:p>
        </w:tc>
        <w:tc>
          <w:tcPr>
            <w:tcW w:w="856" w:type="dxa"/>
            <w:tcBorders>
              <w:top w:val="nil"/>
              <w:left w:val="nil"/>
              <w:bottom w:val="single" w:sz="4" w:space="0" w:color="auto"/>
              <w:right w:val="single" w:sz="4" w:space="0" w:color="auto"/>
            </w:tcBorders>
            <w:vAlign w:val="center"/>
          </w:tcPr>
          <w:p w14:paraId="6E4BDFC8" w14:textId="0567F747" w:rsidR="00DD114B" w:rsidRPr="006B6D61" w:rsidRDefault="00811337">
            <w:pPr>
              <w:spacing w:after="0"/>
              <w:jc w:val="right"/>
              <w:rPr>
                <w:rFonts w:cstheme="minorHAnsi"/>
              </w:rPr>
            </w:pPr>
            <w:r w:rsidRPr="006B6D61">
              <w:rPr>
                <w:rFonts w:cstheme="minorHAnsi"/>
              </w:rPr>
              <w:t>240,8</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762B7D0D" w14:textId="00862561" w:rsidR="00DD114B" w:rsidRPr="006B6D61" w:rsidRDefault="00811337">
            <w:pPr>
              <w:spacing w:after="0"/>
              <w:jc w:val="right"/>
              <w:rPr>
                <w:rFonts w:cstheme="minorHAnsi"/>
              </w:rPr>
            </w:pPr>
            <w:r w:rsidRPr="006B6D61">
              <w:rPr>
                <w:rFonts w:cstheme="minorHAnsi"/>
              </w:rPr>
              <w:t>114,4</w:t>
            </w:r>
          </w:p>
        </w:tc>
      </w:tr>
      <w:tr w:rsidR="002F1BE7" w:rsidRPr="002F1BE7" w14:paraId="7E7ADE64" w14:textId="77777777" w:rsidTr="00DF2BB2">
        <w:trPr>
          <w:trHeight w:val="300"/>
        </w:trPr>
        <w:tc>
          <w:tcPr>
            <w:tcW w:w="185" w:type="dxa"/>
            <w:tcBorders>
              <w:top w:val="nil"/>
              <w:left w:val="single" w:sz="4" w:space="0" w:color="auto"/>
              <w:bottom w:val="single" w:sz="4" w:space="0" w:color="auto"/>
              <w:right w:val="nil"/>
            </w:tcBorders>
            <w:shd w:val="clear" w:color="auto" w:fill="auto"/>
            <w:noWrap/>
            <w:vAlign w:val="bottom"/>
            <w:hideMark/>
          </w:tcPr>
          <w:p w14:paraId="49DF341F"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noWrap/>
            <w:vAlign w:val="bottom"/>
            <w:hideMark/>
          </w:tcPr>
          <w:p w14:paraId="12DF78AF" w14:textId="77777777" w:rsidR="00DD114B" w:rsidRPr="006B6D61" w:rsidRDefault="00DD114B" w:rsidP="003F0A7C">
            <w:pPr>
              <w:spacing w:after="0"/>
              <w:rPr>
                <w:rFonts w:cstheme="minorHAnsi"/>
              </w:rPr>
            </w:pPr>
            <w:r w:rsidRPr="006B6D61">
              <w:rPr>
                <w:rFonts w:cstheme="minorHAnsi"/>
              </w:rPr>
              <w:t>kapitálové příjmy</w:t>
            </w:r>
          </w:p>
        </w:tc>
        <w:tc>
          <w:tcPr>
            <w:tcW w:w="1298" w:type="dxa"/>
            <w:tcBorders>
              <w:top w:val="nil"/>
              <w:left w:val="nil"/>
              <w:bottom w:val="single" w:sz="4" w:space="0" w:color="auto"/>
              <w:right w:val="single" w:sz="4" w:space="0" w:color="auto"/>
            </w:tcBorders>
            <w:shd w:val="clear" w:color="auto" w:fill="auto"/>
            <w:noWrap/>
            <w:vAlign w:val="center"/>
            <w:hideMark/>
          </w:tcPr>
          <w:p w14:paraId="222588E0" w14:textId="3554B1C3" w:rsidR="00DD114B" w:rsidRPr="006B6D61" w:rsidRDefault="009C4E70">
            <w:pPr>
              <w:spacing w:after="0"/>
              <w:jc w:val="right"/>
              <w:rPr>
                <w:rFonts w:cstheme="minorHAnsi"/>
              </w:rPr>
            </w:pPr>
            <w:r w:rsidRPr="006B6D61">
              <w:rPr>
                <w:rFonts w:cstheme="minorHAnsi"/>
              </w:rPr>
              <w:t>376</w:t>
            </w:r>
          </w:p>
        </w:tc>
        <w:tc>
          <w:tcPr>
            <w:tcW w:w="1326" w:type="dxa"/>
            <w:tcBorders>
              <w:top w:val="nil"/>
              <w:left w:val="nil"/>
              <w:bottom w:val="single" w:sz="4" w:space="0" w:color="auto"/>
              <w:right w:val="single" w:sz="4" w:space="0" w:color="auto"/>
            </w:tcBorders>
            <w:shd w:val="clear" w:color="auto" w:fill="auto"/>
            <w:noWrap/>
            <w:vAlign w:val="center"/>
            <w:hideMark/>
          </w:tcPr>
          <w:p w14:paraId="1500AECD" w14:textId="77777777" w:rsidR="00DD114B" w:rsidRPr="006B6D61" w:rsidRDefault="00DD114B">
            <w:pPr>
              <w:spacing w:after="0"/>
              <w:jc w:val="right"/>
              <w:rPr>
                <w:rFonts w:cstheme="minorHAnsi"/>
              </w:rPr>
            </w:pPr>
            <w:r w:rsidRPr="006B6D61">
              <w:rPr>
                <w:rFonts w:cstheme="minorHAnsi"/>
              </w:rPr>
              <w:t>0</w:t>
            </w:r>
          </w:p>
        </w:tc>
        <w:tc>
          <w:tcPr>
            <w:tcW w:w="1208" w:type="dxa"/>
            <w:tcBorders>
              <w:top w:val="nil"/>
              <w:left w:val="nil"/>
              <w:bottom w:val="single" w:sz="4" w:space="0" w:color="auto"/>
              <w:right w:val="single" w:sz="4" w:space="0" w:color="auto"/>
            </w:tcBorders>
            <w:shd w:val="clear" w:color="auto" w:fill="auto"/>
            <w:noWrap/>
            <w:vAlign w:val="center"/>
            <w:hideMark/>
          </w:tcPr>
          <w:p w14:paraId="563EB581" w14:textId="77777777" w:rsidR="00DD114B" w:rsidRPr="006B6D61" w:rsidRDefault="00DD114B">
            <w:pPr>
              <w:spacing w:after="0"/>
              <w:jc w:val="right"/>
              <w:rPr>
                <w:rFonts w:cstheme="minorHAnsi"/>
              </w:rPr>
            </w:pPr>
            <w:r w:rsidRPr="006B6D61">
              <w:rPr>
                <w:rFonts w:cstheme="minorHAnsi"/>
              </w:rPr>
              <w:t>0</w:t>
            </w:r>
          </w:p>
        </w:tc>
        <w:tc>
          <w:tcPr>
            <w:tcW w:w="1271" w:type="dxa"/>
            <w:tcBorders>
              <w:top w:val="nil"/>
              <w:left w:val="nil"/>
              <w:bottom w:val="single" w:sz="4" w:space="0" w:color="auto"/>
              <w:right w:val="single" w:sz="4" w:space="0" w:color="auto"/>
            </w:tcBorders>
            <w:shd w:val="clear" w:color="auto" w:fill="auto"/>
            <w:noWrap/>
            <w:vAlign w:val="center"/>
            <w:hideMark/>
          </w:tcPr>
          <w:p w14:paraId="4BA91121" w14:textId="0D34502C" w:rsidR="00DD114B" w:rsidRPr="006B6D61" w:rsidRDefault="00E473E2">
            <w:pPr>
              <w:spacing w:after="0"/>
              <w:jc w:val="right"/>
              <w:rPr>
                <w:rFonts w:cstheme="minorHAnsi"/>
              </w:rPr>
            </w:pPr>
            <w:r w:rsidRPr="006B6D61">
              <w:rPr>
                <w:rFonts w:cstheme="minorHAnsi"/>
              </w:rPr>
              <w:t>65</w:t>
            </w:r>
          </w:p>
        </w:tc>
        <w:tc>
          <w:tcPr>
            <w:tcW w:w="856" w:type="dxa"/>
            <w:tcBorders>
              <w:top w:val="nil"/>
              <w:left w:val="nil"/>
              <w:bottom w:val="single" w:sz="4" w:space="0" w:color="auto"/>
              <w:right w:val="single" w:sz="4" w:space="0" w:color="auto"/>
            </w:tcBorders>
            <w:vAlign w:val="center"/>
          </w:tcPr>
          <w:p w14:paraId="1612C1CC" w14:textId="7A769B3B" w:rsidR="00DD114B" w:rsidRPr="006B6D61" w:rsidRDefault="002C4051">
            <w:pPr>
              <w:spacing w:after="0"/>
              <w:jc w:val="right"/>
              <w:rPr>
                <w:rFonts w:cstheme="minorHAnsi"/>
              </w:rPr>
            </w:pPr>
            <w:r w:rsidRPr="006B6D61">
              <w:rPr>
                <w:rFonts w:cstheme="minorHAnsi"/>
              </w:rPr>
              <w:t>x</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30030245" w14:textId="2AF46E28" w:rsidR="00DD114B" w:rsidRPr="006B6D61" w:rsidRDefault="00811337">
            <w:pPr>
              <w:spacing w:after="0"/>
              <w:jc w:val="right"/>
              <w:rPr>
                <w:rFonts w:cstheme="minorHAnsi"/>
              </w:rPr>
            </w:pPr>
            <w:r w:rsidRPr="006B6D61">
              <w:rPr>
                <w:rFonts w:cstheme="minorHAnsi"/>
              </w:rPr>
              <w:t>17,3</w:t>
            </w:r>
          </w:p>
        </w:tc>
      </w:tr>
      <w:tr w:rsidR="002F1BE7" w:rsidRPr="002F1BE7" w14:paraId="4042117D" w14:textId="77777777" w:rsidTr="00DF2BB2">
        <w:trPr>
          <w:trHeight w:val="300"/>
        </w:trPr>
        <w:tc>
          <w:tcPr>
            <w:tcW w:w="185" w:type="dxa"/>
            <w:tcBorders>
              <w:top w:val="nil"/>
              <w:left w:val="single" w:sz="4" w:space="0" w:color="auto"/>
              <w:bottom w:val="single" w:sz="4" w:space="0" w:color="auto"/>
              <w:right w:val="nil"/>
            </w:tcBorders>
            <w:shd w:val="clear" w:color="auto" w:fill="auto"/>
            <w:noWrap/>
            <w:vAlign w:val="bottom"/>
            <w:hideMark/>
          </w:tcPr>
          <w:p w14:paraId="4AB28D8D"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vAlign w:val="bottom"/>
            <w:hideMark/>
          </w:tcPr>
          <w:p w14:paraId="3EED315D" w14:textId="77777777" w:rsidR="00DD114B" w:rsidRPr="006B6D61" w:rsidRDefault="00DD114B" w:rsidP="003F0A7C">
            <w:pPr>
              <w:spacing w:after="0"/>
              <w:rPr>
                <w:rFonts w:cstheme="minorHAnsi"/>
              </w:rPr>
            </w:pPr>
            <w:r w:rsidRPr="006B6D61">
              <w:rPr>
                <w:rFonts w:cstheme="minorHAnsi"/>
              </w:rPr>
              <w:t xml:space="preserve">převody z </w:t>
            </w:r>
            <w:proofErr w:type="spellStart"/>
            <w:r w:rsidRPr="006B6D61">
              <w:rPr>
                <w:rFonts w:cstheme="minorHAnsi"/>
              </w:rPr>
              <w:t>ost</w:t>
            </w:r>
            <w:proofErr w:type="spellEnd"/>
            <w:r w:rsidRPr="006B6D61">
              <w:rPr>
                <w:rFonts w:cstheme="minorHAnsi"/>
              </w:rPr>
              <w:t>. vlastních fondů</w:t>
            </w:r>
          </w:p>
        </w:tc>
        <w:tc>
          <w:tcPr>
            <w:tcW w:w="1298" w:type="dxa"/>
            <w:tcBorders>
              <w:top w:val="nil"/>
              <w:left w:val="nil"/>
              <w:bottom w:val="single" w:sz="4" w:space="0" w:color="auto"/>
              <w:right w:val="single" w:sz="4" w:space="0" w:color="auto"/>
            </w:tcBorders>
            <w:shd w:val="clear" w:color="auto" w:fill="auto"/>
            <w:noWrap/>
            <w:vAlign w:val="center"/>
            <w:hideMark/>
          </w:tcPr>
          <w:p w14:paraId="2C8BA024" w14:textId="7E32BF45" w:rsidR="00DD114B" w:rsidRPr="006B6D61" w:rsidRDefault="009C4E70">
            <w:pPr>
              <w:spacing w:after="0"/>
              <w:jc w:val="right"/>
              <w:rPr>
                <w:rFonts w:cstheme="minorHAnsi"/>
              </w:rPr>
            </w:pPr>
            <w:r w:rsidRPr="006B6D61">
              <w:rPr>
                <w:rFonts w:cstheme="minorHAnsi"/>
              </w:rPr>
              <w:t>953</w:t>
            </w:r>
          </w:p>
        </w:tc>
        <w:tc>
          <w:tcPr>
            <w:tcW w:w="1326" w:type="dxa"/>
            <w:tcBorders>
              <w:top w:val="nil"/>
              <w:left w:val="nil"/>
              <w:bottom w:val="single" w:sz="4" w:space="0" w:color="auto"/>
              <w:right w:val="single" w:sz="4" w:space="0" w:color="auto"/>
            </w:tcBorders>
            <w:shd w:val="clear" w:color="auto" w:fill="auto"/>
            <w:noWrap/>
            <w:vAlign w:val="center"/>
            <w:hideMark/>
          </w:tcPr>
          <w:p w14:paraId="038B5960" w14:textId="77777777" w:rsidR="00DD114B" w:rsidRPr="006B6D61" w:rsidRDefault="00DD114B">
            <w:pPr>
              <w:spacing w:after="0"/>
              <w:jc w:val="right"/>
              <w:rPr>
                <w:rFonts w:cstheme="minorHAnsi"/>
              </w:rPr>
            </w:pPr>
            <w:r w:rsidRPr="006B6D61">
              <w:rPr>
                <w:rFonts w:cstheme="minorHAnsi"/>
              </w:rPr>
              <w:t>0</w:t>
            </w:r>
          </w:p>
        </w:tc>
        <w:tc>
          <w:tcPr>
            <w:tcW w:w="1208" w:type="dxa"/>
            <w:tcBorders>
              <w:top w:val="nil"/>
              <w:left w:val="nil"/>
              <w:bottom w:val="single" w:sz="4" w:space="0" w:color="auto"/>
              <w:right w:val="single" w:sz="4" w:space="0" w:color="auto"/>
            </w:tcBorders>
            <w:shd w:val="clear" w:color="auto" w:fill="auto"/>
            <w:noWrap/>
            <w:vAlign w:val="center"/>
            <w:hideMark/>
          </w:tcPr>
          <w:p w14:paraId="13F0789E" w14:textId="77777777" w:rsidR="00DD114B" w:rsidRPr="006B6D61" w:rsidRDefault="00DD114B">
            <w:pPr>
              <w:spacing w:after="0"/>
              <w:jc w:val="right"/>
              <w:rPr>
                <w:rFonts w:cstheme="minorHAnsi"/>
              </w:rPr>
            </w:pPr>
            <w:r w:rsidRPr="006B6D61">
              <w:rPr>
                <w:rFonts w:cstheme="minorHAnsi"/>
              </w:rPr>
              <w:t>0</w:t>
            </w:r>
          </w:p>
        </w:tc>
        <w:tc>
          <w:tcPr>
            <w:tcW w:w="1271" w:type="dxa"/>
            <w:tcBorders>
              <w:top w:val="nil"/>
              <w:left w:val="nil"/>
              <w:bottom w:val="single" w:sz="4" w:space="0" w:color="auto"/>
              <w:right w:val="single" w:sz="4" w:space="0" w:color="auto"/>
            </w:tcBorders>
            <w:shd w:val="clear" w:color="auto" w:fill="auto"/>
            <w:noWrap/>
            <w:vAlign w:val="center"/>
            <w:hideMark/>
          </w:tcPr>
          <w:p w14:paraId="15AF7F30" w14:textId="7BE0AE3D" w:rsidR="00DD114B" w:rsidRPr="006B6D61" w:rsidRDefault="00E473E2">
            <w:pPr>
              <w:spacing w:after="0"/>
              <w:jc w:val="right"/>
              <w:rPr>
                <w:rFonts w:cstheme="minorHAnsi"/>
              </w:rPr>
            </w:pPr>
            <w:r w:rsidRPr="006B6D61">
              <w:rPr>
                <w:rFonts w:cstheme="minorHAnsi"/>
              </w:rPr>
              <w:t>523</w:t>
            </w:r>
          </w:p>
        </w:tc>
        <w:tc>
          <w:tcPr>
            <w:tcW w:w="856" w:type="dxa"/>
            <w:tcBorders>
              <w:top w:val="nil"/>
              <w:left w:val="nil"/>
              <w:bottom w:val="single" w:sz="4" w:space="0" w:color="auto"/>
              <w:right w:val="single" w:sz="4" w:space="0" w:color="auto"/>
            </w:tcBorders>
            <w:vAlign w:val="center"/>
          </w:tcPr>
          <w:p w14:paraId="77D3B48E" w14:textId="35D4B507" w:rsidR="00DD114B" w:rsidRPr="006B6D61" w:rsidRDefault="002C4051">
            <w:pPr>
              <w:spacing w:after="0"/>
              <w:jc w:val="right"/>
              <w:rPr>
                <w:rFonts w:cstheme="minorHAnsi"/>
              </w:rPr>
            </w:pPr>
            <w:r w:rsidRPr="006B6D61">
              <w:rPr>
                <w:rFonts w:cstheme="minorHAnsi"/>
              </w:rPr>
              <w:t>x</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08AF1840" w14:textId="75895F9B" w:rsidR="00DD114B" w:rsidRPr="006B6D61" w:rsidRDefault="00811337">
            <w:pPr>
              <w:spacing w:after="0"/>
              <w:jc w:val="right"/>
              <w:rPr>
                <w:rFonts w:cstheme="minorHAnsi"/>
              </w:rPr>
            </w:pPr>
            <w:r w:rsidRPr="006B6D61">
              <w:rPr>
                <w:rFonts w:cstheme="minorHAnsi"/>
              </w:rPr>
              <w:t>54,9</w:t>
            </w:r>
          </w:p>
        </w:tc>
      </w:tr>
      <w:tr w:rsidR="002F1BE7" w:rsidRPr="002F1BE7" w14:paraId="6B9D5305" w14:textId="77777777" w:rsidTr="00DF2BB2">
        <w:trPr>
          <w:trHeight w:val="420"/>
        </w:trPr>
        <w:tc>
          <w:tcPr>
            <w:tcW w:w="185" w:type="dxa"/>
            <w:tcBorders>
              <w:top w:val="nil"/>
              <w:left w:val="single" w:sz="4" w:space="0" w:color="auto"/>
              <w:bottom w:val="single" w:sz="4" w:space="0" w:color="auto"/>
              <w:right w:val="nil"/>
            </w:tcBorders>
            <w:shd w:val="clear" w:color="auto" w:fill="auto"/>
            <w:noWrap/>
            <w:vAlign w:val="bottom"/>
            <w:hideMark/>
          </w:tcPr>
          <w:p w14:paraId="41A5B1C4"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vAlign w:val="center"/>
            <w:hideMark/>
          </w:tcPr>
          <w:p w14:paraId="0CA17F61" w14:textId="77777777" w:rsidR="00DD114B" w:rsidRPr="006B6D61" w:rsidRDefault="00DD114B" w:rsidP="003F0A7C">
            <w:pPr>
              <w:spacing w:after="0"/>
              <w:rPr>
                <w:rFonts w:cstheme="minorHAnsi"/>
              </w:rPr>
            </w:pPr>
            <w:r w:rsidRPr="006B6D61">
              <w:rPr>
                <w:rFonts w:cstheme="minorHAnsi"/>
              </w:rPr>
              <w:t xml:space="preserve">převody z rezervních fondů OSS (vč. </w:t>
            </w:r>
            <w:proofErr w:type="spellStart"/>
            <w:r w:rsidRPr="006B6D61">
              <w:rPr>
                <w:rFonts w:cstheme="minorHAnsi"/>
              </w:rPr>
              <w:t>prostř</w:t>
            </w:r>
            <w:proofErr w:type="spellEnd"/>
            <w:r w:rsidRPr="006B6D61">
              <w:rPr>
                <w:rFonts w:cstheme="minorHAnsi"/>
              </w:rPr>
              <w:t>. EU)</w:t>
            </w:r>
          </w:p>
        </w:tc>
        <w:tc>
          <w:tcPr>
            <w:tcW w:w="1298" w:type="dxa"/>
            <w:tcBorders>
              <w:top w:val="nil"/>
              <w:left w:val="nil"/>
              <w:bottom w:val="single" w:sz="4" w:space="0" w:color="auto"/>
              <w:right w:val="single" w:sz="4" w:space="0" w:color="auto"/>
            </w:tcBorders>
            <w:shd w:val="clear" w:color="auto" w:fill="auto"/>
            <w:noWrap/>
            <w:vAlign w:val="center"/>
            <w:hideMark/>
          </w:tcPr>
          <w:p w14:paraId="2AA0512E" w14:textId="3225AA7B" w:rsidR="00DD114B" w:rsidRPr="006B6D61" w:rsidRDefault="009C4E70">
            <w:pPr>
              <w:spacing w:after="0"/>
              <w:jc w:val="right"/>
              <w:rPr>
                <w:rFonts w:cstheme="minorHAnsi"/>
              </w:rPr>
            </w:pPr>
            <w:r w:rsidRPr="006B6D61">
              <w:rPr>
                <w:rFonts w:cstheme="minorHAnsi"/>
              </w:rPr>
              <w:t>31 881</w:t>
            </w:r>
          </w:p>
        </w:tc>
        <w:tc>
          <w:tcPr>
            <w:tcW w:w="1326" w:type="dxa"/>
            <w:tcBorders>
              <w:top w:val="nil"/>
              <w:left w:val="nil"/>
              <w:bottom w:val="single" w:sz="4" w:space="0" w:color="auto"/>
              <w:right w:val="single" w:sz="4" w:space="0" w:color="auto"/>
            </w:tcBorders>
            <w:shd w:val="clear" w:color="auto" w:fill="auto"/>
            <w:noWrap/>
            <w:vAlign w:val="center"/>
            <w:hideMark/>
          </w:tcPr>
          <w:p w14:paraId="63571A3D" w14:textId="77777777" w:rsidR="00DD114B" w:rsidRPr="006B6D61" w:rsidRDefault="00DD114B">
            <w:pPr>
              <w:spacing w:after="0"/>
              <w:jc w:val="right"/>
              <w:rPr>
                <w:rFonts w:cstheme="minorHAnsi"/>
              </w:rPr>
            </w:pPr>
            <w:r w:rsidRPr="006B6D61">
              <w:rPr>
                <w:rFonts w:cstheme="minorHAnsi"/>
              </w:rPr>
              <w:t>0</w:t>
            </w:r>
          </w:p>
        </w:tc>
        <w:tc>
          <w:tcPr>
            <w:tcW w:w="1208" w:type="dxa"/>
            <w:tcBorders>
              <w:top w:val="nil"/>
              <w:left w:val="nil"/>
              <w:bottom w:val="single" w:sz="4" w:space="0" w:color="auto"/>
              <w:right w:val="single" w:sz="4" w:space="0" w:color="auto"/>
            </w:tcBorders>
            <w:shd w:val="clear" w:color="auto" w:fill="auto"/>
            <w:noWrap/>
            <w:vAlign w:val="center"/>
            <w:hideMark/>
          </w:tcPr>
          <w:p w14:paraId="1F968FC5" w14:textId="77777777" w:rsidR="00DD114B" w:rsidRPr="006B6D61" w:rsidRDefault="00DD114B">
            <w:pPr>
              <w:spacing w:after="0"/>
              <w:jc w:val="right"/>
              <w:rPr>
                <w:rFonts w:cstheme="minorHAnsi"/>
              </w:rPr>
            </w:pPr>
            <w:r w:rsidRPr="006B6D61">
              <w:rPr>
                <w:rFonts w:cstheme="minorHAnsi"/>
              </w:rPr>
              <w:t>0</w:t>
            </w:r>
          </w:p>
        </w:tc>
        <w:tc>
          <w:tcPr>
            <w:tcW w:w="1271" w:type="dxa"/>
            <w:tcBorders>
              <w:top w:val="nil"/>
              <w:left w:val="nil"/>
              <w:bottom w:val="single" w:sz="4" w:space="0" w:color="auto"/>
              <w:right w:val="single" w:sz="4" w:space="0" w:color="auto"/>
            </w:tcBorders>
            <w:shd w:val="clear" w:color="auto" w:fill="auto"/>
            <w:noWrap/>
            <w:vAlign w:val="center"/>
            <w:hideMark/>
          </w:tcPr>
          <w:p w14:paraId="6841DE83" w14:textId="6A09FD2F" w:rsidR="00DD114B" w:rsidRPr="006B6D61" w:rsidRDefault="00E473E2">
            <w:pPr>
              <w:spacing w:after="0"/>
              <w:jc w:val="right"/>
              <w:rPr>
                <w:rFonts w:cstheme="minorHAnsi"/>
              </w:rPr>
            </w:pPr>
            <w:r w:rsidRPr="006B6D61">
              <w:rPr>
                <w:rFonts w:cstheme="minorHAnsi"/>
              </w:rPr>
              <w:t>6 371</w:t>
            </w:r>
          </w:p>
        </w:tc>
        <w:tc>
          <w:tcPr>
            <w:tcW w:w="856" w:type="dxa"/>
            <w:tcBorders>
              <w:top w:val="nil"/>
              <w:left w:val="nil"/>
              <w:bottom w:val="single" w:sz="4" w:space="0" w:color="auto"/>
              <w:right w:val="single" w:sz="4" w:space="0" w:color="auto"/>
            </w:tcBorders>
            <w:vAlign w:val="center"/>
          </w:tcPr>
          <w:p w14:paraId="115CA349" w14:textId="23E43379" w:rsidR="00DD114B" w:rsidRPr="006B6D61" w:rsidRDefault="002C4051">
            <w:pPr>
              <w:spacing w:after="0"/>
              <w:jc w:val="right"/>
              <w:rPr>
                <w:rFonts w:cstheme="minorHAnsi"/>
              </w:rPr>
            </w:pPr>
            <w:r w:rsidRPr="006B6D61">
              <w:rPr>
                <w:rFonts w:cstheme="minorHAnsi"/>
              </w:rPr>
              <w:t>x</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420241A6" w14:textId="1C42DF60" w:rsidR="00DD114B" w:rsidRPr="006B6D61" w:rsidRDefault="00811337">
            <w:pPr>
              <w:spacing w:after="0"/>
              <w:jc w:val="right"/>
              <w:rPr>
                <w:rFonts w:cstheme="minorHAnsi"/>
              </w:rPr>
            </w:pPr>
            <w:r w:rsidRPr="006B6D61">
              <w:rPr>
                <w:rFonts w:cstheme="minorHAnsi"/>
              </w:rPr>
              <w:t>20,0</w:t>
            </w:r>
          </w:p>
        </w:tc>
      </w:tr>
      <w:tr w:rsidR="002F1BE7" w:rsidRPr="002F1BE7" w14:paraId="13DD9885" w14:textId="77777777" w:rsidTr="00DF2BB2">
        <w:trPr>
          <w:trHeight w:val="300"/>
        </w:trPr>
        <w:tc>
          <w:tcPr>
            <w:tcW w:w="185" w:type="dxa"/>
            <w:tcBorders>
              <w:top w:val="nil"/>
              <w:left w:val="single" w:sz="4" w:space="0" w:color="auto"/>
              <w:bottom w:val="single" w:sz="4" w:space="0" w:color="auto"/>
              <w:right w:val="nil"/>
            </w:tcBorders>
            <w:shd w:val="clear" w:color="auto" w:fill="auto"/>
            <w:noWrap/>
            <w:vAlign w:val="bottom"/>
            <w:hideMark/>
          </w:tcPr>
          <w:p w14:paraId="0D86DF3B"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vAlign w:val="bottom"/>
            <w:hideMark/>
          </w:tcPr>
          <w:p w14:paraId="0A2E8A04" w14:textId="2C3617E1" w:rsidR="00DD114B" w:rsidRPr="006B6D61" w:rsidRDefault="00DD114B" w:rsidP="003F0A7C">
            <w:pPr>
              <w:spacing w:after="0"/>
              <w:rPr>
                <w:rFonts w:cstheme="minorHAnsi"/>
              </w:rPr>
            </w:pPr>
            <w:proofErr w:type="spellStart"/>
            <w:r w:rsidRPr="006B6D61">
              <w:rPr>
                <w:rFonts w:cstheme="minorHAnsi"/>
              </w:rPr>
              <w:t>neinv</w:t>
            </w:r>
            <w:proofErr w:type="spellEnd"/>
            <w:r w:rsidRPr="006B6D61">
              <w:rPr>
                <w:rFonts w:cstheme="minorHAnsi"/>
              </w:rPr>
              <w:t xml:space="preserve">. převody z NF </w:t>
            </w:r>
            <w:r w:rsidR="0067191A">
              <w:rPr>
                <w:rFonts w:cstheme="minorHAnsi"/>
              </w:rPr>
              <w:br/>
            </w:r>
            <w:r w:rsidRPr="006B6D61">
              <w:rPr>
                <w:rFonts w:cstheme="minorHAnsi"/>
              </w:rPr>
              <w:t xml:space="preserve">a </w:t>
            </w:r>
            <w:proofErr w:type="spellStart"/>
            <w:r w:rsidRPr="006B6D61">
              <w:rPr>
                <w:rFonts w:cstheme="minorHAnsi"/>
              </w:rPr>
              <w:t>neinv</w:t>
            </w:r>
            <w:proofErr w:type="spellEnd"/>
            <w:r w:rsidRPr="006B6D61">
              <w:rPr>
                <w:rFonts w:cstheme="minorHAnsi"/>
              </w:rPr>
              <w:t xml:space="preserve">. </w:t>
            </w:r>
            <w:proofErr w:type="spellStart"/>
            <w:r w:rsidRPr="006B6D61">
              <w:rPr>
                <w:rFonts w:cstheme="minorHAnsi"/>
              </w:rPr>
              <w:t>trasf</w:t>
            </w:r>
            <w:proofErr w:type="spellEnd"/>
            <w:r w:rsidRPr="006B6D61">
              <w:rPr>
                <w:rFonts w:cstheme="minorHAnsi"/>
              </w:rPr>
              <w:t xml:space="preserve">. </w:t>
            </w:r>
            <w:proofErr w:type="spellStart"/>
            <w:r w:rsidRPr="006B6D61">
              <w:rPr>
                <w:rFonts w:cstheme="minorHAnsi"/>
              </w:rPr>
              <w:t>přij</w:t>
            </w:r>
            <w:proofErr w:type="spellEnd"/>
            <w:r w:rsidRPr="006B6D61">
              <w:rPr>
                <w:rFonts w:cstheme="minorHAnsi"/>
              </w:rPr>
              <w:t>. z EU</w:t>
            </w:r>
          </w:p>
        </w:tc>
        <w:tc>
          <w:tcPr>
            <w:tcW w:w="1298" w:type="dxa"/>
            <w:tcBorders>
              <w:top w:val="nil"/>
              <w:left w:val="nil"/>
              <w:bottom w:val="single" w:sz="4" w:space="0" w:color="auto"/>
              <w:right w:val="single" w:sz="4" w:space="0" w:color="auto"/>
            </w:tcBorders>
            <w:shd w:val="clear" w:color="auto" w:fill="auto"/>
            <w:noWrap/>
            <w:vAlign w:val="center"/>
            <w:hideMark/>
          </w:tcPr>
          <w:p w14:paraId="36717C0B" w14:textId="4C801D8C" w:rsidR="00DD114B" w:rsidRPr="006B6D61" w:rsidRDefault="009C4E70">
            <w:pPr>
              <w:spacing w:after="0"/>
              <w:jc w:val="right"/>
              <w:rPr>
                <w:rFonts w:cstheme="minorHAnsi"/>
              </w:rPr>
            </w:pPr>
            <w:r w:rsidRPr="006B6D61">
              <w:rPr>
                <w:rFonts w:cstheme="minorHAnsi"/>
              </w:rPr>
              <w:t>89 492</w:t>
            </w:r>
          </w:p>
        </w:tc>
        <w:tc>
          <w:tcPr>
            <w:tcW w:w="1326" w:type="dxa"/>
            <w:tcBorders>
              <w:top w:val="nil"/>
              <w:left w:val="nil"/>
              <w:bottom w:val="single" w:sz="4" w:space="0" w:color="auto"/>
              <w:right w:val="single" w:sz="4" w:space="0" w:color="auto"/>
            </w:tcBorders>
            <w:shd w:val="clear" w:color="auto" w:fill="auto"/>
            <w:noWrap/>
            <w:vAlign w:val="center"/>
            <w:hideMark/>
          </w:tcPr>
          <w:p w14:paraId="3AB07B80" w14:textId="69FA5C1F" w:rsidR="00DD114B" w:rsidRPr="006B6D61" w:rsidRDefault="00394F34">
            <w:pPr>
              <w:spacing w:after="0"/>
              <w:jc w:val="right"/>
              <w:rPr>
                <w:rFonts w:cstheme="minorHAnsi"/>
              </w:rPr>
            </w:pPr>
            <w:r w:rsidRPr="006B6D61">
              <w:rPr>
                <w:rFonts w:cstheme="minorHAnsi"/>
              </w:rPr>
              <w:t>640 034</w:t>
            </w:r>
          </w:p>
        </w:tc>
        <w:tc>
          <w:tcPr>
            <w:tcW w:w="1208" w:type="dxa"/>
            <w:tcBorders>
              <w:top w:val="nil"/>
              <w:left w:val="nil"/>
              <w:bottom w:val="single" w:sz="4" w:space="0" w:color="auto"/>
              <w:right w:val="single" w:sz="4" w:space="0" w:color="auto"/>
            </w:tcBorders>
            <w:shd w:val="clear" w:color="auto" w:fill="auto"/>
            <w:noWrap/>
            <w:vAlign w:val="center"/>
            <w:hideMark/>
          </w:tcPr>
          <w:p w14:paraId="1F7EBE9C" w14:textId="44AD106A" w:rsidR="00DD114B" w:rsidRPr="002F1BE7" w:rsidRDefault="00B72B1D">
            <w:pPr>
              <w:spacing w:after="0"/>
              <w:jc w:val="right"/>
              <w:rPr>
                <w:rFonts w:cstheme="minorHAnsi"/>
                <w:color w:val="FF0000"/>
              </w:rPr>
            </w:pPr>
            <w:r w:rsidRPr="006B6D61">
              <w:rPr>
                <w:rFonts w:cstheme="minorHAnsi"/>
              </w:rPr>
              <w:t>124 871</w:t>
            </w:r>
          </w:p>
        </w:tc>
        <w:tc>
          <w:tcPr>
            <w:tcW w:w="1271" w:type="dxa"/>
            <w:tcBorders>
              <w:top w:val="nil"/>
              <w:left w:val="nil"/>
              <w:bottom w:val="single" w:sz="4" w:space="0" w:color="auto"/>
              <w:right w:val="single" w:sz="4" w:space="0" w:color="auto"/>
            </w:tcBorders>
            <w:shd w:val="clear" w:color="auto" w:fill="auto"/>
            <w:noWrap/>
            <w:vAlign w:val="center"/>
            <w:hideMark/>
          </w:tcPr>
          <w:p w14:paraId="6344DA93" w14:textId="3E5B95B7" w:rsidR="00DD114B" w:rsidRPr="006B6D61" w:rsidRDefault="00E473E2">
            <w:pPr>
              <w:spacing w:after="0"/>
              <w:jc w:val="right"/>
              <w:rPr>
                <w:rFonts w:cstheme="minorHAnsi"/>
              </w:rPr>
            </w:pPr>
            <w:r w:rsidRPr="006B6D61">
              <w:rPr>
                <w:rFonts w:cstheme="minorHAnsi"/>
              </w:rPr>
              <w:t>294 820</w:t>
            </w:r>
          </w:p>
        </w:tc>
        <w:tc>
          <w:tcPr>
            <w:tcW w:w="856" w:type="dxa"/>
            <w:tcBorders>
              <w:top w:val="nil"/>
              <w:left w:val="nil"/>
              <w:bottom w:val="single" w:sz="4" w:space="0" w:color="auto"/>
              <w:right w:val="single" w:sz="4" w:space="0" w:color="auto"/>
            </w:tcBorders>
            <w:vAlign w:val="center"/>
          </w:tcPr>
          <w:p w14:paraId="1C1A6F49" w14:textId="5A8B53D6" w:rsidR="00DD114B" w:rsidRPr="006B6D61" w:rsidRDefault="00556AC0">
            <w:pPr>
              <w:spacing w:after="0"/>
              <w:jc w:val="right"/>
              <w:rPr>
                <w:rFonts w:cstheme="minorHAnsi"/>
              </w:rPr>
            </w:pPr>
            <w:r w:rsidRPr="006B6D61">
              <w:rPr>
                <w:rFonts w:cstheme="minorHAnsi"/>
              </w:rPr>
              <w:t>236,1</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63822BF7" w14:textId="2E1C2816" w:rsidR="00DD114B" w:rsidRPr="006B6D61" w:rsidRDefault="00556AC0">
            <w:pPr>
              <w:spacing w:after="0"/>
              <w:jc w:val="right"/>
              <w:rPr>
                <w:rFonts w:cstheme="minorHAnsi"/>
              </w:rPr>
            </w:pPr>
            <w:r w:rsidRPr="006B6D61">
              <w:rPr>
                <w:rFonts w:cstheme="minorHAnsi"/>
              </w:rPr>
              <w:t>329,4</w:t>
            </w:r>
          </w:p>
        </w:tc>
      </w:tr>
      <w:tr w:rsidR="002F1BE7" w:rsidRPr="002F1BE7" w14:paraId="34A80833" w14:textId="77777777" w:rsidTr="00DF2BB2">
        <w:trPr>
          <w:trHeight w:val="300"/>
        </w:trPr>
        <w:tc>
          <w:tcPr>
            <w:tcW w:w="185" w:type="dxa"/>
            <w:tcBorders>
              <w:top w:val="nil"/>
              <w:left w:val="single" w:sz="4" w:space="0" w:color="auto"/>
              <w:bottom w:val="single" w:sz="4" w:space="0" w:color="auto"/>
              <w:right w:val="nil"/>
            </w:tcBorders>
            <w:shd w:val="clear" w:color="auto" w:fill="auto"/>
            <w:noWrap/>
            <w:vAlign w:val="bottom"/>
            <w:hideMark/>
          </w:tcPr>
          <w:p w14:paraId="3730EE79" w14:textId="77777777" w:rsidR="00DD114B" w:rsidRPr="006B6D61" w:rsidRDefault="00DD114B" w:rsidP="003F0A7C">
            <w:pPr>
              <w:spacing w:after="0"/>
              <w:rPr>
                <w:rFonts w:cstheme="minorHAnsi"/>
              </w:rPr>
            </w:pPr>
            <w:r w:rsidRPr="006B6D61">
              <w:rPr>
                <w:rFonts w:cstheme="minorHAnsi"/>
              </w:rPr>
              <w:t> </w:t>
            </w:r>
          </w:p>
        </w:tc>
        <w:tc>
          <w:tcPr>
            <w:tcW w:w="2225" w:type="dxa"/>
            <w:tcBorders>
              <w:top w:val="nil"/>
              <w:left w:val="nil"/>
              <w:bottom w:val="single" w:sz="4" w:space="0" w:color="auto"/>
              <w:right w:val="single" w:sz="4" w:space="0" w:color="auto"/>
            </w:tcBorders>
            <w:shd w:val="clear" w:color="auto" w:fill="auto"/>
            <w:vAlign w:val="bottom"/>
            <w:hideMark/>
          </w:tcPr>
          <w:p w14:paraId="6B396EB9" w14:textId="77777777" w:rsidR="00DD114B" w:rsidRPr="006B6D61" w:rsidRDefault="00DD114B" w:rsidP="003F0A7C">
            <w:pPr>
              <w:spacing w:after="0"/>
              <w:rPr>
                <w:rFonts w:cstheme="minorHAnsi"/>
              </w:rPr>
            </w:pPr>
            <w:r w:rsidRPr="006B6D61">
              <w:rPr>
                <w:rFonts w:cstheme="minorHAnsi"/>
              </w:rPr>
              <w:t xml:space="preserve">investiční převody z NF a </w:t>
            </w:r>
            <w:proofErr w:type="spellStart"/>
            <w:r w:rsidRPr="006B6D61">
              <w:rPr>
                <w:rFonts w:cstheme="minorHAnsi"/>
              </w:rPr>
              <w:t>inv</w:t>
            </w:r>
            <w:proofErr w:type="spellEnd"/>
            <w:r w:rsidRPr="006B6D61">
              <w:rPr>
                <w:rFonts w:cstheme="minorHAnsi"/>
              </w:rPr>
              <w:t xml:space="preserve">. </w:t>
            </w:r>
            <w:proofErr w:type="spellStart"/>
            <w:r w:rsidRPr="006B6D61">
              <w:rPr>
                <w:rFonts w:cstheme="minorHAnsi"/>
              </w:rPr>
              <w:t>trasf</w:t>
            </w:r>
            <w:proofErr w:type="spellEnd"/>
            <w:r w:rsidRPr="006B6D61">
              <w:rPr>
                <w:rFonts w:cstheme="minorHAnsi"/>
              </w:rPr>
              <w:t xml:space="preserve">. </w:t>
            </w:r>
            <w:proofErr w:type="spellStart"/>
            <w:r w:rsidRPr="006B6D61">
              <w:rPr>
                <w:rFonts w:cstheme="minorHAnsi"/>
              </w:rPr>
              <w:t>přij</w:t>
            </w:r>
            <w:proofErr w:type="spellEnd"/>
            <w:r w:rsidRPr="006B6D61">
              <w:rPr>
                <w:rFonts w:cstheme="minorHAnsi"/>
              </w:rPr>
              <w:t>. z EU</w:t>
            </w:r>
          </w:p>
        </w:tc>
        <w:tc>
          <w:tcPr>
            <w:tcW w:w="1298" w:type="dxa"/>
            <w:tcBorders>
              <w:top w:val="nil"/>
              <w:left w:val="nil"/>
              <w:bottom w:val="single" w:sz="4" w:space="0" w:color="auto"/>
              <w:right w:val="single" w:sz="4" w:space="0" w:color="auto"/>
            </w:tcBorders>
            <w:shd w:val="clear" w:color="auto" w:fill="auto"/>
            <w:noWrap/>
            <w:vAlign w:val="center"/>
            <w:hideMark/>
          </w:tcPr>
          <w:p w14:paraId="15599616" w14:textId="093AAAB0" w:rsidR="00DD114B" w:rsidRPr="002F1BE7" w:rsidRDefault="00BC033A">
            <w:pPr>
              <w:spacing w:after="0"/>
              <w:jc w:val="right"/>
              <w:rPr>
                <w:rFonts w:cstheme="minorHAnsi"/>
                <w:color w:val="FF0000"/>
              </w:rPr>
            </w:pPr>
            <w:r w:rsidRPr="006B6D61">
              <w:rPr>
                <w:rFonts w:cstheme="minorHAnsi"/>
              </w:rPr>
              <w:t>20 624 418</w:t>
            </w:r>
          </w:p>
        </w:tc>
        <w:tc>
          <w:tcPr>
            <w:tcW w:w="1326" w:type="dxa"/>
            <w:tcBorders>
              <w:top w:val="nil"/>
              <w:left w:val="nil"/>
              <w:bottom w:val="single" w:sz="4" w:space="0" w:color="auto"/>
              <w:right w:val="single" w:sz="4" w:space="0" w:color="auto"/>
            </w:tcBorders>
            <w:shd w:val="clear" w:color="auto" w:fill="auto"/>
            <w:noWrap/>
            <w:vAlign w:val="center"/>
          </w:tcPr>
          <w:p w14:paraId="28DF8C9B" w14:textId="2AB2DB7C" w:rsidR="00DD114B" w:rsidRPr="006B6D61" w:rsidRDefault="00394F34">
            <w:pPr>
              <w:spacing w:after="0"/>
              <w:jc w:val="right"/>
              <w:rPr>
                <w:rFonts w:cstheme="minorHAnsi"/>
              </w:rPr>
            </w:pPr>
            <w:r w:rsidRPr="006B6D61">
              <w:rPr>
                <w:rFonts w:cstheme="minorHAnsi"/>
              </w:rPr>
              <w:t>28 146 730</w:t>
            </w:r>
          </w:p>
        </w:tc>
        <w:tc>
          <w:tcPr>
            <w:tcW w:w="1208" w:type="dxa"/>
            <w:tcBorders>
              <w:top w:val="nil"/>
              <w:left w:val="nil"/>
              <w:bottom w:val="single" w:sz="4" w:space="0" w:color="auto"/>
              <w:right w:val="single" w:sz="4" w:space="0" w:color="auto"/>
            </w:tcBorders>
            <w:shd w:val="clear" w:color="auto" w:fill="auto"/>
            <w:noWrap/>
            <w:vAlign w:val="center"/>
            <w:hideMark/>
          </w:tcPr>
          <w:p w14:paraId="2321DC25" w14:textId="2A9AEAB5" w:rsidR="00DD114B" w:rsidRPr="002F1BE7" w:rsidRDefault="00B72B1D">
            <w:pPr>
              <w:spacing w:after="0"/>
              <w:jc w:val="right"/>
              <w:rPr>
                <w:rFonts w:cstheme="minorHAnsi"/>
                <w:color w:val="FF0000"/>
              </w:rPr>
            </w:pPr>
            <w:r w:rsidRPr="006B6D61">
              <w:rPr>
                <w:rFonts w:cstheme="minorHAnsi"/>
              </w:rPr>
              <w:t>28 663 473</w:t>
            </w:r>
          </w:p>
        </w:tc>
        <w:tc>
          <w:tcPr>
            <w:tcW w:w="1271" w:type="dxa"/>
            <w:tcBorders>
              <w:top w:val="nil"/>
              <w:left w:val="nil"/>
              <w:bottom w:val="single" w:sz="4" w:space="0" w:color="auto"/>
              <w:right w:val="single" w:sz="4" w:space="0" w:color="auto"/>
            </w:tcBorders>
            <w:shd w:val="clear" w:color="auto" w:fill="auto"/>
            <w:noWrap/>
            <w:vAlign w:val="center"/>
            <w:hideMark/>
          </w:tcPr>
          <w:p w14:paraId="60AFB7E7" w14:textId="142AE03F" w:rsidR="00DD114B" w:rsidRPr="006B6D61" w:rsidRDefault="00E473E2">
            <w:pPr>
              <w:spacing w:after="0"/>
              <w:jc w:val="right"/>
              <w:rPr>
                <w:rFonts w:cstheme="minorHAnsi"/>
              </w:rPr>
            </w:pPr>
            <w:r w:rsidRPr="006B6D61">
              <w:rPr>
                <w:rFonts w:cstheme="minorHAnsi"/>
              </w:rPr>
              <w:t>50 031 698</w:t>
            </w:r>
          </w:p>
        </w:tc>
        <w:tc>
          <w:tcPr>
            <w:tcW w:w="856" w:type="dxa"/>
            <w:tcBorders>
              <w:top w:val="nil"/>
              <w:left w:val="nil"/>
              <w:bottom w:val="single" w:sz="4" w:space="0" w:color="auto"/>
              <w:right w:val="single" w:sz="4" w:space="0" w:color="auto"/>
            </w:tcBorders>
            <w:vAlign w:val="center"/>
          </w:tcPr>
          <w:p w14:paraId="0A28689D" w14:textId="4BE99718" w:rsidR="00DD114B" w:rsidRPr="006B6D61" w:rsidRDefault="00556AC0">
            <w:pPr>
              <w:spacing w:after="0"/>
              <w:jc w:val="right"/>
              <w:rPr>
                <w:rFonts w:cstheme="minorHAnsi"/>
              </w:rPr>
            </w:pPr>
            <w:r w:rsidRPr="006B6D61">
              <w:rPr>
                <w:rFonts w:cstheme="minorHAnsi"/>
              </w:rPr>
              <w:t>174,5</w:t>
            </w:r>
          </w:p>
        </w:tc>
        <w:tc>
          <w:tcPr>
            <w:tcW w:w="698" w:type="dxa"/>
            <w:tcBorders>
              <w:top w:val="nil"/>
              <w:left w:val="single" w:sz="4" w:space="0" w:color="auto"/>
              <w:bottom w:val="single" w:sz="4" w:space="0" w:color="auto"/>
              <w:right w:val="single" w:sz="4" w:space="0" w:color="auto"/>
            </w:tcBorders>
            <w:shd w:val="clear" w:color="auto" w:fill="auto"/>
            <w:noWrap/>
            <w:vAlign w:val="center"/>
            <w:hideMark/>
          </w:tcPr>
          <w:p w14:paraId="502EF634" w14:textId="5B565520" w:rsidR="00DD114B" w:rsidRPr="006B6D61" w:rsidRDefault="00556AC0">
            <w:pPr>
              <w:spacing w:after="0"/>
              <w:jc w:val="right"/>
              <w:rPr>
                <w:rFonts w:cstheme="minorHAnsi"/>
              </w:rPr>
            </w:pPr>
            <w:r w:rsidRPr="006B6D61">
              <w:rPr>
                <w:rFonts w:cstheme="minorHAnsi"/>
              </w:rPr>
              <w:t>242,6</w:t>
            </w:r>
          </w:p>
        </w:tc>
      </w:tr>
    </w:tbl>
    <w:p w14:paraId="5D3FC86F" w14:textId="1AFF0C38" w:rsidR="00C15CFF" w:rsidRPr="006B6D61" w:rsidRDefault="00C15CFF">
      <w:pPr>
        <w:pStyle w:val="KOMGrafy"/>
        <w:rPr>
          <w:rStyle w:val="Siln"/>
          <w:b/>
          <w:bCs w:val="0"/>
        </w:rPr>
      </w:pPr>
      <w:bookmarkStart w:id="35" w:name="_Toc95989798"/>
      <w:bookmarkStart w:id="36" w:name="_Toc160457119"/>
      <w:r w:rsidRPr="006B6D61">
        <w:lastRenderedPageBreak/>
        <w:t xml:space="preserve">Graf č. </w:t>
      </w:r>
      <w:fldSimple w:instr=" SEQ Graf_č. \* ARABIC ">
        <w:r w:rsidR="00013820">
          <w:rPr>
            <w:noProof/>
          </w:rPr>
          <w:t>2</w:t>
        </w:r>
      </w:fldSimple>
      <w:r w:rsidRPr="006B6D61">
        <w:rPr>
          <w:rStyle w:val="Siln"/>
          <w:b/>
          <w:bCs w:val="0"/>
        </w:rPr>
        <w:t xml:space="preserve">: </w:t>
      </w:r>
      <w:r w:rsidRPr="006B6D61">
        <w:t>Daňové, nedaňové a kapitálové příjmy kapitoly 327-MD (v tis. Kč)</w:t>
      </w:r>
      <w:bookmarkEnd w:id="35"/>
      <w:bookmarkEnd w:id="36"/>
    </w:p>
    <w:p w14:paraId="61CC91BE" w14:textId="6F0E87DC" w:rsidR="005A4319" w:rsidRPr="0077128B" w:rsidRDefault="00CA439C" w:rsidP="003F0A7C">
      <w:pPr>
        <w:pStyle w:val="KOMtext"/>
        <w:rPr>
          <w:color w:val="FF0000"/>
        </w:rPr>
      </w:pPr>
      <w:r w:rsidRPr="002F1BE7">
        <w:rPr>
          <w:b/>
          <w:noProof/>
          <w:color w:val="FF0000"/>
        </w:rPr>
        <w:drawing>
          <wp:inline distT="0" distB="0" distL="0" distR="0" wp14:anchorId="1B7EFAF6" wp14:editId="4CAD7735">
            <wp:extent cx="5706000" cy="2160000"/>
            <wp:effectExtent l="0" t="0" r="9525" b="12065"/>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EB57E18" w14:textId="013DB527" w:rsidR="00C15CFF" w:rsidRPr="006B6D61" w:rsidRDefault="00C15CFF" w:rsidP="003F0A7C">
      <w:pPr>
        <w:pStyle w:val="KOMGrafy"/>
      </w:pPr>
      <w:bookmarkStart w:id="37" w:name="_Toc317489622"/>
      <w:bookmarkStart w:id="38" w:name="_Toc95989799"/>
      <w:bookmarkStart w:id="39" w:name="_Toc160457120"/>
      <w:r w:rsidRPr="006B6D61">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3</w:t>
      </w:r>
      <w:r w:rsidRPr="006B6D61">
        <w:rPr>
          <w:noProof/>
        </w:rPr>
        <w:fldChar w:fldCharType="end"/>
      </w:r>
      <w:r w:rsidRPr="006B6D61">
        <w:t>: Přijaté transfery kapitoly 327-MD (v tis. Kč)</w:t>
      </w:r>
      <w:bookmarkEnd w:id="37"/>
      <w:bookmarkEnd w:id="38"/>
      <w:bookmarkEnd w:id="39"/>
    </w:p>
    <w:p w14:paraId="29062F61" w14:textId="33BAD1EB" w:rsidR="005A4319" w:rsidRPr="0077128B" w:rsidRDefault="00CA439C" w:rsidP="003F0A7C">
      <w:pPr>
        <w:pStyle w:val="KOMtext"/>
        <w:rPr>
          <w:color w:val="FF0000"/>
        </w:rPr>
      </w:pPr>
      <w:r w:rsidRPr="002F1BE7">
        <w:rPr>
          <w:noProof/>
          <w:color w:val="FF0000"/>
        </w:rPr>
        <w:drawing>
          <wp:inline distT="0" distB="0" distL="0" distR="0" wp14:anchorId="60A771D6" wp14:editId="5E3B458E">
            <wp:extent cx="5706000" cy="2251917"/>
            <wp:effectExtent l="0" t="0" r="9525" b="15240"/>
            <wp:docPr id="38"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46FED5C" w14:textId="2025FE2D" w:rsidR="00041405" w:rsidRPr="006B6D61" w:rsidRDefault="00EB38B4" w:rsidP="00FE67C5">
      <w:pPr>
        <w:pStyle w:val="KOMnadp2"/>
      </w:pPr>
      <w:bookmarkStart w:id="40" w:name="_Toc128397646"/>
      <w:bookmarkStart w:id="41" w:name="_Toc128397779"/>
      <w:bookmarkStart w:id="42" w:name="_Toc128398002"/>
      <w:bookmarkStart w:id="43" w:name="_Toc128398345"/>
      <w:bookmarkStart w:id="44" w:name="_Toc128398471"/>
      <w:bookmarkStart w:id="45" w:name="_Toc128398685"/>
      <w:bookmarkStart w:id="46" w:name="_Toc128400001"/>
      <w:bookmarkStart w:id="47" w:name="_Toc128401241"/>
      <w:bookmarkStart w:id="48" w:name="_Toc128401369"/>
      <w:bookmarkStart w:id="49" w:name="_Toc128401856"/>
      <w:bookmarkStart w:id="50" w:name="_Toc128400002"/>
      <w:bookmarkStart w:id="51" w:name="_Toc162269235"/>
      <w:bookmarkEnd w:id="40"/>
      <w:bookmarkEnd w:id="41"/>
      <w:bookmarkEnd w:id="42"/>
      <w:bookmarkEnd w:id="43"/>
      <w:bookmarkEnd w:id="44"/>
      <w:bookmarkEnd w:id="45"/>
      <w:bookmarkEnd w:id="46"/>
      <w:bookmarkEnd w:id="47"/>
      <w:bookmarkEnd w:id="48"/>
      <w:bookmarkEnd w:id="49"/>
      <w:r w:rsidRPr="006B6D61">
        <w:t>Příjmy ze správních poplatků a pokut ve správním řízení</w:t>
      </w:r>
      <w:bookmarkEnd w:id="50"/>
      <w:bookmarkEnd w:id="51"/>
      <w:r w:rsidR="00041405" w:rsidRPr="006B6D61">
        <w:t xml:space="preserve"> </w:t>
      </w:r>
    </w:p>
    <w:p w14:paraId="72146934" w14:textId="3D6AD3CE" w:rsidR="00E226A4" w:rsidRPr="006B6D61" w:rsidRDefault="00E226A4" w:rsidP="003F0A7C">
      <w:pPr>
        <w:pStyle w:val="KOMtext"/>
        <w:rPr>
          <w:rFonts w:eastAsiaTheme="minorHAnsi"/>
        </w:rPr>
      </w:pPr>
      <w:r w:rsidRPr="006B6D61">
        <w:rPr>
          <w:rFonts w:eastAsiaTheme="minorHAnsi"/>
        </w:rPr>
        <w:t xml:space="preserve">Pro vybírání správních poplatků je zřízen zvláštní příjmový účet státního rozpočtu s předčíslím 3711, jehož zůstatek je zahrnován do příjmů kapitoly 327 – MD. Pokuty jsou vybírány </w:t>
      </w:r>
      <w:r w:rsidR="001A6E16">
        <w:rPr>
          <w:rFonts w:eastAsiaTheme="minorHAnsi"/>
        </w:rPr>
        <w:br/>
      </w:r>
      <w:r w:rsidRPr="006B6D61">
        <w:rPr>
          <w:rFonts w:eastAsiaTheme="minorHAnsi"/>
        </w:rPr>
        <w:t>na příjmový účet s předčíslím 19.</w:t>
      </w:r>
    </w:p>
    <w:p w14:paraId="3FD3BFD6" w14:textId="1414F3EB" w:rsidR="00E226A4" w:rsidRPr="006B6D61" w:rsidRDefault="00E226A4" w:rsidP="003F0A7C">
      <w:pPr>
        <w:pStyle w:val="KOMtext"/>
      </w:pPr>
      <w:r w:rsidRPr="006B6D61">
        <w:rPr>
          <w:rFonts w:eastAsiaTheme="minorHAnsi"/>
        </w:rPr>
        <w:t>Správní poplatky a pokuty vybíraly ústřední orgán Ministerstva dopravy a organizační složky státu, které jsou ze zákona orgány státní správy, tj. Drážní úřad, Úřad pro civilní letectví a Státní plavební správa.</w:t>
      </w:r>
    </w:p>
    <w:p w14:paraId="04F1D7FD" w14:textId="79CA3895" w:rsidR="00041405" w:rsidRPr="006B6D61" w:rsidRDefault="00041405" w:rsidP="00E20BD6">
      <w:pPr>
        <w:pStyle w:val="KOMnadp3"/>
      </w:pPr>
      <w:bookmarkStart w:id="52" w:name="_Toc128400003"/>
      <w:bookmarkStart w:id="53" w:name="_Toc162269236"/>
      <w:r w:rsidRPr="006B6D61">
        <w:t>Správní poplatky</w:t>
      </w:r>
      <w:bookmarkEnd w:id="52"/>
      <w:bookmarkEnd w:id="53"/>
    </w:p>
    <w:p w14:paraId="48593170" w14:textId="0FF84560" w:rsidR="004D7F90" w:rsidRPr="002F1BE7" w:rsidRDefault="004D7F90" w:rsidP="00BA4E5A">
      <w:pPr>
        <w:pStyle w:val="KOMtext"/>
        <w:rPr>
          <w:color w:val="FF0000"/>
        </w:rPr>
      </w:pPr>
      <w:r w:rsidRPr="006B6D61">
        <w:t>Z celkové předepsané částky k 31. 12. 202</w:t>
      </w:r>
      <w:r w:rsidR="00C63FF0" w:rsidRPr="006B6D61">
        <w:t>3</w:t>
      </w:r>
      <w:r w:rsidRPr="006B6D61">
        <w:t>, tj. 2</w:t>
      </w:r>
      <w:r w:rsidR="00E67B8A" w:rsidRPr="006B6D61">
        <w:t xml:space="preserve">43 </w:t>
      </w:r>
      <w:r w:rsidR="00F953F1">
        <w:t>660</w:t>
      </w:r>
      <w:r w:rsidRPr="006B6D61">
        <w:t xml:space="preserve"> tis. Kč, bylo uhrazeno</w:t>
      </w:r>
      <w:r w:rsidRPr="0077128B">
        <w:rPr>
          <w:color w:val="FF0000"/>
        </w:rPr>
        <w:t xml:space="preserve"> </w:t>
      </w:r>
      <w:r w:rsidRPr="006B6D61">
        <w:t>2</w:t>
      </w:r>
      <w:r w:rsidR="00B33B08" w:rsidRPr="006B6D61">
        <w:t>43</w:t>
      </w:r>
      <w:r w:rsidR="00F953F1">
        <w:t xml:space="preserve"> 742 </w:t>
      </w:r>
      <w:r w:rsidRPr="006B6D61">
        <w:t xml:space="preserve">tis. Kč. Rozdílná hodnota je daná přeplatkem ve výši </w:t>
      </w:r>
      <w:r w:rsidR="006F76E2" w:rsidRPr="006B6D61">
        <w:t>82</w:t>
      </w:r>
      <w:r w:rsidRPr="006B6D61">
        <w:t xml:space="preserve"> tis. Kč u Úřadu pro civilní letectví. Uhrazená částka je složena převážně z plateb na příjmový účet 3711</w:t>
      </w:r>
      <w:r w:rsidR="00EA2979" w:rsidRPr="006B6D61">
        <w:t>,</w:t>
      </w:r>
      <w:r w:rsidRPr="006B6D61">
        <w:t xml:space="preserve"> a to </w:t>
      </w:r>
      <w:r w:rsidR="007E3BDD" w:rsidRPr="006B6D61">
        <w:t>2</w:t>
      </w:r>
      <w:r w:rsidR="00DD15D7" w:rsidRPr="006B6D61">
        <w:t>35 615</w:t>
      </w:r>
      <w:r w:rsidRPr="006B6D61">
        <w:t xml:space="preserve"> tis. Kč a kolkem </w:t>
      </w:r>
      <w:r w:rsidR="004F59A9" w:rsidRPr="0077128B">
        <w:rPr>
          <w:color w:val="FF0000"/>
        </w:rPr>
        <w:br/>
      </w:r>
      <w:r w:rsidR="00DD15D7" w:rsidRPr="006B6D61">
        <w:t>8 127</w:t>
      </w:r>
      <w:r w:rsidRPr="006B6D61">
        <w:t xml:space="preserve"> tis. Kč.</w:t>
      </w:r>
    </w:p>
    <w:p w14:paraId="5DE998D9" w14:textId="487E70CD" w:rsidR="004D7F90" w:rsidRPr="0077128B" w:rsidRDefault="004D7F90" w:rsidP="00BA4E5A">
      <w:pPr>
        <w:pStyle w:val="KOMtext"/>
        <w:rPr>
          <w:color w:val="FF0000"/>
        </w:rPr>
      </w:pPr>
      <w:r w:rsidRPr="006B6D61">
        <w:lastRenderedPageBreak/>
        <w:t>Stav zvláštního příjmového účtu 3711 k 31. 12. 202</w:t>
      </w:r>
      <w:r w:rsidR="00263686" w:rsidRPr="006B6D61">
        <w:t>3</w:t>
      </w:r>
      <w:r w:rsidRPr="006B6D61">
        <w:t xml:space="preserve"> je </w:t>
      </w:r>
      <w:r w:rsidR="00BB09F7" w:rsidRPr="006B6D61">
        <w:t>235 601</w:t>
      </w:r>
      <w:r w:rsidRPr="006B6D61">
        <w:t xml:space="preserve"> tis. Kč po započítání vratky plateb minulých let, tj. -</w:t>
      </w:r>
      <w:r w:rsidR="00BB09F7" w:rsidRPr="006B6D61">
        <w:t>16</w:t>
      </w:r>
      <w:r w:rsidRPr="006B6D61">
        <w:t xml:space="preserve"> tis. Kč a kurzového rozdílu </w:t>
      </w:r>
      <w:r w:rsidR="007E3BDD" w:rsidRPr="006B6D61">
        <w:t xml:space="preserve">cca </w:t>
      </w:r>
      <w:r w:rsidR="00BB09F7" w:rsidRPr="006B6D61">
        <w:t>2</w:t>
      </w:r>
      <w:r w:rsidRPr="006B6D61">
        <w:t xml:space="preserve"> tis. Kč.</w:t>
      </w:r>
    </w:p>
    <w:p w14:paraId="4CF7B83C" w14:textId="76815192" w:rsidR="00041405" w:rsidRPr="001A6E16" w:rsidRDefault="00041405" w:rsidP="00E20BD6">
      <w:pPr>
        <w:pStyle w:val="KOMnadp3"/>
      </w:pPr>
      <w:bookmarkStart w:id="54" w:name="_Toc128400004"/>
      <w:bookmarkStart w:id="55" w:name="_Toc162269237"/>
      <w:r w:rsidRPr="001A6E16">
        <w:t>Pokuty ve správním řízení</w:t>
      </w:r>
      <w:bookmarkEnd w:id="54"/>
      <w:bookmarkEnd w:id="55"/>
    </w:p>
    <w:p w14:paraId="6E9A568A" w14:textId="3169208F" w:rsidR="004D7F90" w:rsidRPr="0077128B" w:rsidRDefault="004D7F90">
      <w:pPr>
        <w:pStyle w:val="KOMtext"/>
        <w:rPr>
          <w:rFonts w:eastAsiaTheme="minorHAnsi"/>
          <w:b/>
          <w:color w:val="FF0000"/>
        </w:rPr>
      </w:pPr>
      <w:r w:rsidRPr="006B6D61">
        <w:rPr>
          <w:rFonts w:eastAsiaTheme="minorEastAsia"/>
        </w:rPr>
        <w:t>Předepsaná výše pokut k 31. 12. 202</w:t>
      </w:r>
      <w:r w:rsidR="00801DA3" w:rsidRPr="006B6D61">
        <w:rPr>
          <w:rFonts w:eastAsiaTheme="minorEastAsia"/>
        </w:rPr>
        <w:t>3</w:t>
      </w:r>
      <w:r w:rsidRPr="006B6D61">
        <w:rPr>
          <w:rFonts w:eastAsiaTheme="minorEastAsia"/>
        </w:rPr>
        <w:t xml:space="preserve"> činila celkově </w:t>
      </w:r>
      <w:r w:rsidR="00966F99" w:rsidRPr="006B6D61">
        <w:rPr>
          <w:rFonts w:eastAsiaTheme="minorEastAsia"/>
        </w:rPr>
        <w:t>2 762</w:t>
      </w:r>
      <w:r w:rsidRPr="006B6D61">
        <w:rPr>
          <w:rFonts w:eastAsiaTheme="minorEastAsia"/>
        </w:rPr>
        <w:t xml:space="preserve"> tis. Kč. Z této částky bylo uhrazeno </w:t>
      </w:r>
      <w:r w:rsidR="00D95FDF" w:rsidRPr="006B6D61">
        <w:rPr>
          <w:rFonts w:eastAsiaTheme="minorEastAsia"/>
        </w:rPr>
        <w:t>2 343</w:t>
      </w:r>
      <w:r w:rsidRPr="006B6D61">
        <w:rPr>
          <w:rFonts w:eastAsiaTheme="minorEastAsia"/>
        </w:rPr>
        <w:t xml:space="preserve"> tis. Kč, a to především formou převodu na bankovní účet s předčíslím 19 ve výši </w:t>
      </w:r>
      <w:r w:rsidR="00621DA4" w:rsidRPr="0077128B">
        <w:rPr>
          <w:rFonts w:eastAsiaTheme="minorEastAsia"/>
          <w:color w:val="FF0000"/>
        </w:rPr>
        <w:br/>
      </w:r>
      <w:r w:rsidR="00621DA4" w:rsidRPr="006B6D61">
        <w:rPr>
          <w:rFonts w:eastAsiaTheme="minorEastAsia"/>
        </w:rPr>
        <w:t xml:space="preserve">2 </w:t>
      </w:r>
      <w:r w:rsidR="00D95FDF" w:rsidRPr="006B6D61">
        <w:rPr>
          <w:rFonts w:eastAsiaTheme="minorEastAsia"/>
        </w:rPr>
        <w:t>299</w:t>
      </w:r>
      <w:r w:rsidRPr="006B6D61">
        <w:rPr>
          <w:rFonts w:eastAsiaTheme="minorEastAsia"/>
        </w:rPr>
        <w:t xml:space="preserve"> tis. Kč</w:t>
      </w:r>
      <w:r w:rsidR="00621DA4" w:rsidRPr="006B6D61">
        <w:rPr>
          <w:rFonts w:eastAsiaTheme="minorEastAsia"/>
        </w:rPr>
        <w:t>, dále pak</w:t>
      </w:r>
      <w:r w:rsidRPr="006B6D61">
        <w:rPr>
          <w:rFonts w:eastAsiaTheme="minorEastAsia"/>
        </w:rPr>
        <w:t xml:space="preserve"> blokovou pokutou </w:t>
      </w:r>
      <w:r w:rsidR="002A070C" w:rsidRPr="006B6D61">
        <w:rPr>
          <w:rFonts w:eastAsiaTheme="minorEastAsia"/>
        </w:rPr>
        <w:t>44</w:t>
      </w:r>
      <w:r w:rsidRPr="006B6D61">
        <w:rPr>
          <w:rFonts w:eastAsiaTheme="minorEastAsia"/>
        </w:rPr>
        <w:t xml:space="preserve"> tis. Kč</w:t>
      </w:r>
      <w:r w:rsidR="00621DA4" w:rsidRPr="006B6D61">
        <w:rPr>
          <w:rFonts w:eastAsiaTheme="minorEastAsia"/>
        </w:rPr>
        <w:t xml:space="preserve"> či odpisem pokut </w:t>
      </w:r>
      <w:r w:rsidR="002A070C" w:rsidRPr="006B6D61">
        <w:rPr>
          <w:rFonts w:eastAsiaTheme="minorEastAsia"/>
        </w:rPr>
        <w:t>270</w:t>
      </w:r>
      <w:r w:rsidR="00621DA4" w:rsidRPr="006B6D61">
        <w:rPr>
          <w:rFonts w:eastAsiaTheme="minorEastAsia"/>
        </w:rPr>
        <w:t xml:space="preserve"> tis. Kč</w:t>
      </w:r>
      <w:r w:rsidRPr="006B6D61">
        <w:rPr>
          <w:rFonts w:eastAsiaTheme="minorEastAsia"/>
        </w:rPr>
        <w:t>. Celkový nedoplatek předpisu za rok 202</w:t>
      </w:r>
      <w:r w:rsidR="005D4302" w:rsidRPr="006B6D61">
        <w:rPr>
          <w:rFonts w:eastAsiaTheme="minorEastAsia"/>
        </w:rPr>
        <w:t>3</w:t>
      </w:r>
      <w:r w:rsidRPr="006B6D61">
        <w:rPr>
          <w:rFonts w:eastAsiaTheme="minorEastAsia"/>
        </w:rPr>
        <w:t xml:space="preserve"> činí </w:t>
      </w:r>
      <w:r w:rsidR="00621DA4" w:rsidRPr="006B6D61">
        <w:rPr>
          <w:rFonts w:eastAsiaTheme="minorEastAsia"/>
        </w:rPr>
        <w:t>15</w:t>
      </w:r>
      <w:r w:rsidR="005D4302" w:rsidRPr="006B6D61">
        <w:rPr>
          <w:rFonts w:eastAsiaTheme="minorEastAsia"/>
        </w:rPr>
        <w:t>0</w:t>
      </w:r>
      <w:r w:rsidRPr="006B6D61">
        <w:rPr>
          <w:rFonts w:eastAsiaTheme="minorEastAsia"/>
        </w:rPr>
        <w:t xml:space="preserve"> tis. Kč, který náleží ÚO M</w:t>
      </w:r>
      <w:r w:rsidR="00536061" w:rsidRPr="006B6D61">
        <w:rPr>
          <w:rFonts w:eastAsiaTheme="minorEastAsia"/>
        </w:rPr>
        <w:t>D</w:t>
      </w:r>
      <w:r w:rsidRPr="006B6D61">
        <w:rPr>
          <w:rFonts w:eastAsiaTheme="minorEastAsia"/>
        </w:rPr>
        <w:t xml:space="preserve"> (</w:t>
      </w:r>
      <w:r w:rsidR="0060070E" w:rsidRPr="006B6D61">
        <w:rPr>
          <w:rFonts w:eastAsiaTheme="minorEastAsia"/>
        </w:rPr>
        <w:t>111</w:t>
      </w:r>
      <w:r w:rsidRPr="006B6D61">
        <w:rPr>
          <w:rFonts w:eastAsiaTheme="minorEastAsia"/>
        </w:rPr>
        <w:t xml:space="preserve"> tis. Kč) a Drážnímu úřadu (</w:t>
      </w:r>
      <w:r w:rsidR="0060070E" w:rsidRPr="006B6D61">
        <w:rPr>
          <w:rFonts w:eastAsiaTheme="minorEastAsia"/>
        </w:rPr>
        <w:t>39</w:t>
      </w:r>
      <w:r w:rsidRPr="006B6D61">
        <w:rPr>
          <w:rFonts w:eastAsiaTheme="minorEastAsia"/>
        </w:rPr>
        <w:t xml:space="preserve"> tis. Kč).</w:t>
      </w:r>
    </w:p>
    <w:p w14:paraId="31F6F15B" w14:textId="464C564F" w:rsidR="004D7F90" w:rsidRPr="0077128B" w:rsidRDefault="004D7F90">
      <w:pPr>
        <w:pStyle w:val="KOMtext"/>
        <w:rPr>
          <w:rFonts w:eastAsiaTheme="minorHAnsi"/>
          <w:b/>
          <w:color w:val="FF0000"/>
        </w:rPr>
      </w:pPr>
      <w:r w:rsidRPr="006B6D61">
        <w:rPr>
          <w:rFonts w:eastAsiaTheme="minorEastAsia"/>
        </w:rPr>
        <w:t>Z nedoplatku pokut, který přešel z minulých let v celkové výši</w:t>
      </w:r>
      <w:r w:rsidRPr="0077128B">
        <w:rPr>
          <w:rFonts w:eastAsiaTheme="minorEastAsia"/>
          <w:color w:val="FF0000"/>
        </w:rPr>
        <w:t xml:space="preserve"> </w:t>
      </w:r>
      <w:r w:rsidR="004F6554" w:rsidRPr="006B6D61">
        <w:rPr>
          <w:rFonts w:eastAsiaTheme="minorEastAsia"/>
        </w:rPr>
        <w:t>155</w:t>
      </w:r>
      <w:r w:rsidR="00621DA4" w:rsidRPr="006B6D61">
        <w:rPr>
          <w:rFonts w:eastAsiaTheme="minorEastAsia"/>
        </w:rPr>
        <w:t xml:space="preserve"> </w:t>
      </w:r>
      <w:r w:rsidRPr="006B6D61">
        <w:rPr>
          <w:rFonts w:eastAsiaTheme="minorEastAsia"/>
        </w:rPr>
        <w:t>tis. Kč od Úřadu pro civilní letectví</w:t>
      </w:r>
      <w:r w:rsidRPr="0077128B">
        <w:rPr>
          <w:rFonts w:eastAsiaTheme="minorEastAsia"/>
          <w:color w:val="FF0000"/>
        </w:rPr>
        <w:t xml:space="preserve"> </w:t>
      </w:r>
      <w:r w:rsidRPr="006B6D61">
        <w:rPr>
          <w:rFonts w:eastAsiaTheme="minorEastAsia"/>
        </w:rPr>
        <w:t>(</w:t>
      </w:r>
      <w:r w:rsidR="00621DA4" w:rsidRPr="006B6D61">
        <w:rPr>
          <w:rFonts w:eastAsiaTheme="minorEastAsia"/>
        </w:rPr>
        <w:t>1</w:t>
      </w:r>
      <w:r w:rsidR="00B81769" w:rsidRPr="006B6D61">
        <w:rPr>
          <w:rFonts w:eastAsiaTheme="minorEastAsia"/>
        </w:rPr>
        <w:t>0</w:t>
      </w:r>
      <w:r w:rsidR="00621DA4" w:rsidRPr="006B6D61">
        <w:rPr>
          <w:rFonts w:eastAsiaTheme="minorEastAsia"/>
        </w:rPr>
        <w:t>0</w:t>
      </w:r>
      <w:r w:rsidRPr="006B6D61">
        <w:rPr>
          <w:rFonts w:eastAsiaTheme="minorEastAsia"/>
        </w:rPr>
        <w:t xml:space="preserve"> tis. Kč), Drážního úřadu (</w:t>
      </w:r>
      <w:r w:rsidR="00621DA4" w:rsidRPr="006B6D61">
        <w:rPr>
          <w:rFonts w:eastAsiaTheme="minorEastAsia"/>
        </w:rPr>
        <w:t>2</w:t>
      </w:r>
      <w:r w:rsidR="00B81769" w:rsidRPr="006B6D61">
        <w:rPr>
          <w:rFonts w:eastAsiaTheme="minorEastAsia"/>
        </w:rPr>
        <w:t>5</w:t>
      </w:r>
      <w:r w:rsidRPr="006B6D61">
        <w:rPr>
          <w:rFonts w:eastAsiaTheme="minorEastAsia"/>
        </w:rPr>
        <w:t xml:space="preserve"> tis. Kč) a ÚO M</w:t>
      </w:r>
      <w:r w:rsidR="00757876" w:rsidRPr="006B6D61">
        <w:rPr>
          <w:rFonts w:eastAsiaTheme="minorEastAsia"/>
        </w:rPr>
        <w:t>D</w:t>
      </w:r>
      <w:r w:rsidRPr="006B6D61">
        <w:rPr>
          <w:rFonts w:eastAsiaTheme="minorEastAsia"/>
        </w:rPr>
        <w:t xml:space="preserve"> (</w:t>
      </w:r>
      <w:r w:rsidR="00621DA4" w:rsidRPr="006B6D61">
        <w:rPr>
          <w:rFonts w:eastAsiaTheme="minorEastAsia"/>
        </w:rPr>
        <w:t>30</w:t>
      </w:r>
      <w:r w:rsidRPr="006B6D61">
        <w:rPr>
          <w:rFonts w:eastAsiaTheme="minorEastAsia"/>
        </w:rPr>
        <w:t xml:space="preserve"> tis. Kč), bylo zaplaceno </w:t>
      </w:r>
      <w:r w:rsidR="001A6E16">
        <w:rPr>
          <w:rFonts w:eastAsiaTheme="minorEastAsia"/>
        </w:rPr>
        <w:br/>
      </w:r>
      <w:r w:rsidRPr="006B6D61">
        <w:rPr>
          <w:rFonts w:eastAsiaTheme="minorEastAsia"/>
        </w:rPr>
        <w:t xml:space="preserve">na bankovní účet </w:t>
      </w:r>
      <w:r w:rsidR="005124F4" w:rsidRPr="006B6D61">
        <w:rPr>
          <w:rFonts w:eastAsiaTheme="minorEastAsia"/>
        </w:rPr>
        <w:t>107</w:t>
      </w:r>
      <w:r w:rsidRPr="006B6D61">
        <w:rPr>
          <w:rFonts w:eastAsiaTheme="minorEastAsia"/>
        </w:rPr>
        <w:t xml:space="preserve"> tis. Kč a přestupky v hodnotě </w:t>
      </w:r>
      <w:r w:rsidR="00DA2F48">
        <w:rPr>
          <w:rFonts w:eastAsiaTheme="minorEastAsia"/>
        </w:rPr>
        <w:t>48</w:t>
      </w:r>
      <w:r w:rsidRPr="006B6D61">
        <w:rPr>
          <w:rFonts w:eastAsiaTheme="minorEastAsia"/>
        </w:rPr>
        <w:t xml:space="preserve"> tis. Kč byly odepsány. </w:t>
      </w:r>
    </w:p>
    <w:p w14:paraId="125FB1E1" w14:textId="73F95F0A" w:rsidR="004D7F90" w:rsidRPr="002F1BE7" w:rsidRDefault="004D7F90" w:rsidP="00BA4E5A">
      <w:pPr>
        <w:pStyle w:val="KOMtext"/>
        <w:rPr>
          <w:color w:val="FF0000"/>
        </w:rPr>
      </w:pPr>
      <w:r w:rsidRPr="006B6D61">
        <w:t>Celkový stav nedoplatků pokut k 31. 12. 202</w:t>
      </w:r>
      <w:r w:rsidR="00ED5C5F" w:rsidRPr="006B6D61">
        <w:t>3</w:t>
      </w:r>
      <w:r w:rsidRPr="006B6D61">
        <w:t xml:space="preserve"> je evidován ve výši </w:t>
      </w:r>
      <w:r w:rsidR="00621DA4" w:rsidRPr="006B6D61">
        <w:t>15</w:t>
      </w:r>
      <w:r w:rsidR="006A23D6" w:rsidRPr="006B6D61">
        <w:t>0</w:t>
      </w:r>
      <w:r w:rsidRPr="006B6D61">
        <w:t xml:space="preserve"> tis. Kč.</w:t>
      </w:r>
    </w:p>
    <w:p w14:paraId="5663BFE5" w14:textId="77777777" w:rsidR="00871660" w:rsidRPr="00B214FD" w:rsidRDefault="00342109">
      <w:pPr>
        <w:pStyle w:val="KOMNadp1"/>
      </w:pPr>
      <w:bookmarkStart w:id="56" w:name="_Toc128400005"/>
      <w:bookmarkStart w:id="57" w:name="_Toc162269238"/>
      <w:r w:rsidRPr="00B214FD">
        <w:lastRenderedPageBreak/>
        <w:t>VÝDAJE KAPITOLY</w:t>
      </w:r>
      <w:bookmarkEnd w:id="56"/>
      <w:bookmarkEnd w:id="57"/>
    </w:p>
    <w:tbl>
      <w:tblPr>
        <w:tblW w:w="8505" w:type="dxa"/>
        <w:tblCellMar>
          <w:left w:w="70" w:type="dxa"/>
          <w:right w:w="70" w:type="dxa"/>
        </w:tblCellMar>
        <w:tblLook w:val="04A0" w:firstRow="1" w:lastRow="0" w:firstColumn="1" w:lastColumn="0" w:noHBand="0" w:noVBand="1"/>
      </w:tblPr>
      <w:tblGrid>
        <w:gridCol w:w="5670"/>
        <w:gridCol w:w="1560"/>
        <w:gridCol w:w="1275"/>
      </w:tblGrid>
      <w:tr w:rsidR="00B214FD" w:rsidRPr="002F1BE7" w14:paraId="06C74090" w14:textId="77777777" w:rsidTr="0077128B">
        <w:tc>
          <w:tcPr>
            <w:tcW w:w="5670" w:type="dxa"/>
            <w:hideMark/>
          </w:tcPr>
          <w:p w14:paraId="1CBB0690" w14:textId="1533433F" w:rsidR="00B214FD" w:rsidRPr="007F2DC9" w:rsidRDefault="00B214FD" w:rsidP="00B214FD">
            <w:pPr>
              <w:tabs>
                <w:tab w:val="left" w:pos="370"/>
                <w:tab w:val="right" w:pos="2630"/>
              </w:tabs>
              <w:spacing w:after="81"/>
              <w:ind w:right="-108"/>
              <w:jc w:val="both"/>
              <w:rPr>
                <w:b/>
                <w:sz w:val="24"/>
                <w:szCs w:val="24"/>
              </w:rPr>
            </w:pPr>
            <w:r w:rsidRPr="007F2DC9">
              <w:rPr>
                <w:b/>
                <w:sz w:val="24"/>
                <w:szCs w:val="24"/>
              </w:rPr>
              <w:t xml:space="preserve">Schválený rozpočet </w:t>
            </w:r>
          </w:p>
        </w:tc>
        <w:tc>
          <w:tcPr>
            <w:tcW w:w="1560" w:type="dxa"/>
          </w:tcPr>
          <w:p w14:paraId="200DDD8F" w14:textId="2C6133D6" w:rsidR="00B214FD" w:rsidRPr="00B214FD" w:rsidRDefault="00B214FD" w:rsidP="00B214FD">
            <w:pPr>
              <w:spacing w:after="81"/>
              <w:jc w:val="right"/>
              <w:rPr>
                <w:bCs/>
                <w:color w:val="FF0000"/>
                <w:sz w:val="24"/>
                <w:szCs w:val="24"/>
              </w:rPr>
            </w:pPr>
            <w:r w:rsidRPr="003A054C">
              <w:rPr>
                <w:bCs/>
                <w:sz w:val="24"/>
                <w:szCs w:val="24"/>
              </w:rPr>
              <w:t>112 700 867</w:t>
            </w:r>
          </w:p>
        </w:tc>
        <w:tc>
          <w:tcPr>
            <w:tcW w:w="1275" w:type="dxa"/>
            <w:hideMark/>
          </w:tcPr>
          <w:p w14:paraId="2AA7E9F6" w14:textId="22F52349" w:rsidR="00B214FD" w:rsidRPr="00B214FD" w:rsidRDefault="00B214FD" w:rsidP="00B214FD">
            <w:pPr>
              <w:spacing w:after="81"/>
              <w:ind w:left="-47" w:right="-107"/>
              <w:rPr>
                <w:b/>
                <w:sz w:val="24"/>
                <w:szCs w:val="24"/>
              </w:rPr>
            </w:pPr>
            <w:r w:rsidRPr="00B214FD">
              <w:rPr>
                <w:sz w:val="24"/>
                <w:szCs w:val="24"/>
              </w:rPr>
              <w:t>tis. Kč</w:t>
            </w:r>
          </w:p>
        </w:tc>
      </w:tr>
      <w:tr w:rsidR="00B214FD" w:rsidRPr="002F1BE7" w14:paraId="6A7979CE" w14:textId="77777777" w:rsidTr="0077128B">
        <w:tc>
          <w:tcPr>
            <w:tcW w:w="5670" w:type="dxa"/>
            <w:hideMark/>
          </w:tcPr>
          <w:p w14:paraId="25047EA6" w14:textId="1CB8EF50" w:rsidR="00B214FD" w:rsidRPr="007F2DC9" w:rsidRDefault="00B214FD" w:rsidP="00B214FD">
            <w:pPr>
              <w:spacing w:after="81"/>
              <w:ind w:right="-107"/>
              <w:jc w:val="both"/>
              <w:rPr>
                <w:b/>
                <w:sz w:val="24"/>
                <w:szCs w:val="24"/>
              </w:rPr>
            </w:pPr>
            <w:r w:rsidRPr="007F2DC9">
              <w:rPr>
                <w:b/>
                <w:sz w:val="24"/>
                <w:szCs w:val="24"/>
              </w:rPr>
              <w:t>Rozpočet po změnách</w:t>
            </w:r>
          </w:p>
        </w:tc>
        <w:tc>
          <w:tcPr>
            <w:tcW w:w="1560" w:type="dxa"/>
          </w:tcPr>
          <w:p w14:paraId="40B5BA33" w14:textId="280E756E" w:rsidR="00B214FD" w:rsidRPr="00B214FD" w:rsidRDefault="00B214FD" w:rsidP="00B214FD">
            <w:pPr>
              <w:spacing w:after="81"/>
              <w:jc w:val="right"/>
              <w:rPr>
                <w:bCs/>
                <w:color w:val="FF0000"/>
                <w:sz w:val="24"/>
                <w:szCs w:val="24"/>
              </w:rPr>
            </w:pPr>
            <w:r w:rsidRPr="003A054C">
              <w:rPr>
                <w:bCs/>
                <w:sz w:val="24"/>
                <w:szCs w:val="24"/>
              </w:rPr>
              <w:t>112 749 544</w:t>
            </w:r>
          </w:p>
        </w:tc>
        <w:tc>
          <w:tcPr>
            <w:tcW w:w="1275" w:type="dxa"/>
            <w:hideMark/>
          </w:tcPr>
          <w:p w14:paraId="72CAD5D0" w14:textId="0432E1CC" w:rsidR="00B214FD" w:rsidRPr="00B214FD" w:rsidRDefault="00B214FD" w:rsidP="00B214FD">
            <w:pPr>
              <w:spacing w:after="81"/>
              <w:ind w:left="-47" w:right="-107"/>
              <w:rPr>
                <w:bCs/>
                <w:sz w:val="24"/>
                <w:szCs w:val="24"/>
              </w:rPr>
            </w:pPr>
            <w:r w:rsidRPr="00B214FD">
              <w:rPr>
                <w:sz w:val="24"/>
                <w:szCs w:val="24"/>
              </w:rPr>
              <w:t>tis. Kč</w:t>
            </w:r>
          </w:p>
        </w:tc>
      </w:tr>
      <w:tr w:rsidR="00B214FD" w:rsidRPr="002F1BE7" w14:paraId="4956DEC3" w14:textId="77777777" w:rsidTr="0077128B">
        <w:tc>
          <w:tcPr>
            <w:tcW w:w="5670" w:type="dxa"/>
            <w:hideMark/>
          </w:tcPr>
          <w:p w14:paraId="5142CDBE" w14:textId="28B75A63" w:rsidR="00B214FD" w:rsidRPr="007F2DC9" w:rsidRDefault="00B214FD" w:rsidP="00B214FD">
            <w:pPr>
              <w:spacing w:after="81"/>
              <w:ind w:right="-108"/>
              <w:jc w:val="both"/>
              <w:rPr>
                <w:b/>
                <w:sz w:val="24"/>
                <w:szCs w:val="24"/>
              </w:rPr>
            </w:pPr>
            <w:r w:rsidRPr="007F2DC9">
              <w:rPr>
                <w:b/>
                <w:sz w:val="24"/>
                <w:szCs w:val="24"/>
              </w:rPr>
              <w:t>Skutečnost vč. nároků a RF</w:t>
            </w:r>
          </w:p>
        </w:tc>
        <w:tc>
          <w:tcPr>
            <w:tcW w:w="1560" w:type="dxa"/>
          </w:tcPr>
          <w:p w14:paraId="50266046" w14:textId="4DBBCAE3" w:rsidR="00B214FD" w:rsidRPr="00B214FD" w:rsidRDefault="00B214FD" w:rsidP="00B214FD">
            <w:pPr>
              <w:spacing w:after="81"/>
              <w:jc w:val="right"/>
              <w:rPr>
                <w:bCs/>
                <w:color w:val="FF0000"/>
                <w:sz w:val="24"/>
                <w:szCs w:val="24"/>
              </w:rPr>
            </w:pPr>
            <w:r w:rsidRPr="003A054C">
              <w:rPr>
                <w:bCs/>
                <w:sz w:val="24"/>
                <w:szCs w:val="24"/>
              </w:rPr>
              <w:t>111 337 148</w:t>
            </w:r>
          </w:p>
        </w:tc>
        <w:tc>
          <w:tcPr>
            <w:tcW w:w="1275" w:type="dxa"/>
            <w:hideMark/>
          </w:tcPr>
          <w:p w14:paraId="3033ABE9" w14:textId="77777777" w:rsidR="00B214FD" w:rsidRPr="00B214FD" w:rsidRDefault="00B214FD" w:rsidP="00B214FD">
            <w:pPr>
              <w:spacing w:after="81"/>
              <w:ind w:left="-46" w:right="-108"/>
              <w:rPr>
                <w:sz w:val="24"/>
                <w:szCs w:val="24"/>
              </w:rPr>
            </w:pPr>
            <w:r w:rsidRPr="00B214FD">
              <w:rPr>
                <w:sz w:val="24"/>
                <w:szCs w:val="24"/>
              </w:rPr>
              <w:t>tis. Kč</w:t>
            </w:r>
          </w:p>
        </w:tc>
      </w:tr>
      <w:tr w:rsidR="00B214FD" w:rsidRPr="002F1BE7" w14:paraId="21B5EAB0" w14:textId="77777777" w:rsidTr="0077128B">
        <w:tc>
          <w:tcPr>
            <w:tcW w:w="5670" w:type="dxa"/>
            <w:hideMark/>
          </w:tcPr>
          <w:p w14:paraId="24ACC5DE" w14:textId="77777777" w:rsidR="00B214FD" w:rsidRPr="007F2DC9" w:rsidRDefault="00B214FD" w:rsidP="00B214FD">
            <w:pPr>
              <w:spacing w:after="81"/>
              <w:ind w:right="-108"/>
              <w:jc w:val="both"/>
              <w:rPr>
                <w:b/>
                <w:sz w:val="24"/>
                <w:szCs w:val="24"/>
              </w:rPr>
            </w:pPr>
            <w:r w:rsidRPr="007F2DC9">
              <w:rPr>
                <w:b/>
                <w:sz w:val="24"/>
                <w:szCs w:val="24"/>
              </w:rPr>
              <w:t>Plnění vč. nároků</w:t>
            </w:r>
          </w:p>
        </w:tc>
        <w:tc>
          <w:tcPr>
            <w:tcW w:w="1560" w:type="dxa"/>
          </w:tcPr>
          <w:p w14:paraId="75515C2F" w14:textId="38633CB5" w:rsidR="00B214FD" w:rsidRPr="00B214FD" w:rsidRDefault="00B214FD" w:rsidP="00B214FD">
            <w:pPr>
              <w:spacing w:after="81"/>
              <w:jc w:val="right"/>
              <w:rPr>
                <w:bCs/>
                <w:color w:val="FF0000"/>
                <w:sz w:val="24"/>
                <w:szCs w:val="24"/>
              </w:rPr>
            </w:pPr>
            <w:r w:rsidRPr="003A054C">
              <w:rPr>
                <w:bCs/>
                <w:sz w:val="24"/>
                <w:szCs w:val="24"/>
              </w:rPr>
              <w:t xml:space="preserve">       98,75</w:t>
            </w:r>
          </w:p>
        </w:tc>
        <w:tc>
          <w:tcPr>
            <w:tcW w:w="1275" w:type="dxa"/>
            <w:hideMark/>
          </w:tcPr>
          <w:p w14:paraId="2604D040" w14:textId="77777777" w:rsidR="00B214FD" w:rsidRPr="00B214FD" w:rsidRDefault="00B214FD" w:rsidP="00B214FD">
            <w:pPr>
              <w:spacing w:after="81"/>
              <w:ind w:left="-46" w:right="-108"/>
              <w:rPr>
                <w:sz w:val="24"/>
                <w:szCs w:val="24"/>
              </w:rPr>
            </w:pPr>
            <w:r w:rsidRPr="00B214FD">
              <w:rPr>
                <w:sz w:val="24"/>
                <w:szCs w:val="24"/>
              </w:rPr>
              <w:t>%</w:t>
            </w:r>
          </w:p>
        </w:tc>
      </w:tr>
    </w:tbl>
    <w:p w14:paraId="2D98D903" w14:textId="47D2A41A" w:rsidR="00C45161" w:rsidRPr="003A054C" w:rsidRDefault="00C45161" w:rsidP="00C45161">
      <w:pPr>
        <w:pStyle w:val="KOMtext"/>
        <w:rPr>
          <w:color w:val="FF0000"/>
        </w:rPr>
      </w:pPr>
      <w:r w:rsidRPr="003A054C">
        <w:rPr>
          <w:i/>
        </w:rPr>
        <w:t>Čerpání výdajů je uvedeno včetně použití nároků z nespotřebovaných výdajů organizačních složek státu k 1. 1. 202</w:t>
      </w:r>
      <w:r w:rsidR="004417D2">
        <w:rPr>
          <w:i/>
        </w:rPr>
        <w:t>3</w:t>
      </w:r>
      <w:r w:rsidRPr="003A054C">
        <w:rPr>
          <w:i/>
        </w:rPr>
        <w:t xml:space="preserve"> (dále jen „nároky“) a rezervního fondu (dále jen „RF“).</w:t>
      </w:r>
    </w:p>
    <w:p w14:paraId="5BCA205B" w14:textId="77777777" w:rsidR="00C45161" w:rsidRPr="001D24D5" w:rsidRDefault="00C45161" w:rsidP="00C45161">
      <w:pPr>
        <w:pStyle w:val="KOMtext"/>
      </w:pPr>
      <w:r w:rsidRPr="003A054C">
        <w:t>Rozpočet výdajů na rok 2023 byl kapitole 327 Ministerstvo dopravy stanoven zákonem                        č. 449/2022 Sb., o státním rozpočtu České republiky na rok 2023.</w:t>
      </w:r>
    </w:p>
    <w:p w14:paraId="6AB32532" w14:textId="02C92B22" w:rsidR="00655E2B" w:rsidRPr="0077128B" w:rsidRDefault="00C45161" w:rsidP="00BA4E5A">
      <w:pPr>
        <w:pStyle w:val="KOMtext"/>
        <w:rPr>
          <w:color w:val="FF0000"/>
        </w:rPr>
      </w:pPr>
      <w:r w:rsidRPr="001D24D5">
        <w:t>V roce 202</w:t>
      </w:r>
      <w:r w:rsidRPr="003A054C">
        <w:t>3</w:t>
      </w:r>
      <w:r w:rsidRPr="001D24D5">
        <w:t xml:space="preserve"> byly výdaje</w:t>
      </w:r>
      <w:r w:rsidRPr="00254BD4">
        <w:t xml:space="preserve"> </w:t>
      </w:r>
      <w:r w:rsidRPr="003A054C">
        <w:t>upraveny rozpočtovými opatřeními o 48 677 tis. Kč.</w:t>
      </w:r>
      <w:r w:rsidRPr="001D24D5">
        <w:t xml:space="preserve"> </w:t>
      </w:r>
      <w:r w:rsidRPr="003A054C">
        <w:t xml:space="preserve"> </w:t>
      </w:r>
      <w:r w:rsidRPr="001D24D5">
        <w:t>Důvodem úpravy bylo: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846"/>
        <w:gridCol w:w="1170"/>
        <w:gridCol w:w="1046"/>
      </w:tblGrid>
      <w:tr w:rsidR="00C45D7F" w:rsidRPr="006A755F" w14:paraId="71789E32" w14:textId="77777777" w:rsidTr="0077128B">
        <w:trPr>
          <w:trHeight w:val="769"/>
        </w:trPr>
        <w:tc>
          <w:tcPr>
            <w:tcW w:w="381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126923D" w14:textId="05DC839B" w:rsidR="00C45D7F" w:rsidRPr="0077128B" w:rsidRDefault="00C45D7F" w:rsidP="00D05A89">
            <w:pPr>
              <w:numPr>
                <w:ilvl w:val="0"/>
                <w:numId w:val="2"/>
              </w:num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b/>
                <w:bCs/>
                <w:color w:val="2E74B5" w:themeColor="accent1" w:themeShade="BF"/>
                <w:sz w:val="24"/>
                <w:szCs w:val="24"/>
                <w:lang w:eastAsia="cs-CZ"/>
              </w:rPr>
              <w:t xml:space="preserve">převod prostředků z jiných kapitol do kapitoly </w:t>
            </w:r>
            <w:r w:rsidRPr="0077128B">
              <w:rPr>
                <w:rFonts w:eastAsia="Times New Roman" w:cs="Times New Roman"/>
                <w:b/>
                <w:bCs/>
                <w:color w:val="2E74B5" w:themeColor="accent1" w:themeShade="BF"/>
                <w:sz w:val="24"/>
                <w:szCs w:val="24"/>
                <w:lang w:eastAsia="cs-CZ"/>
              </w:rPr>
              <w:br/>
              <w:t>327 Ministerstvo dopravy celkem,</w:t>
            </w:r>
            <w:r w:rsidRPr="0077128B">
              <w:rPr>
                <w:rFonts w:eastAsia="Times New Roman" w:cs="Times New Roman"/>
                <w:color w:val="2E74B5" w:themeColor="accent1" w:themeShade="BF"/>
                <w:sz w:val="24"/>
                <w:szCs w:val="24"/>
                <w:lang w:eastAsia="cs-CZ"/>
              </w:rPr>
              <w:t xml:space="preserve"> v tom:</w:t>
            </w:r>
          </w:p>
        </w:tc>
        <w:tc>
          <w:tcPr>
            <w:tcW w:w="569" w:type="pct"/>
            <w:tcBorders>
              <w:top w:val="single" w:sz="4" w:space="0" w:color="auto"/>
              <w:left w:val="single" w:sz="4" w:space="0" w:color="auto"/>
              <w:bottom w:val="single" w:sz="4" w:space="0" w:color="auto"/>
              <w:right w:val="nil"/>
            </w:tcBorders>
            <w:shd w:val="clear" w:color="auto" w:fill="D9D9D9" w:themeFill="background1" w:themeFillShade="D9"/>
            <w:vAlign w:val="center"/>
          </w:tcPr>
          <w:p w14:paraId="3FC4CE88" w14:textId="77777777" w:rsidR="00C45D7F" w:rsidRPr="0077128B" w:rsidRDefault="00C45D7F" w:rsidP="0077128B">
            <w:pPr>
              <w:spacing w:after="81" w:line="240" w:lineRule="auto"/>
              <w:ind w:left="489" w:hanging="244"/>
              <w:contextualSpacing/>
              <w:jc w:val="right"/>
              <w:rPr>
                <w:rFonts w:eastAsia="Times New Roman" w:cs="Times New Roman"/>
                <w:b/>
                <w:bCs/>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 xml:space="preserve">71 383  </w:t>
            </w:r>
          </w:p>
        </w:tc>
        <w:tc>
          <w:tcPr>
            <w:tcW w:w="615" w:type="pct"/>
            <w:tcBorders>
              <w:top w:val="single" w:sz="4" w:space="0" w:color="auto"/>
              <w:left w:val="nil"/>
              <w:bottom w:val="single" w:sz="4" w:space="0" w:color="auto"/>
              <w:right w:val="single" w:sz="4" w:space="0" w:color="auto"/>
            </w:tcBorders>
            <w:shd w:val="clear" w:color="auto" w:fill="D9D9D9" w:themeFill="background1" w:themeFillShade="D9"/>
            <w:vAlign w:val="center"/>
          </w:tcPr>
          <w:p w14:paraId="7C33FCDD" w14:textId="77777777" w:rsidR="00C45D7F" w:rsidRPr="0077128B" w:rsidRDefault="00C45D7F" w:rsidP="00C45D7F">
            <w:pPr>
              <w:spacing w:after="81" w:line="240" w:lineRule="auto"/>
              <w:ind w:left="489" w:hanging="244"/>
              <w:contextualSpacing/>
              <w:jc w:val="both"/>
              <w:rPr>
                <w:rFonts w:eastAsia="Times New Roman" w:cs="Times New Roman"/>
                <w:b/>
                <w:bCs/>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tis. Kč</w:t>
            </w:r>
          </w:p>
        </w:tc>
      </w:tr>
      <w:tr w:rsidR="00C45D7F" w:rsidRPr="000E57A0" w14:paraId="49188B54" w14:textId="77777777" w:rsidTr="0077128B">
        <w:trPr>
          <w:trHeight w:val="696"/>
        </w:trPr>
        <w:tc>
          <w:tcPr>
            <w:tcW w:w="3816" w:type="pct"/>
            <w:tcBorders>
              <w:top w:val="single" w:sz="4" w:space="0" w:color="auto"/>
              <w:left w:val="single" w:sz="4" w:space="0" w:color="auto"/>
              <w:bottom w:val="single" w:sz="4" w:space="0" w:color="auto"/>
              <w:right w:val="single" w:sz="4" w:space="0" w:color="auto"/>
            </w:tcBorders>
          </w:tcPr>
          <w:p w14:paraId="3B59E45E" w14:textId="77777777" w:rsidR="00C45D7F" w:rsidRPr="0077128B" w:rsidRDefault="00C45D7F" w:rsidP="00D05A89">
            <w:pPr>
              <w:numPr>
                <w:ilvl w:val="0"/>
                <w:numId w:val="7"/>
              </w:numPr>
              <w:tabs>
                <w:tab w:val="left" w:pos="182"/>
              </w:tabs>
              <w:spacing w:after="54" w:line="240" w:lineRule="auto"/>
              <w:ind w:left="489"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převod prostředků z kap. 307-MO do kap. 327-MD </w:t>
            </w:r>
            <w:r w:rsidRPr="0077128B">
              <w:rPr>
                <w:rFonts w:eastAsia="Times New Roman" w:cs="Times New Roman"/>
                <w:sz w:val="24"/>
                <w:szCs w:val="24"/>
                <w:lang w:eastAsia="cs-CZ"/>
              </w:rPr>
              <w:br/>
              <w:t>na financování výcviku vojenských řídících letového provozu</w:t>
            </w:r>
          </w:p>
        </w:tc>
        <w:tc>
          <w:tcPr>
            <w:tcW w:w="569" w:type="pct"/>
            <w:tcBorders>
              <w:top w:val="single" w:sz="4" w:space="0" w:color="auto"/>
              <w:left w:val="single" w:sz="4" w:space="0" w:color="auto"/>
              <w:bottom w:val="single" w:sz="4" w:space="0" w:color="auto"/>
              <w:right w:val="nil"/>
            </w:tcBorders>
            <w:vAlign w:val="center"/>
          </w:tcPr>
          <w:p w14:paraId="029ABBE6"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 xml:space="preserve">38 115  </w:t>
            </w:r>
          </w:p>
        </w:tc>
        <w:tc>
          <w:tcPr>
            <w:tcW w:w="615" w:type="pct"/>
            <w:tcBorders>
              <w:top w:val="single" w:sz="4" w:space="0" w:color="auto"/>
              <w:left w:val="nil"/>
              <w:bottom w:val="single" w:sz="4" w:space="0" w:color="auto"/>
              <w:right w:val="single" w:sz="4" w:space="0" w:color="auto"/>
            </w:tcBorders>
            <w:vAlign w:val="center"/>
          </w:tcPr>
          <w:p w14:paraId="0527208E"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289DE7DD" w14:textId="77777777" w:rsidTr="0077128B">
        <w:trPr>
          <w:trHeight w:val="851"/>
        </w:trPr>
        <w:tc>
          <w:tcPr>
            <w:tcW w:w="3816" w:type="pct"/>
            <w:tcBorders>
              <w:top w:val="single" w:sz="4" w:space="0" w:color="auto"/>
              <w:left w:val="single" w:sz="4" w:space="0" w:color="auto"/>
              <w:bottom w:val="single" w:sz="4" w:space="0" w:color="auto"/>
              <w:right w:val="single" w:sz="4" w:space="0" w:color="auto"/>
            </w:tcBorders>
          </w:tcPr>
          <w:p w14:paraId="4DA5F8A3" w14:textId="77777777" w:rsidR="00C45D7F" w:rsidRPr="0077128B" w:rsidRDefault="00C45D7F" w:rsidP="00D05A89">
            <w:pPr>
              <w:numPr>
                <w:ilvl w:val="0"/>
                <w:numId w:val="7"/>
              </w:numPr>
              <w:tabs>
                <w:tab w:val="left" w:pos="182"/>
              </w:tabs>
              <w:spacing w:after="54" w:line="240" w:lineRule="auto"/>
              <w:ind w:left="489" w:hanging="244"/>
              <w:jc w:val="both"/>
              <w:rPr>
                <w:rFonts w:eastAsia="Times New Roman" w:cs="Times New Roman"/>
                <w:sz w:val="24"/>
                <w:szCs w:val="24"/>
                <w:lang w:eastAsia="cs-CZ"/>
              </w:rPr>
            </w:pPr>
            <w:r w:rsidRPr="0077128B">
              <w:rPr>
                <w:rFonts w:eastAsia="Times New Roman" w:cs="Times New Roman"/>
                <w:sz w:val="24"/>
                <w:szCs w:val="24"/>
                <w:lang w:eastAsia="cs-CZ"/>
              </w:rPr>
              <w:t>převod prostředků z kap. 398-VPS, položky Vládní rozpočtová rezerva do kap. 327-MD k vyplacení mimořádných odměn pro zaměstnance, kteří se podíleli na výkonu předsednictví ČR v Radě Evropské unie v roce 2022</w:t>
            </w:r>
          </w:p>
        </w:tc>
        <w:tc>
          <w:tcPr>
            <w:tcW w:w="569" w:type="pct"/>
            <w:tcBorders>
              <w:top w:val="single" w:sz="4" w:space="0" w:color="auto"/>
              <w:left w:val="single" w:sz="4" w:space="0" w:color="auto"/>
              <w:bottom w:val="single" w:sz="4" w:space="0" w:color="auto"/>
              <w:right w:val="nil"/>
            </w:tcBorders>
            <w:vAlign w:val="center"/>
          </w:tcPr>
          <w:p w14:paraId="73405BAE"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4 512</w:t>
            </w:r>
          </w:p>
        </w:tc>
        <w:tc>
          <w:tcPr>
            <w:tcW w:w="615" w:type="pct"/>
            <w:tcBorders>
              <w:top w:val="single" w:sz="4" w:space="0" w:color="auto"/>
              <w:left w:val="nil"/>
              <w:bottom w:val="single" w:sz="4" w:space="0" w:color="auto"/>
              <w:right w:val="single" w:sz="4" w:space="0" w:color="auto"/>
            </w:tcBorders>
            <w:vAlign w:val="center"/>
          </w:tcPr>
          <w:p w14:paraId="070A1395"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2898C108" w14:textId="77777777" w:rsidTr="0077128B">
        <w:trPr>
          <w:trHeight w:val="851"/>
        </w:trPr>
        <w:tc>
          <w:tcPr>
            <w:tcW w:w="3816" w:type="pct"/>
            <w:tcBorders>
              <w:top w:val="single" w:sz="4" w:space="0" w:color="auto"/>
              <w:left w:val="single" w:sz="4" w:space="0" w:color="auto"/>
              <w:bottom w:val="single" w:sz="4" w:space="0" w:color="auto"/>
              <w:right w:val="single" w:sz="4" w:space="0" w:color="auto"/>
            </w:tcBorders>
          </w:tcPr>
          <w:p w14:paraId="4CD4CD9F" w14:textId="7183B69E" w:rsidR="00C45D7F" w:rsidRPr="0077128B" w:rsidRDefault="00C45D7F" w:rsidP="00D05A89">
            <w:pPr>
              <w:numPr>
                <w:ilvl w:val="0"/>
                <w:numId w:val="7"/>
              </w:numPr>
              <w:tabs>
                <w:tab w:val="left" w:pos="182"/>
              </w:tabs>
              <w:spacing w:after="54" w:line="240" w:lineRule="auto"/>
              <w:ind w:left="489" w:hanging="244"/>
              <w:jc w:val="both"/>
              <w:rPr>
                <w:rFonts w:eastAsia="Times New Roman" w:cs="Times New Roman"/>
                <w:sz w:val="24"/>
                <w:szCs w:val="24"/>
                <w:lang w:eastAsia="cs-CZ"/>
              </w:rPr>
            </w:pPr>
            <w:r w:rsidRPr="0077128B">
              <w:rPr>
                <w:rFonts w:eastAsia="Times New Roman" w:cs="Times New Roman"/>
                <w:sz w:val="24"/>
                <w:szCs w:val="24"/>
                <w:lang w:eastAsia="cs-CZ"/>
              </w:rPr>
              <w:t>převod prostředků z kap. 398-VPS, položky Prostředky na financování stáží zaměstnanců české státní správy v institucích Evropské unie do kap. 327-MD na platy a příslušenství národní expertky (zaměstnankyně ústředního orgánu Ministerstva dopravy) vyslané do instituce EU</w:t>
            </w:r>
          </w:p>
        </w:tc>
        <w:tc>
          <w:tcPr>
            <w:tcW w:w="569" w:type="pct"/>
            <w:tcBorders>
              <w:top w:val="single" w:sz="4" w:space="0" w:color="auto"/>
              <w:left w:val="single" w:sz="4" w:space="0" w:color="auto"/>
              <w:bottom w:val="single" w:sz="4" w:space="0" w:color="auto"/>
              <w:right w:val="nil"/>
            </w:tcBorders>
            <w:vAlign w:val="center"/>
          </w:tcPr>
          <w:p w14:paraId="1AE1196A"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199</w:t>
            </w:r>
          </w:p>
        </w:tc>
        <w:tc>
          <w:tcPr>
            <w:tcW w:w="615" w:type="pct"/>
            <w:tcBorders>
              <w:top w:val="single" w:sz="4" w:space="0" w:color="auto"/>
              <w:left w:val="nil"/>
              <w:bottom w:val="single" w:sz="4" w:space="0" w:color="auto"/>
              <w:right w:val="single" w:sz="4" w:space="0" w:color="auto"/>
            </w:tcBorders>
            <w:vAlign w:val="center"/>
          </w:tcPr>
          <w:p w14:paraId="4898CA61"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62EAD219" w14:textId="77777777" w:rsidTr="0077128B">
        <w:trPr>
          <w:trHeight w:val="851"/>
        </w:trPr>
        <w:tc>
          <w:tcPr>
            <w:tcW w:w="3816" w:type="pct"/>
            <w:tcBorders>
              <w:top w:val="single" w:sz="4" w:space="0" w:color="auto"/>
              <w:left w:val="single" w:sz="4" w:space="0" w:color="auto"/>
              <w:bottom w:val="single" w:sz="4" w:space="0" w:color="auto"/>
              <w:right w:val="single" w:sz="4" w:space="0" w:color="auto"/>
            </w:tcBorders>
          </w:tcPr>
          <w:p w14:paraId="073228ED" w14:textId="5A69E287" w:rsidR="00C45D7F" w:rsidRPr="0077128B" w:rsidRDefault="00C45D7F" w:rsidP="00D05A89">
            <w:pPr>
              <w:numPr>
                <w:ilvl w:val="0"/>
                <w:numId w:val="7"/>
              </w:numPr>
              <w:tabs>
                <w:tab w:val="left" w:pos="182"/>
              </w:tabs>
              <w:spacing w:after="54" w:line="240" w:lineRule="auto"/>
              <w:ind w:left="489"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převod prostředků z kap. 317-MMR do kap. 327-MD dle delimitačního protokolu v souvislosti se vznikem Dopravního </w:t>
            </w:r>
            <w:r w:rsidR="00825058">
              <w:rPr>
                <w:rFonts w:eastAsia="Times New Roman" w:cs="Times New Roman"/>
                <w:sz w:val="24"/>
                <w:szCs w:val="24"/>
                <w:lang w:eastAsia="cs-CZ"/>
              </w:rPr>
              <w:br/>
            </w:r>
            <w:r w:rsidRPr="0077128B">
              <w:rPr>
                <w:rFonts w:eastAsia="Times New Roman" w:cs="Times New Roman"/>
                <w:sz w:val="24"/>
                <w:szCs w:val="24"/>
                <w:lang w:eastAsia="cs-CZ"/>
              </w:rPr>
              <w:t>a energetického stavebního úřadu (platy a příslušenství)</w:t>
            </w:r>
          </w:p>
        </w:tc>
        <w:tc>
          <w:tcPr>
            <w:tcW w:w="569" w:type="pct"/>
            <w:tcBorders>
              <w:top w:val="single" w:sz="4" w:space="0" w:color="auto"/>
              <w:left w:val="single" w:sz="4" w:space="0" w:color="auto"/>
              <w:bottom w:val="single" w:sz="4" w:space="0" w:color="auto"/>
              <w:right w:val="nil"/>
            </w:tcBorders>
            <w:vAlign w:val="center"/>
          </w:tcPr>
          <w:p w14:paraId="2A58B77C"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4 445</w:t>
            </w:r>
          </w:p>
        </w:tc>
        <w:tc>
          <w:tcPr>
            <w:tcW w:w="615" w:type="pct"/>
            <w:tcBorders>
              <w:top w:val="single" w:sz="4" w:space="0" w:color="auto"/>
              <w:left w:val="nil"/>
              <w:bottom w:val="single" w:sz="4" w:space="0" w:color="auto"/>
              <w:right w:val="single" w:sz="4" w:space="0" w:color="auto"/>
            </w:tcBorders>
            <w:vAlign w:val="center"/>
          </w:tcPr>
          <w:p w14:paraId="2883CA0B"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28C31CEC" w14:textId="77777777" w:rsidTr="0077128B">
        <w:trPr>
          <w:trHeight w:val="851"/>
        </w:trPr>
        <w:tc>
          <w:tcPr>
            <w:tcW w:w="3816" w:type="pct"/>
            <w:tcBorders>
              <w:top w:val="single" w:sz="4" w:space="0" w:color="auto"/>
              <w:left w:val="single" w:sz="4" w:space="0" w:color="auto"/>
              <w:bottom w:val="single" w:sz="4" w:space="0" w:color="auto"/>
              <w:right w:val="single" w:sz="4" w:space="0" w:color="auto"/>
            </w:tcBorders>
          </w:tcPr>
          <w:p w14:paraId="658AFB92" w14:textId="2B244703" w:rsidR="00C45D7F" w:rsidRPr="0077128B" w:rsidRDefault="00C45D7F" w:rsidP="00D05A89">
            <w:pPr>
              <w:numPr>
                <w:ilvl w:val="0"/>
                <w:numId w:val="7"/>
              </w:numPr>
              <w:tabs>
                <w:tab w:val="left" w:pos="182"/>
              </w:tabs>
              <w:spacing w:after="54" w:line="240" w:lineRule="auto"/>
              <w:ind w:left="489"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převod prostředků z kap. 317-MMR do kap. 327-MD dle delimitačního protokolu v souvislosti se vznikem Dopravního </w:t>
            </w:r>
            <w:r w:rsidR="00825058">
              <w:rPr>
                <w:rFonts w:eastAsia="Times New Roman" w:cs="Times New Roman"/>
                <w:sz w:val="24"/>
                <w:szCs w:val="24"/>
                <w:lang w:eastAsia="cs-CZ"/>
              </w:rPr>
              <w:br/>
            </w:r>
            <w:r w:rsidRPr="0077128B">
              <w:rPr>
                <w:rFonts w:eastAsia="Times New Roman" w:cs="Times New Roman"/>
                <w:sz w:val="24"/>
                <w:szCs w:val="24"/>
                <w:lang w:eastAsia="cs-CZ"/>
              </w:rPr>
              <w:t>a energetického stavebního úřadu na nezpůsobilé výdaje NPO k refundaci (DPH)</w:t>
            </w:r>
          </w:p>
        </w:tc>
        <w:tc>
          <w:tcPr>
            <w:tcW w:w="569" w:type="pct"/>
            <w:tcBorders>
              <w:top w:val="single" w:sz="4" w:space="0" w:color="auto"/>
              <w:left w:val="single" w:sz="4" w:space="0" w:color="auto"/>
              <w:bottom w:val="single" w:sz="4" w:space="0" w:color="auto"/>
              <w:right w:val="nil"/>
            </w:tcBorders>
            <w:vAlign w:val="center"/>
          </w:tcPr>
          <w:p w14:paraId="1FE1FEDC"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24 112</w:t>
            </w:r>
          </w:p>
        </w:tc>
        <w:tc>
          <w:tcPr>
            <w:tcW w:w="615" w:type="pct"/>
            <w:tcBorders>
              <w:top w:val="single" w:sz="4" w:space="0" w:color="auto"/>
              <w:left w:val="nil"/>
              <w:bottom w:val="single" w:sz="4" w:space="0" w:color="auto"/>
              <w:right w:val="single" w:sz="4" w:space="0" w:color="auto"/>
            </w:tcBorders>
            <w:vAlign w:val="center"/>
          </w:tcPr>
          <w:p w14:paraId="3BFB0A33"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6A755F" w14:paraId="4380DA77" w14:textId="77777777" w:rsidTr="0077128B">
        <w:trPr>
          <w:trHeight w:val="720"/>
        </w:trPr>
        <w:tc>
          <w:tcPr>
            <w:tcW w:w="381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394DC5" w14:textId="77777777" w:rsidR="00C45D7F" w:rsidRPr="0077128B" w:rsidRDefault="00C45D7F" w:rsidP="00D05A89">
            <w:pPr>
              <w:numPr>
                <w:ilvl w:val="0"/>
                <w:numId w:val="3"/>
              </w:numPr>
              <w:tabs>
                <w:tab w:val="left" w:pos="182"/>
              </w:tabs>
              <w:spacing w:after="54" w:line="240" w:lineRule="auto"/>
              <w:ind w:left="489" w:hanging="244"/>
              <w:contextualSpacing/>
              <w:jc w:val="both"/>
              <w:rPr>
                <w:rFonts w:eastAsia="Times New Roman" w:cs="Times New Roman"/>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souvztažné navýšení příjmů a výdajů kapitoly 327 Ministerstvo dopravy,</w:t>
            </w:r>
            <w:r w:rsidRPr="0077128B">
              <w:rPr>
                <w:rFonts w:eastAsia="Times New Roman" w:cs="Times New Roman"/>
                <w:color w:val="2E74B5" w:themeColor="accent1" w:themeShade="BF"/>
                <w:sz w:val="24"/>
                <w:szCs w:val="24"/>
                <w:lang w:eastAsia="cs-CZ"/>
              </w:rPr>
              <w:t xml:space="preserve"> v tom:</w:t>
            </w:r>
          </w:p>
        </w:tc>
        <w:tc>
          <w:tcPr>
            <w:tcW w:w="569" w:type="pct"/>
            <w:tcBorders>
              <w:top w:val="single" w:sz="4" w:space="0" w:color="auto"/>
              <w:left w:val="single" w:sz="4" w:space="0" w:color="auto"/>
              <w:bottom w:val="single" w:sz="4" w:space="0" w:color="auto"/>
              <w:right w:val="nil"/>
            </w:tcBorders>
            <w:shd w:val="clear" w:color="auto" w:fill="D9D9D9" w:themeFill="background1" w:themeFillShade="D9"/>
            <w:vAlign w:val="center"/>
          </w:tcPr>
          <w:p w14:paraId="116955B6" w14:textId="77777777" w:rsidR="00C45D7F" w:rsidRPr="0077128B" w:rsidRDefault="00C45D7F" w:rsidP="0077128B">
            <w:pPr>
              <w:spacing w:after="81" w:line="240" w:lineRule="auto"/>
              <w:ind w:left="489" w:hanging="244"/>
              <w:contextualSpacing/>
              <w:jc w:val="right"/>
              <w:rPr>
                <w:rFonts w:eastAsia="Times New Roman" w:cs="Times New Roman"/>
                <w:b/>
                <w:bCs/>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1 581</w:t>
            </w:r>
          </w:p>
        </w:tc>
        <w:tc>
          <w:tcPr>
            <w:tcW w:w="615" w:type="pct"/>
            <w:tcBorders>
              <w:top w:val="single" w:sz="4" w:space="0" w:color="auto"/>
              <w:left w:val="nil"/>
              <w:bottom w:val="single" w:sz="4" w:space="0" w:color="auto"/>
              <w:right w:val="single" w:sz="4" w:space="0" w:color="auto"/>
            </w:tcBorders>
            <w:shd w:val="clear" w:color="auto" w:fill="D9D9D9" w:themeFill="background1" w:themeFillShade="D9"/>
            <w:vAlign w:val="center"/>
          </w:tcPr>
          <w:p w14:paraId="1109E41D" w14:textId="77777777" w:rsidR="00C45D7F" w:rsidRPr="0077128B" w:rsidRDefault="00C45D7F" w:rsidP="00C45D7F">
            <w:pPr>
              <w:spacing w:after="81" w:line="240" w:lineRule="auto"/>
              <w:ind w:left="489" w:hanging="244"/>
              <w:contextualSpacing/>
              <w:jc w:val="both"/>
              <w:rPr>
                <w:rFonts w:eastAsia="Times New Roman" w:cs="Times New Roman"/>
                <w:b/>
                <w:bCs/>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tis. Kč</w:t>
            </w:r>
          </w:p>
        </w:tc>
      </w:tr>
      <w:tr w:rsidR="00C45D7F" w:rsidRPr="000E57A0" w14:paraId="760E24D7" w14:textId="77777777" w:rsidTr="0077128B">
        <w:trPr>
          <w:trHeight w:val="851"/>
        </w:trPr>
        <w:tc>
          <w:tcPr>
            <w:tcW w:w="3816" w:type="pct"/>
            <w:tcBorders>
              <w:top w:val="single" w:sz="4" w:space="0" w:color="auto"/>
              <w:left w:val="single" w:sz="4" w:space="0" w:color="auto"/>
              <w:bottom w:val="single" w:sz="4" w:space="0" w:color="auto"/>
              <w:right w:val="single" w:sz="4" w:space="0" w:color="auto"/>
            </w:tcBorders>
          </w:tcPr>
          <w:p w14:paraId="4149EE55" w14:textId="46F1A417" w:rsidR="00C45D7F" w:rsidRPr="0077128B" w:rsidRDefault="00C45D7F" w:rsidP="00D05A89">
            <w:pPr>
              <w:numPr>
                <w:ilvl w:val="0"/>
                <w:numId w:val="1"/>
              </w:numPr>
              <w:tabs>
                <w:tab w:val="left" w:pos="182"/>
              </w:tabs>
              <w:spacing w:after="54" w:line="240" w:lineRule="auto"/>
              <w:ind w:left="489"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souvztažné navýšení příjmů a výdajů u kapitoly 327-MD </w:t>
            </w:r>
            <w:r w:rsidRPr="0077128B">
              <w:rPr>
                <w:rFonts w:eastAsia="Times New Roman" w:cs="Times New Roman"/>
                <w:sz w:val="24"/>
                <w:szCs w:val="24"/>
                <w:lang w:eastAsia="cs-CZ"/>
              </w:rPr>
              <w:br/>
              <w:t xml:space="preserve">v rámci Národního </w:t>
            </w:r>
            <w:r w:rsidR="0013420F">
              <w:rPr>
                <w:rFonts w:eastAsia="Times New Roman" w:cs="Times New Roman"/>
                <w:sz w:val="24"/>
                <w:szCs w:val="24"/>
                <w:lang w:eastAsia="cs-CZ"/>
              </w:rPr>
              <w:t>plán</w:t>
            </w:r>
            <w:r w:rsidRPr="0077128B">
              <w:rPr>
                <w:rFonts w:eastAsia="Times New Roman" w:cs="Times New Roman"/>
                <w:sz w:val="24"/>
                <w:szCs w:val="24"/>
                <w:lang w:eastAsia="cs-CZ"/>
              </w:rPr>
              <w:t xml:space="preserve">u obnovy (navýšení platů </w:t>
            </w:r>
            <w:r w:rsidR="00825058">
              <w:rPr>
                <w:rFonts w:eastAsia="Times New Roman" w:cs="Times New Roman"/>
                <w:sz w:val="24"/>
                <w:szCs w:val="24"/>
                <w:lang w:eastAsia="cs-CZ"/>
              </w:rPr>
              <w:br/>
            </w:r>
            <w:r w:rsidRPr="0077128B">
              <w:rPr>
                <w:rFonts w:eastAsia="Times New Roman" w:cs="Times New Roman"/>
                <w:sz w:val="24"/>
                <w:szCs w:val="24"/>
                <w:lang w:eastAsia="cs-CZ"/>
              </w:rPr>
              <w:t>a příslušenství)</w:t>
            </w:r>
          </w:p>
        </w:tc>
        <w:tc>
          <w:tcPr>
            <w:tcW w:w="569" w:type="pct"/>
            <w:tcBorders>
              <w:top w:val="single" w:sz="4" w:space="0" w:color="auto"/>
              <w:left w:val="single" w:sz="4" w:space="0" w:color="auto"/>
              <w:bottom w:val="single" w:sz="4" w:space="0" w:color="auto"/>
              <w:right w:val="nil"/>
            </w:tcBorders>
            <w:vAlign w:val="center"/>
          </w:tcPr>
          <w:p w14:paraId="4C490A52"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 xml:space="preserve">1 581 </w:t>
            </w:r>
          </w:p>
        </w:tc>
        <w:tc>
          <w:tcPr>
            <w:tcW w:w="615" w:type="pct"/>
            <w:tcBorders>
              <w:top w:val="single" w:sz="4" w:space="0" w:color="auto"/>
              <w:left w:val="nil"/>
              <w:bottom w:val="single" w:sz="4" w:space="0" w:color="auto"/>
              <w:right w:val="single" w:sz="4" w:space="0" w:color="auto"/>
            </w:tcBorders>
            <w:vAlign w:val="center"/>
          </w:tcPr>
          <w:p w14:paraId="291DC4A8"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6A755F" w14:paraId="524AC145" w14:textId="77777777" w:rsidTr="0077128B">
        <w:trPr>
          <w:trHeight w:val="708"/>
        </w:trPr>
        <w:tc>
          <w:tcPr>
            <w:tcW w:w="381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7A834B5" w14:textId="77777777" w:rsidR="00C45D7F" w:rsidRPr="0077128B" w:rsidRDefault="00C45D7F" w:rsidP="00D05A89">
            <w:pPr>
              <w:numPr>
                <w:ilvl w:val="0"/>
                <w:numId w:val="2"/>
              </w:numPr>
              <w:tabs>
                <w:tab w:val="left" w:pos="182"/>
              </w:tabs>
              <w:spacing w:after="54" w:line="240" w:lineRule="auto"/>
              <w:ind w:left="489" w:hanging="244"/>
              <w:contextualSpacing/>
              <w:jc w:val="both"/>
              <w:rPr>
                <w:rFonts w:eastAsia="Times New Roman" w:cs="Times New Roman"/>
                <w:sz w:val="24"/>
                <w:szCs w:val="24"/>
                <w:lang w:eastAsia="cs-CZ"/>
              </w:rPr>
            </w:pPr>
            <w:r w:rsidRPr="0077128B">
              <w:rPr>
                <w:rFonts w:eastAsia="Times New Roman" w:cs="Times New Roman"/>
                <w:b/>
                <w:bCs/>
                <w:color w:val="2E74B5" w:themeColor="accent1" w:themeShade="BF"/>
                <w:sz w:val="24"/>
                <w:szCs w:val="24"/>
                <w:lang w:eastAsia="cs-CZ"/>
              </w:rPr>
              <w:lastRenderedPageBreak/>
              <w:t>převod prostředků z kapitoly 327 Ministerstvo dopravy       celkem do jiných kapitol,</w:t>
            </w:r>
            <w:r w:rsidRPr="0077128B">
              <w:rPr>
                <w:rFonts w:eastAsia="Times New Roman" w:cs="Times New Roman"/>
                <w:color w:val="2E74B5" w:themeColor="accent1" w:themeShade="BF"/>
                <w:sz w:val="24"/>
                <w:szCs w:val="24"/>
                <w:lang w:eastAsia="cs-CZ"/>
              </w:rPr>
              <w:t xml:space="preserve"> v tom:</w:t>
            </w:r>
          </w:p>
        </w:tc>
        <w:tc>
          <w:tcPr>
            <w:tcW w:w="569" w:type="pct"/>
            <w:tcBorders>
              <w:top w:val="single" w:sz="4" w:space="0" w:color="auto"/>
              <w:left w:val="single" w:sz="4" w:space="0" w:color="auto"/>
              <w:bottom w:val="single" w:sz="4" w:space="0" w:color="auto"/>
              <w:right w:val="nil"/>
            </w:tcBorders>
            <w:shd w:val="clear" w:color="auto" w:fill="D9D9D9" w:themeFill="background1" w:themeFillShade="D9"/>
            <w:vAlign w:val="center"/>
          </w:tcPr>
          <w:p w14:paraId="2AFACD1C" w14:textId="77777777" w:rsidR="00C45D7F" w:rsidRPr="0077128B" w:rsidRDefault="00C45D7F" w:rsidP="0077128B">
            <w:pPr>
              <w:spacing w:after="81" w:line="240" w:lineRule="auto"/>
              <w:ind w:left="489" w:hanging="244"/>
              <w:contextualSpacing/>
              <w:jc w:val="right"/>
              <w:rPr>
                <w:rFonts w:eastAsia="Times New Roman" w:cs="Times New Roman"/>
                <w:b/>
                <w:bCs/>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24 288</w:t>
            </w:r>
          </w:p>
        </w:tc>
        <w:tc>
          <w:tcPr>
            <w:tcW w:w="615" w:type="pct"/>
            <w:tcBorders>
              <w:top w:val="single" w:sz="4" w:space="0" w:color="auto"/>
              <w:left w:val="nil"/>
              <w:bottom w:val="single" w:sz="4" w:space="0" w:color="auto"/>
              <w:right w:val="single" w:sz="4" w:space="0" w:color="auto"/>
            </w:tcBorders>
            <w:shd w:val="clear" w:color="auto" w:fill="D9D9D9" w:themeFill="background1" w:themeFillShade="D9"/>
            <w:vAlign w:val="center"/>
          </w:tcPr>
          <w:p w14:paraId="729B7E57" w14:textId="77777777" w:rsidR="00C45D7F" w:rsidRPr="0077128B" w:rsidRDefault="00C45D7F" w:rsidP="00C45D7F">
            <w:pPr>
              <w:spacing w:after="81" w:line="240" w:lineRule="auto"/>
              <w:ind w:left="489" w:hanging="244"/>
              <w:contextualSpacing/>
              <w:jc w:val="both"/>
              <w:rPr>
                <w:rFonts w:eastAsia="Times New Roman" w:cs="Times New Roman"/>
                <w:b/>
                <w:bCs/>
                <w:color w:val="2E74B5" w:themeColor="accent1" w:themeShade="BF"/>
                <w:sz w:val="24"/>
                <w:szCs w:val="24"/>
                <w:lang w:eastAsia="cs-CZ"/>
              </w:rPr>
            </w:pPr>
            <w:r w:rsidRPr="0077128B">
              <w:rPr>
                <w:rFonts w:eastAsia="Times New Roman" w:cs="Times New Roman"/>
                <w:b/>
                <w:bCs/>
                <w:color w:val="2E74B5" w:themeColor="accent1" w:themeShade="BF"/>
                <w:sz w:val="24"/>
                <w:szCs w:val="24"/>
                <w:lang w:eastAsia="cs-CZ"/>
              </w:rPr>
              <w:t>tis. Kč</w:t>
            </w:r>
          </w:p>
        </w:tc>
      </w:tr>
      <w:tr w:rsidR="00C45D7F" w:rsidRPr="000E57A0" w14:paraId="2FCD5A50" w14:textId="77777777" w:rsidTr="0077128B">
        <w:trPr>
          <w:trHeight w:val="690"/>
        </w:trPr>
        <w:tc>
          <w:tcPr>
            <w:tcW w:w="3816" w:type="pct"/>
            <w:tcBorders>
              <w:top w:val="single" w:sz="4" w:space="0" w:color="auto"/>
              <w:left w:val="single" w:sz="4" w:space="0" w:color="auto"/>
              <w:bottom w:val="single" w:sz="4" w:space="0" w:color="auto"/>
              <w:right w:val="single" w:sz="4" w:space="0" w:color="auto"/>
            </w:tcBorders>
          </w:tcPr>
          <w:p w14:paraId="18E5630A" w14:textId="6455E54A" w:rsidR="00C45D7F" w:rsidRPr="0077128B" w:rsidRDefault="00C45D7F" w:rsidP="00D05A89">
            <w:pPr>
              <w:numPr>
                <w:ilvl w:val="0"/>
                <w:numId w:val="1"/>
              </w:numPr>
              <w:tabs>
                <w:tab w:val="left" w:pos="193"/>
              </w:tabs>
              <w:spacing w:after="54" w:line="240" w:lineRule="auto"/>
              <w:ind w:left="485" w:hanging="242"/>
              <w:jc w:val="both"/>
              <w:rPr>
                <w:rFonts w:eastAsia="Times New Roman" w:cs="Times New Roman"/>
                <w:sz w:val="24"/>
                <w:szCs w:val="24"/>
                <w:lang w:eastAsia="cs-CZ"/>
              </w:rPr>
            </w:pPr>
            <w:r w:rsidRPr="0077128B">
              <w:rPr>
                <w:rFonts w:eastAsia="Times New Roman" w:cs="Times New Roman"/>
                <w:sz w:val="24"/>
                <w:szCs w:val="24"/>
                <w:lang w:eastAsia="cs-CZ"/>
              </w:rPr>
              <w:t xml:space="preserve">převod systemizovaného místa včetně prostředků na platy </w:t>
            </w:r>
            <w:r w:rsidR="00825058">
              <w:rPr>
                <w:rFonts w:eastAsia="Times New Roman" w:cs="Times New Roman"/>
                <w:sz w:val="24"/>
                <w:szCs w:val="24"/>
                <w:lang w:eastAsia="cs-CZ"/>
              </w:rPr>
              <w:br/>
            </w:r>
            <w:r w:rsidRPr="0077128B">
              <w:rPr>
                <w:rFonts w:eastAsia="Times New Roman" w:cs="Times New Roman"/>
                <w:sz w:val="24"/>
                <w:szCs w:val="24"/>
                <w:lang w:eastAsia="cs-CZ"/>
              </w:rPr>
              <w:t xml:space="preserve">a příslušenství z kapitoly 327-MD do kapitoly </w:t>
            </w:r>
            <w:proofErr w:type="gramStart"/>
            <w:r w:rsidRPr="0077128B">
              <w:rPr>
                <w:rFonts w:eastAsia="Times New Roman" w:cs="Times New Roman"/>
                <w:sz w:val="24"/>
                <w:szCs w:val="24"/>
                <w:lang w:eastAsia="cs-CZ"/>
              </w:rPr>
              <w:t>304-Úřad</w:t>
            </w:r>
            <w:proofErr w:type="gramEnd"/>
            <w:r w:rsidRPr="0077128B">
              <w:rPr>
                <w:rFonts w:eastAsia="Times New Roman" w:cs="Times New Roman"/>
                <w:sz w:val="24"/>
                <w:szCs w:val="24"/>
                <w:lang w:eastAsia="cs-CZ"/>
              </w:rPr>
              <w:t xml:space="preserve"> vlády</w:t>
            </w:r>
          </w:p>
        </w:tc>
        <w:tc>
          <w:tcPr>
            <w:tcW w:w="569" w:type="pct"/>
            <w:tcBorders>
              <w:top w:val="single" w:sz="4" w:space="0" w:color="auto"/>
              <w:left w:val="single" w:sz="4" w:space="0" w:color="auto"/>
              <w:bottom w:val="single" w:sz="4" w:space="0" w:color="auto"/>
              <w:right w:val="nil"/>
            </w:tcBorders>
            <w:vAlign w:val="center"/>
          </w:tcPr>
          <w:p w14:paraId="33152A7C"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629</w:t>
            </w:r>
          </w:p>
        </w:tc>
        <w:tc>
          <w:tcPr>
            <w:tcW w:w="615" w:type="pct"/>
            <w:tcBorders>
              <w:top w:val="single" w:sz="4" w:space="0" w:color="auto"/>
              <w:left w:val="nil"/>
              <w:bottom w:val="single" w:sz="4" w:space="0" w:color="auto"/>
              <w:right w:val="single" w:sz="4" w:space="0" w:color="auto"/>
            </w:tcBorders>
            <w:vAlign w:val="center"/>
          </w:tcPr>
          <w:p w14:paraId="4E0BA532"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 xml:space="preserve"> tis. Kč</w:t>
            </w:r>
          </w:p>
        </w:tc>
      </w:tr>
      <w:tr w:rsidR="00C45D7F" w:rsidRPr="000E57A0" w14:paraId="730EA5D3" w14:textId="77777777" w:rsidTr="00C45D7F">
        <w:trPr>
          <w:trHeight w:val="851"/>
        </w:trPr>
        <w:tc>
          <w:tcPr>
            <w:tcW w:w="3816" w:type="pct"/>
            <w:tcBorders>
              <w:top w:val="single" w:sz="4" w:space="0" w:color="auto"/>
              <w:left w:val="single" w:sz="4" w:space="0" w:color="auto"/>
              <w:bottom w:val="single" w:sz="4" w:space="0" w:color="auto"/>
              <w:right w:val="single" w:sz="4" w:space="0" w:color="auto"/>
            </w:tcBorders>
          </w:tcPr>
          <w:p w14:paraId="740E7F28" w14:textId="77777777" w:rsidR="00C45D7F" w:rsidRPr="0077128B" w:rsidRDefault="00C45D7F" w:rsidP="00D05A89">
            <w:pPr>
              <w:numPr>
                <w:ilvl w:val="0"/>
                <w:numId w:val="1"/>
              </w:numPr>
              <w:tabs>
                <w:tab w:val="left" w:pos="193"/>
              </w:tabs>
              <w:spacing w:after="54" w:line="240" w:lineRule="auto"/>
              <w:ind w:left="485" w:hanging="242"/>
              <w:jc w:val="both"/>
              <w:rPr>
                <w:rFonts w:eastAsia="Times New Roman" w:cs="Times New Roman"/>
                <w:sz w:val="24"/>
                <w:szCs w:val="24"/>
                <w:lang w:eastAsia="cs-CZ"/>
              </w:rPr>
            </w:pPr>
            <w:r w:rsidRPr="0077128B">
              <w:rPr>
                <w:rFonts w:eastAsia="Times New Roman" w:cs="Times New Roman"/>
                <w:sz w:val="24"/>
                <w:szCs w:val="24"/>
                <w:lang w:eastAsia="cs-CZ"/>
              </w:rPr>
              <w:t xml:space="preserve">převod finančních prostředků z kapitoly 327-MD </w:t>
            </w:r>
            <w:r w:rsidRPr="0077128B">
              <w:rPr>
                <w:rFonts w:eastAsia="Times New Roman" w:cs="Times New Roman"/>
                <w:sz w:val="24"/>
                <w:szCs w:val="24"/>
                <w:lang w:eastAsia="cs-CZ"/>
              </w:rPr>
              <w:br/>
              <w:t>do kapitoly 322-MPO na základě „Smlouvy o spolupráci při zabezpečení činností spojených s přejímáním technických předpisů Evropské unie do systému ČSN v oboru dopravní telematiky“ (Dodatek č. 8)</w:t>
            </w:r>
          </w:p>
        </w:tc>
        <w:tc>
          <w:tcPr>
            <w:tcW w:w="569" w:type="pct"/>
            <w:tcBorders>
              <w:top w:val="single" w:sz="4" w:space="0" w:color="auto"/>
              <w:left w:val="single" w:sz="4" w:space="0" w:color="auto"/>
              <w:bottom w:val="single" w:sz="4" w:space="0" w:color="auto"/>
              <w:right w:val="nil"/>
            </w:tcBorders>
            <w:vAlign w:val="center"/>
          </w:tcPr>
          <w:p w14:paraId="6B312866"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4 200</w:t>
            </w:r>
          </w:p>
        </w:tc>
        <w:tc>
          <w:tcPr>
            <w:tcW w:w="615" w:type="pct"/>
            <w:tcBorders>
              <w:top w:val="single" w:sz="4" w:space="0" w:color="auto"/>
              <w:left w:val="nil"/>
              <w:bottom w:val="single" w:sz="4" w:space="0" w:color="auto"/>
              <w:right w:val="single" w:sz="4" w:space="0" w:color="auto"/>
            </w:tcBorders>
            <w:vAlign w:val="center"/>
          </w:tcPr>
          <w:p w14:paraId="57E7CF75"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13188C81" w14:textId="77777777" w:rsidTr="00C45D7F">
        <w:trPr>
          <w:trHeight w:val="851"/>
        </w:trPr>
        <w:tc>
          <w:tcPr>
            <w:tcW w:w="3816" w:type="pct"/>
            <w:tcBorders>
              <w:top w:val="single" w:sz="4" w:space="0" w:color="auto"/>
              <w:left w:val="single" w:sz="4" w:space="0" w:color="auto"/>
              <w:bottom w:val="single" w:sz="4" w:space="0" w:color="auto"/>
              <w:right w:val="single" w:sz="4" w:space="0" w:color="auto"/>
            </w:tcBorders>
          </w:tcPr>
          <w:p w14:paraId="13FC8631" w14:textId="77777777" w:rsidR="00C45D7F" w:rsidRPr="0077128B" w:rsidRDefault="00C45D7F" w:rsidP="00D05A89">
            <w:pPr>
              <w:numPr>
                <w:ilvl w:val="0"/>
                <w:numId w:val="1"/>
              </w:numPr>
              <w:tabs>
                <w:tab w:val="left" w:pos="193"/>
              </w:tabs>
              <w:spacing w:after="54" w:line="240" w:lineRule="auto"/>
              <w:ind w:left="485" w:hanging="242"/>
              <w:jc w:val="both"/>
              <w:rPr>
                <w:rFonts w:eastAsia="Times New Roman" w:cs="Times New Roman"/>
                <w:sz w:val="24"/>
                <w:szCs w:val="24"/>
                <w:lang w:eastAsia="cs-CZ"/>
              </w:rPr>
            </w:pPr>
            <w:r w:rsidRPr="0077128B">
              <w:rPr>
                <w:rFonts w:eastAsia="Times New Roman" w:cs="Times New Roman"/>
                <w:sz w:val="24"/>
                <w:szCs w:val="24"/>
                <w:lang w:eastAsia="cs-CZ"/>
              </w:rPr>
              <w:t>převod finančních prostředků z kapitoly 327-MD do kapitoly 322-MPO na základě „Smlouvy o spolupráci při zabezpečení činností spojených s přejímáním technických předpisů Evropských společenství do systému ČSN v oboru pozemních komunikací“ (Dodatek č. 11)</w:t>
            </w:r>
          </w:p>
        </w:tc>
        <w:tc>
          <w:tcPr>
            <w:tcW w:w="569" w:type="pct"/>
            <w:tcBorders>
              <w:top w:val="single" w:sz="4" w:space="0" w:color="auto"/>
              <w:left w:val="single" w:sz="4" w:space="0" w:color="auto"/>
              <w:bottom w:val="single" w:sz="4" w:space="0" w:color="auto"/>
              <w:right w:val="nil"/>
            </w:tcBorders>
            <w:vAlign w:val="center"/>
          </w:tcPr>
          <w:p w14:paraId="59B4C710"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 xml:space="preserve">4 500 </w:t>
            </w:r>
          </w:p>
        </w:tc>
        <w:tc>
          <w:tcPr>
            <w:tcW w:w="615" w:type="pct"/>
            <w:tcBorders>
              <w:top w:val="single" w:sz="4" w:space="0" w:color="auto"/>
              <w:left w:val="nil"/>
              <w:bottom w:val="single" w:sz="4" w:space="0" w:color="auto"/>
              <w:right w:val="single" w:sz="4" w:space="0" w:color="auto"/>
            </w:tcBorders>
            <w:vAlign w:val="center"/>
          </w:tcPr>
          <w:p w14:paraId="074592AC"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11CFEC9A" w14:textId="77777777" w:rsidTr="0077128B">
        <w:trPr>
          <w:trHeight w:val="717"/>
        </w:trPr>
        <w:tc>
          <w:tcPr>
            <w:tcW w:w="3816" w:type="pct"/>
            <w:tcBorders>
              <w:top w:val="single" w:sz="4" w:space="0" w:color="auto"/>
              <w:left w:val="single" w:sz="4" w:space="0" w:color="auto"/>
              <w:bottom w:val="single" w:sz="4" w:space="0" w:color="auto"/>
              <w:right w:val="single" w:sz="4" w:space="0" w:color="auto"/>
            </w:tcBorders>
          </w:tcPr>
          <w:p w14:paraId="2FD2F74C" w14:textId="77777777"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 převod finančních prostředků z kapitoly 327-MD do kapitoly 322-MPO na zajištění, realizaci a propagaci „</w:t>
            </w:r>
            <w:proofErr w:type="spellStart"/>
            <w:r w:rsidRPr="0077128B">
              <w:rPr>
                <w:rFonts w:eastAsia="Times New Roman" w:cs="Times New Roman"/>
                <w:sz w:val="24"/>
                <w:szCs w:val="24"/>
                <w:lang w:eastAsia="cs-CZ"/>
              </w:rPr>
              <w:t>CzechSpaceWeek</w:t>
            </w:r>
            <w:proofErr w:type="spellEnd"/>
            <w:r w:rsidRPr="0077128B">
              <w:rPr>
                <w:rFonts w:eastAsia="Times New Roman" w:cs="Times New Roman"/>
                <w:sz w:val="24"/>
                <w:szCs w:val="24"/>
                <w:lang w:eastAsia="cs-CZ"/>
              </w:rPr>
              <w:t xml:space="preserve"> 2023“</w:t>
            </w:r>
          </w:p>
        </w:tc>
        <w:tc>
          <w:tcPr>
            <w:tcW w:w="569" w:type="pct"/>
            <w:tcBorders>
              <w:top w:val="single" w:sz="4" w:space="0" w:color="auto"/>
              <w:left w:val="single" w:sz="4" w:space="0" w:color="auto"/>
              <w:bottom w:val="single" w:sz="4" w:space="0" w:color="auto"/>
              <w:right w:val="nil"/>
            </w:tcBorders>
            <w:vAlign w:val="center"/>
          </w:tcPr>
          <w:p w14:paraId="4B65EE8F"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500</w:t>
            </w:r>
          </w:p>
        </w:tc>
        <w:tc>
          <w:tcPr>
            <w:tcW w:w="615" w:type="pct"/>
            <w:tcBorders>
              <w:top w:val="single" w:sz="4" w:space="0" w:color="auto"/>
              <w:left w:val="nil"/>
              <w:bottom w:val="single" w:sz="4" w:space="0" w:color="auto"/>
              <w:right w:val="single" w:sz="4" w:space="0" w:color="auto"/>
            </w:tcBorders>
            <w:vAlign w:val="center"/>
          </w:tcPr>
          <w:p w14:paraId="207DB686"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23B486F6" w14:textId="77777777" w:rsidTr="00C45D7F">
        <w:trPr>
          <w:trHeight w:val="851"/>
        </w:trPr>
        <w:tc>
          <w:tcPr>
            <w:tcW w:w="3816" w:type="pct"/>
            <w:tcBorders>
              <w:top w:val="single" w:sz="4" w:space="0" w:color="auto"/>
              <w:left w:val="single" w:sz="4" w:space="0" w:color="auto"/>
              <w:bottom w:val="single" w:sz="4" w:space="0" w:color="auto"/>
              <w:right w:val="single" w:sz="4" w:space="0" w:color="auto"/>
            </w:tcBorders>
          </w:tcPr>
          <w:p w14:paraId="70B49314" w14:textId="77777777"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převod finančních prostředků z kapitoly 327-MD do kapitoly 306-MZV v souvislosti s novým zapojením Ministerstva dopravy do projektu podpory ekonomické diplomacie MZV (tzv. PROPED)</w:t>
            </w:r>
          </w:p>
        </w:tc>
        <w:tc>
          <w:tcPr>
            <w:tcW w:w="569" w:type="pct"/>
            <w:tcBorders>
              <w:top w:val="single" w:sz="4" w:space="0" w:color="auto"/>
              <w:left w:val="single" w:sz="4" w:space="0" w:color="auto"/>
              <w:bottom w:val="single" w:sz="4" w:space="0" w:color="auto"/>
              <w:right w:val="nil"/>
            </w:tcBorders>
            <w:vAlign w:val="center"/>
          </w:tcPr>
          <w:p w14:paraId="5A7B5CE0"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1 000</w:t>
            </w:r>
          </w:p>
        </w:tc>
        <w:tc>
          <w:tcPr>
            <w:tcW w:w="615" w:type="pct"/>
            <w:tcBorders>
              <w:top w:val="single" w:sz="4" w:space="0" w:color="auto"/>
              <w:left w:val="nil"/>
              <w:bottom w:val="single" w:sz="4" w:space="0" w:color="auto"/>
              <w:right w:val="single" w:sz="4" w:space="0" w:color="auto"/>
            </w:tcBorders>
            <w:vAlign w:val="center"/>
          </w:tcPr>
          <w:p w14:paraId="49A6EBE5"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5F7FB919" w14:textId="77777777" w:rsidTr="00C45D7F">
        <w:trPr>
          <w:trHeight w:val="851"/>
        </w:trPr>
        <w:tc>
          <w:tcPr>
            <w:tcW w:w="3816" w:type="pct"/>
            <w:tcBorders>
              <w:top w:val="single" w:sz="4" w:space="0" w:color="auto"/>
              <w:left w:val="single" w:sz="4" w:space="0" w:color="auto"/>
              <w:bottom w:val="single" w:sz="4" w:space="0" w:color="auto"/>
              <w:right w:val="single" w:sz="4" w:space="0" w:color="auto"/>
            </w:tcBorders>
          </w:tcPr>
          <w:p w14:paraId="5FAA4BE1" w14:textId="77777777"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převod prostředků z kap. 327-MD do kap. 322-MPO </w:t>
            </w:r>
            <w:r w:rsidRPr="0077128B">
              <w:rPr>
                <w:rFonts w:eastAsia="Times New Roman" w:cs="Times New Roman"/>
                <w:sz w:val="24"/>
                <w:szCs w:val="24"/>
                <w:lang w:eastAsia="cs-CZ"/>
              </w:rPr>
              <w:br/>
              <w:t>na spolupráci při zabezpečení činností spojených s přípravou českých technických norem v oblasti drážní dopravy</w:t>
            </w:r>
          </w:p>
        </w:tc>
        <w:tc>
          <w:tcPr>
            <w:tcW w:w="569" w:type="pct"/>
            <w:tcBorders>
              <w:top w:val="single" w:sz="4" w:space="0" w:color="auto"/>
              <w:left w:val="single" w:sz="4" w:space="0" w:color="auto"/>
              <w:bottom w:val="single" w:sz="4" w:space="0" w:color="auto"/>
              <w:right w:val="nil"/>
            </w:tcBorders>
            <w:vAlign w:val="center"/>
          </w:tcPr>
          <w:p w14:paraId="232DDFA4"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400</w:t>
            </w:r>
          </w:p>
        </w:tc>
        <w:tc>
          <w:tcPr>
            <w:tcW w:w="615" w:type="pct"/>
            <w:tcBorders>
              <w:top w:val="single" w:sz="4" w:space="0" w:color="auto"/>
              <w:left w:val="nil"/>
              <w:bottom w:val="single" w:sz="4" w:space="0" w:color="auto"/>
              <w:right w:val="single" w:sz="4" w:space="0" w:color="auto"/>
            </w:tcBorders>
            <w:vAlign w:val="center"/>
          </w:tcPr>
          <w:p w14:paraId="31E95572"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44F385BF" w14:textId="77777777" w:rsidTr="00C45D7F">
        <w:trPr>
          <w:trHeight w:val="851"/>
        </w:trPr>
        <w:tc>
          <w:tcPr>
            <w:tcW w:w="3816" w:type="pct"/>
            <w:tcBorders>
              <w:top w:val="single" w:sz="4" w:space="0" w:color="auto"/>
              <w:left w:val="single" w:sz="4" w:space="0" w:color="auto"/>
              <w:bottom w:val="single" w:sz="4" w:space="0" w:color="auto"/>
              <w:right w:val="single" w:sz="4" w:space="0" w:color="auto"/>
            </w:tcBorders>
          </w:tcPr>
          <w:p w14:paraId="41ECE73F" w14:textId="7B612F8B"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 xml:space="preserve">převod prostředků z kap. 327-MD do kap. 312-MF v souvislosti </w:t>
            </w:r>
            <w:r w:rsidR="00825058">
              <w:rPr>
                <w:rFonts w:eastAsia="Times New Roman" w:cs="Times New Roman"/>
                <w:sz w:val="24"/>
                <w:szCs w:val="24"/>
                <w:lang w:eastAsia="cs-CZ"/>
              </w:rPr>
              <w:br/>
            </w:r>
            <w:r w:rsidRPr="0077128B">
              <w:rPr>
                <w:rFonts w:eastAsia="Times New Roman" w:cs="Times New Roman"/>
                <w:sz w:val="24"/>
                <w:szCs w:val="24"/>
                <w:lang w:eastAsia="cs-CZ"/>
              </w:rPr>
              <w:t xml:space="preserve">s převodem nemovitého majetku k. </w:t>
            </w:r>
            <w:proofErr w:type="spellStart"/>
            <w:r w:rsidRPr="0077128B">
              <w:rPr>
                <w:rFonts w:eastAsia="Times New Roman" w:cs="Times New Roman"/>
                <w:sz w:val="24"/>
                <w:szCs w:val="24"/>
                <w:lang w:eastAsia="cs-CZ"/>
              </w:rPr>
              <w:t>ú.</w:t>
            </w:r>
            <w:proofErr w:type="spellEnd"/>
            <w:r w:rsidRPr="0077128B">
              <w:rPr>
                <w:rFonts w:eastAsia="Times New Roman" w:cs="Times New Roman"/>
                <w:sz w:val="24"/>
                <w:szCs w:val="24"/>
                <w:lang w:eastAsia="cs-CZ"/>
              </w:rPr>
              <w:t xml:space="preserve"> Plzeň a Rybáře z PO CSPSD na OSS ÚZSVM</w:t>
            </w:r>
          </w:p>
        </w:tc>
        <w:tc>
          <w:tcPr>
            <w:tcW w:w="569" w:type="pct"/>
            <w:tcBorders>
              <w:top w:val="single" w:sz="4" w:space="0" w:color="auto"/>
              <w:left w:val="single" w:sz="4" w:space="0" w:color="auto"/>
              <w:bottom w:val="single" w:sz="4" w:space="0" w:color="auto"/>
              <w:right w:val="nil"/>
            </w:tcBorders>
            <w:vAlign w:val="center"/>
          </w:tcPr>
          <w:p w14:paraId="38703CB2"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226</w:t>
            </w:r>
          </w:p>
        </w:tc>
        <w:tc>
          <w:tcPr>
            <w:tcW w:w="615" w:type="pct"/>
            <w:tcBorders>
              <w:top w:val="single" w:sz="4" w:space="0" w:color="auto"/>
              <w:left w:val="nil"/>
              <w:bottom w:val="single" w:sz="4" w:space="0" w:color="auto"/>
              <w:right w:val="single" w:sz="4" w:space="0" w:color="auto"/>
            </w:tcBorders>
            <w:vAlign w:val="center"/>
          </w:tcPr>
          <w:p w14:paraId="44D54637"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329B35C6" w14:textId="77777777" w:rsidTr="0077128B">
        <w:trPr>
          <w:trHeight w:val="671"/>
        </w:trPr>
        <w:tc>
          <w:tcPr>
            <w:tcW w:w="3816" w:type="pct"/>
            <w:tcBorders>
              <w:top w:val="single" w:sz="4" w:space="0" w:color="auto"/>
              <w:left w:val="single" w:sz="4" w:space="0" w:color="auto"/>
              <w:bottom w:val="single" w:sz="4" w:space="0" w:color="auto"/>
              <w:right w:val="single" w:sz="4" w:space="0" w:color="auto"/>
            </w:tcBorders>
          </w:tcPr>
          <w:p w14:paraId="4D5EBB17" w14:textId="4DDD01D5"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převod finančních prostředků (platy a příslušenství) z kapitoly 327-MD do kapitoly 313-MPSV na dávky důchodového pojištění</w:t>
            </w:r>
          </w:p>
        </w:tc>
        <w:tc>
          <w:tcPr>
            <w:tcW w:w="569" w:type="pct"/>
            <w:tcBorders>
              <w:top w:val="single" w:sz="4" w:space="0" w:color="auto"/>
              <w:left w:val="single" w:sz="4" w:space="0" w:color="auto"/>
              <w:bottom w:val="single" w:sz="4" w:space="0" w:color="auto"/>
              <w:right w:val="nil"/>
            </w:tcBorders>
            <w:vAlign w:val="center"/>
          </w:tcPr>
          <w:p w14:paraId="463C3EDE" w14:textId="782195D8" w:rsidR="00C45D7F" w:rsidRPr="0077128B" w:rsidRDefault="004208A7" w:rsidP="0077128B">
            <w:pPr>
              <w:spacing w:after="81" w:line="240" w:lineRule="auto"/>
              <w:ind w:left="489" w:hanging="244"/>
              <w:contextualSpacing/>
              <w:jc w:val="right"/>
              <w:rPr>
                <w:rFonts w:eastAsia="Times New Roman" w:cs="Times New Roman"/>
                <w:sz w:val="24"/>
                <w:szCs w:val="24"/>
                <w:lang w:eastAsia="cs-CZ"/>
              </w:rPr>
            </w:pPr>
            <w:r>
              <w:rPr>
                <w:rFonts w:eastAsia="Times New Roman" w:cs="Times New Roman"/>
                <w:sz w:val="24"/>
                <w:szCs w:val="24"/>
                <w:lang w:eastAsia="cs-CZ"/>
              </w:rPr>
              <w:t xml:space="preserve">    </w:t>
            </w:r>
            <w:r w:rsidR="00C45D7F" w:rsidRPr="0077128B">
              <w:rPr>
                <w:rFonts w:eastAsia="Times New Roman" w:cs="Times New Roman"/>
                <w:sz w:val="24"/>
                <w:szCs w:val="24"/>
                <w:lang w:eastAsia="cs-CZ"/>
              </w:rPr>
              <w:t>1 581</w:t>
            </w:r>
          </w:p>
        </w:tc>
        <w:tc>
          <w:tcPr>
            <w:tcW w:w="615" w:type="pct"/>
            <w:tcBorders>
              <w:top w:val="single" w:sz="4" w:space="0" w:color="auto"/>
              <w:left w:val="nil"/>
              <w:bottom w:val="single" w:sz="4" w:space="0" w:color="auto"/>
              <w:right w:val="single" w:sz="4" w:space="0" w:color="auto"/>
            </w:tcBorders>
            <w:vAlign w:val="center"/>
          </w:tcPr>
          <w:p w14:paraId="10449881"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1FC037B3" w14:textId="77777777" w:rsidTr="00C45D7F">
        <w:trPr>
          <w:trHeight w:val="851"/>
        </w:trPr>
        <w:tc>
          <w:tcPr>
            <w:tcW w:w="3816" w:type="pct"/>
            <w:tcBorders>
              <w:top w:val="single" w:sz="4" w:space="0" w:color="auto"/>
              <w:left w:val="single" w:sz="4" w:space="0" w:color="auto"/>
              <w:bottom w:val="single" w:sz="4" w:space="0" w:color="auto"/>
              <w:right w:val="single" w:sz="4" w:space="0" w:color="auto"/>
            </w:tcBorders>
          </w:tcPr>
          <w:p w14:paraId="076ACD84" w14:textId="329C37F3"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převod finančních prostředků z kapitoly 327-MD do kapitoly 313-MPSV na základě UV č. 698 ze dne 13. 09. 2023 k posílení dávek důchodového pojištění v kapitole 313 Ministerstvo práce a sociálních věcí v roce 2023</w:t>
            </w:r>
          </w:p>
        </w:tc>
        <w:tc>
          <w:tcPr>
            <w:tcW w:w="569" w:type="pct"/>
            <w:tcBorders>
              <w:top w:val="single" w:sz="4" w:space="0" w:color="auto"/>
              <w:left w:val="single" w:sz="4" w:space="0" w:color="auto"/>
              <w:bottom w:val="single" w:sz="4" w:space="0" w:color="auto"/>
              <w:right w:val="nil"/>
            </w:tcBorders>
            <w:vAlign w:val="center"/>
          </w:tcPr>
          <w:p w14:paraId="275AF99A"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8 252</w:t>
            </w:r>
          </w:p>
        </w:tc>
        <w:tc>
          <w:tcPr>
            <w:tcW w:w="615" w:type="pct"/>
            <w:tcBorders>
              <w:top w:val="single" w:sz="4" w:space="0" w:color="auto"/>
              <w:left w:val="nil"/>
              <w:bottom w:val="single" w:sz="4" w:space="0" w:color="auto"/>
              <w:right w:val="single" w:sz="4" w:space="0" w:color="auto"/>
            </w:tcBorders>
            <w:vAlign w:val="center"/>
          </w:tcPr>
          <w:p w14:paraId="682648B5"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r w:rsidR="00C45D7F" w:rsidRPr="000E57A0" w14:paraId="3C0C11A5" w14:textId="77777777" w:rsidTr="0077128B">
        <w:trPr>
          <w:trHeight w:val="688"/>
        </w:trPr>
        <w:tc>
          <w:tcPr>
            <w:tcW w:w="3816" w:type="pct"/>
            <w:tcBorders>
              <w:top w:val="single" w:sz="4" w:space="0" w:color="auto"/>
              <w:left w:val="single" w:sz="4" w:space="0" w:color="auto"/>
              <w:bottom w:val="single" w:sz="4" w:space="0" w:color="auto"/>
              <w:right w:val="single" w:sz="4" w:space="0" w:color="auto"/>
            </w:tcBorders>
          </w:tcPr>
          <w:p w14:paraId="2C258FBE" w14:textId="77777777" w:rsidR="00C45D7F" w:rsidRPr="0077128B" w:rsidRDefault="00C45D7F" w:rsidP="00D05A89">
            <w:pPr>
              <w:numPr>
                <w:ilvl w:val="0"/>
                <w:numId w:val="1"/>
              </w:numPr>
              <w:tabs>
                <w:tab w:val="left" w:pos="193"/>
              </w:tabs>
              <w:spacing w:after="54" w:line="240" w:lineRule="auto"/>
              <w:ind w:left="485" w:hanging="244"/>
              <w:jc w:val="both"/>
              <w:rPr>
                <w:rFonts w:eastAsia="Times New Roman" w:cs="Times New Roman"/>
                <w:sz w:val="24"/>
                <w:szCs w:val="24"/>
                <w:lang w:eastAsia="cs-CZ"/>
              </w:rPr>
            </w:pPr>
            <w:r w:rsidRPr="0077128B">
              <w:rPr>
                <w:rFonts w:eastAsia="Times New Roman" w:cs="Times New Roman"/>
                <w:sz w:val="24"/>
                <w:szCs w:val="24"/>
                <w:lang w:eastAsia="cs-CZ"/>
              </w:rPr>
              <w:t>převod finančních prostředků z kapitoly 327-MD do kapitoly 364-DIA na zajištění projektu Registr zastupování</w:t>
            </w:r>
          </w:p>
        </w:tc>
        <w:tc>
          <w:tcPr>
            <w:tcW w:w="569" w:type="pct"/>
            <w:tcBorders>
              <w:top w:val="single" w:sz="4" w:space="0" w:color="auto"/>
              <w:left w:val="single" w:sz="4" w:space="0" w:color="auto"/>
              <w:bottom w:val="single" w:sz="4" w:space="0" w:color="auto"/>
              <w:right w:val="nil"/>
            </w:tcBorders>
            <w:vAlign w:val="center"/>
          </w:tcPr>
          <w:p w14:paraId="38082AF7" w14:textId="77777777" w:rsidR="00C45D7F" w:rsidRPr="0077128B" w:rsidRDefault="00C45D7F" w:rsidP="0077128B">
            <w:pPr>
              <w:spacing w:after="81" w:line="240" w:lineRule="auto"/>
              <w:ind w:left="489" w:hanging="244"/>
              <w:contextualSpacing/>
              <w:jc w:val="right"/>
              <w:rPr>
                <w:rFonts w:eastAsia="Times New Roman" w:cs="Times New Roman"/>
                <w:sz w:val="24"/>
                <w:szCs w:val="24"/>
                <w:lang w:eastAsia="cs-CZ"/>
              </w:rPr>
            </w:pPr>
            <w:r w:rsidRPr="0077128B">
              <w:rPr>
                <w:rFonts w:eastAsia="Times New Roman" w:cs="Times New Roman"/>
                <w:sz w:val="24"/>
                <w:szCs w:val="24"/>
                <w:lang w:eastAsia="cs-CZ"/>
              </w:rPr>
              <w:t>3 000</w:t>
            </w:r>
          </w:p>
        </w:tc>
        <w:tc>
          <w:tcPr>
            <w:tcW w:w="615" w:type="pct"/>
            <w:tcBorders>
              <w:top w:val="single" w:sz="4" w:space="0" w:color="auto"/>
              <w:left w:val="nil"/>
              <w:bottom w:val="single" w:sz="4" w:space="0" w:color="auto"/>
              <w:right w:val="single" w:sz="4" w:space="0" w:color="auto"/>
            </w:tcBorders>
            <w:vAlign w:val="center"/>
          </w:tcPr>
          <w:p w14:paraId="2C650F63" w14:textId="77777777" w:rsidR="00C45D7F" w:rsidRPr="0077128B" w:rsidRDefault="00C45D7F" w:rsidP="00C45D7F">
            <w:pPr>
              <w:spacing w:after="81" w:line="240" w:lineRule="auto"/>
              <w:ind w:left="489" w:hanging="244"/>
              <w:contextualSpacing/>
              <w:jc w:val="both"/>
              <w:rPr>
                <w:rFonts w:eastAsia="Times New Roman" w:cs="Times New Roman"/>
                <w:sz w:val="24"/>
                <w:szCs w:val="24"/>
                <w:lang w:eastAsia="cs-CZ"/>
              </w:rPr>
            </w:pPr>
            <w:r w:rsidRPr="0077128B">
              <w:rPr>
                <w:rFonts w:eastAsia="Times New Roman" w:cs="Times New Roman"/>
                <w:sz w:val="24"/>
                <w:szCs w:val="24"/>
                <w:lang w:eastAsia="cs-CZ"/>
              </w:rPr>
              <w:t>tis. Kč</w:t>
            </w:r>
          </w:p>
        </w:tc>
      </w:tr>
    </w:tbl>
    <w:p w14:paraId="344B6895" w14:textId="77777777" w:rsidR="00C02A15" w:rsidRPr="006A755F" w:rsidRDefault="00C02A15" w:rsidP="00C02A15">
      <w:pPr>
        <w:pStyle w:val="KOMtext"/>
      </w:pPr>
      <w:r w:rsidRPr="006A755F">
        <w:t>Po provedených rozpočtových opatřeních činil rozpočet</w:t>
      </w:r>
      <w:r>
        <w:t xml:space="preserve"> celkových výdajů po změnách 112 749 544</w:t>
      </w:r>
      <w:r w:rsidRPr="006A755F">
        <w:t xml:space="preserve"> tis. Kč. </w:t>
      </w:r>
    </w:p>
    <w:p w14:paraId="4BF7EB07" w14:textId="2E1B2A83" w:rsidR="00C02A15" w:rsidRPr="005678AC" w:rsidRDefault="00C02A15" w:rsidP="00C02A15">
      <w:pPr>
        <w:pStyle w:val="KOMtext"/>
        <w:rPr>
          <w:color w:val="FF0000"/>
        </w:rPr>
      </w:pPr>
      <w:r w:rsidRPr="00957810">
        <w:t>Celkové výdaje byly v roce 2023 čerpány ve výši 111 337 148 tis. Kč, tj. 98,75 % rozpočtu po změnác</w:t>
      </w:r>
      <w:r w:rsidRPr="00600AB4">
        <w:t>h</w:t>
      </w:r>
      <w:r w:rsidRPr="00970CB6">
        <w:t xml:space="preserve">, z toho nároky z nespotřebovaných výdajů ve výši 8 421 882 tis. Kč a rezervní fond ve výši 4 446 tis. Kč. </w:t>
      </w:r>
      <w:r w:rsidRPr="00926603">
        <w:t xml:space="preserve">Prostředky EU byly čerpány ve výši </w:t>
      </w:r>
      <w:r w:rsidRPr="007B4EEB">
        <w:t xml:space="preserve">28 305 440 </w:t>
      </w:r>
      <w:r w:rsidRPr="00926603">
        <w:t>tis. Kč.</w:t>
      </w:r>
    </w:p>
    <w:p w14:paraId="01004FA7" w14:textId="77777777" w:rsidR="00C02A15" w:rsidRPr="006B6D61" w:rsidRDefault="00C02A15" w:rsidP="00C02A15">
      <w:pPr>
        <w:pStyle w:val="KOMtext"/>
      </w:pPr>
      <w:r w:rsidRPr="00E70054">
        <w:lastRenderedPageBreak/>
        <w:t>Nejvíce se na čerpání výdajů podílí čerpání dotace pro SFDI</w:t>
      </w:r>
      <w:r>
        <w:t xml:space="preserve"> </w:t>
      </w:r>
      <w:r w:rsidRPr="00E70054">
        <w:t>výš</w:t>
      </w:r>
      <w:r>
        <w:t xml:space="preserve">i </w:t>
      </w:r>
      <w:r w:rsidRPr="00E70054">
        <w:t>88</w:t>
      </w:r>
      <w:r>
        <w:t> 156 755</w:t>
      </w:r>
      <w:r w:rsidRPr="00E70054">
        <w:t xml:space="preserve"> tis. Kč (na krytí deficitu rozpočtu SFDI ve výš</w:t>
      </w:r>
      <w:r>
        <w:t>i 64 353 005</w:t>
      </w:r>
      <w:r w:rsidRPr="00E70054">
        <w:t xml:space="preserve"> tis. Kč</w:t>
      </w:r>
      <w:r w:rsidRPr="005678AC">
        <w:rPr>
          <w:color w:val="FF0000"/>
        </w:rPr>
        <w:t xml:space="preserve"> </w:t>
      </w:r>
      <w:r w:rsidRPr="00E70054">
        <w:t xml:space="preserve">a prostředků EU ve výši 23 803 750 tis. Kč – </w:t>
      </w:r>
      <w:r w:rsidRPr="00DE4793">
        <w:t>především Operační program Doprava 2014+, Operační program Doprava 2021+</w:t>
      </w:r>
      <w:r>
        <w:t>, Nástroj pro propojení Evropy (CEF) 2021+</w:t>
      </w:r>
      <w:r w:rsidRPr="00DE4793">
        <w:t xml:space="preserve"> a prostředky Národního plánu obnovy </w:t>
      </w:r>
      <w:r w:rsidRPr="006B6D61">
        <w:t>(RRF)).</w:t>
      </w:r>
    </w:p>
    <w:p w14:paraId="42B6E83C" w14:textId="6B4EF1BF" w:rsidR="00C213F9" w:rsidRPr="006B6D61" w:rsidRDefault="00C213F9" w:rsidP="003F0A7C">
      <w:pPr>
        <w:pStyle w:val="KOMGrafy"/>
      </w:pPr>
      <w:bookmarkStart w:id="58" w:name="_Toc160457121"/>
      <w:r w:rsidRPr="006B6D61">
        <w:rPr>
          <w:rFonts w:cstheme="minorHAnsi"/>
        </w:rPr>
        <w:t>Graf č.</w:t>
      </w:r>
      <w:r w:rsidR="00A105DE" w:rsidRPr="006B6D61">
        <w:rPr>
          <w:rFonts w:cstheme="minorHAnsi"/>
        </w:rPr>
        <w:t xml:space="preserve"> </w:t>
      </w:r>
      <w:fldSimple w:instr=" SEQ Graf_č. \* ARABIC ">
        <w:r w:rsidR="00013820">
          <w:rPr>
            <w:noProof/>
          </w:rPr>
          <w:t>4</w:t>
        </w:r>
      </w:fldSimple>
      <w:r w:rsidRPr="006B6D61">
        <w:rPr>
          <w:rFonts w:cstheme="minorHAnsi"/>
        </w:rPr>
        <w:t>: Výdaje státního rozpočtu za rok 202</w:t>
      </w:r>
      <w:r w:rsidR="000A4DAA" w:rsidRPr="006B6D61">
        <w:rPr>
          <w:rFonts w:cstheme="minorHAnsi"/>
        </w:rPr>
        <w:t>3</w:t>
      </w:r>
      <w:r w:rsidRPr="006B6D61">
        <w:rPr>
          <w:rFonts w:cstheme="minorHAnsi"/>
        </w:rPr>
        <w:t xml:space="preserve"> (v mil. Kč)</w:t>
      </w:r>
      <w:bookmarkEnd w:id="58"/>
    </w:p>
    <w:p w14:paraId="64F524CE" w14:textId="4371C5AA" w:rsidR="001D2080" w:rsidRPr="002F1BE7" w:rsidRDefault="001D2080" w:rsidP="001D2080">
      <w:pPr>
        <w:keepLines/>
        <w:spacing w:before="120" w:after="120" w:line="276" w:lineRule="auto"/>
        <w:jc w:val="both"/>
        <w:rPr>
          <w:rFonts w:ascii="Times New Roman" w:eastAsia="Times New Roman" w:hAnsi="Times New Roman" w:cs="Times New Roman"/>
          <w:color w:val="FF0000"/>
          <w:sz w:val="24"/>
          <w:szCs w:val="20"/>
          <w:lang w:eastAsia="cs-CZ"/>
        </w:rPr>
      </w:pPr>
      <w:r w:rsidRPr="0077128B">
        <w:rPr>
          <w:rFonts w:ascii="Times New Roman" w:eastAsia="Times New Roman" w:hAnsi="Times New Roman" w:cs="Times New Roman"/>
          <w:noProof/>
          <w:color w:val="FF0000"/>
          <w:sz w:val="24"/>
          <w:szCs w:val="20"/>
          <w:lang w:eastAsia="cs-CZ"/>
        </w:rPr>
        <w:drawing>
          <wp:inline distT="0" distB="0" distL="0" distR="0" wp14:anchorId="2B91D00C" wp14:editId="06CD1525">
            <wp:extent cx="5760000" cy="2160000"/>
            <wp:effectExtent l="0" t="0" r="12700" b="1206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26701E9" w14:textId="77777777" w:rsidR="00C50422" w:rsidRPr="003A054C" w:rsidRDefault="00C50422" w:rsidP="008A0E44">
      <w:pPr>
        <w:pStyle w:val="KOMnadp4"/>
        <w:rPr>
          <w:lang w:eastAsia="cs-CZ"/>
        </w:rPr>
      </w:pPr>
      <w:r w:rsidRPr="003A054C">
        <w:rPr>
          <w:lang w:eastAsia="cs-CZ"/>
        </w:rPr>
        <w:t>Běžné výdaje</w:t>
      </w:r>
    </w:p>
    <w:p w14:paraId="44C0EEC2" w14:textId="1B0D16A7" w:rsidR="00C50422" w:rsidRDefault="00C50422" w:rsidP="00C50422">
      <w:pPr>
        <w:pStyle w:val="KOMtext"/>
        <w:spacing w:after="0"/>
      </w:pPr>
      <w:r w:rsidRPr="006071CC">
        <w:t xml:space="preserve">Zákonem č. 449/2022 Sb., o státním rozpočtu České republiky na rok 2023 byl schválen rozpočet běžných výdajů kapitoly 327 Ministerstvo dopravy ve </w:t>
      </w:r>
      <w:r w:rsidRPr="00CA2FAE">
        <w:t>výši</w:t>
      </w:r>
      <w:r>
        <w:rPr>
          <w:color w:val="92D050"/>
        </w:rPr>
        <w:t xml:space="preserve"> </w:t>
      </w:r>
      <w:r w:rsidRPr="00CA2FAE">
        <w:t>36 024 603 tis. Kč</w:t>
      </w:r>
      <w:r w:rsidRPr="00915F3B">
        <w:rPr>
          <w:color w:val="92D050"/>
        </w:rPr>
        <w:t xml:space="preserve">. </w:t>
      </w:r>
      <w:r w:rsidR="00742765">
        <w:rPr>
          <w:color w:val="92D050"/>
        </w:rPr>
        <w:br/>
      </w:r>
      <w:r w:rsidRPr="00CA2FAE">
        <w:t>Po provedených rozpočtových opatřeních v roce 2023 dosáhl rozpočet po změnách částky 41 398 558 tis. Kč. V</w:t>
      </w:r>
      <w:r>
        <w:t xml:space="preserve"> roce 2023</w:t>
      </w:r>
      <w:r w:rsidRPr="00915F3B">
        <w:t xml:space="preserve"> byly čerpány běžné výdaje ve výši 40 044 596 tis. Kč (z toho: nároky ve výši 562 586</w:t>
      </w:r>
      <w:r w:rsidRPr="006A755F">
        <w:t xml:space="preserve"> tis. Kč a rezervní fond ve výši </w:t>
      </w:r>
      <w:r>
        <w:t>3 741</w:t>
      </w:r>
      <w:r w:rsidRPr="006A755F">
        <w:t xml:space="preserve"> tis. Kč). Prostředky</w:t>
      </w:r>
      <w:r>
        <w:t xml:space="preserve"> EU byly čerpány ve výši 133 008</w:t>
      </w:r>
      <w:r w:rsidRPr="006A755F">
        <w:t xml:space="preserve"> tis. Kč. </w:t>
      </w:r>
      <w:r w:rsidRPr="00CA2FAE">
        <w:t>Nejvíce se na čerpání běžných výdajů podílí čerpání dotace pro SFDI na krytí deficitu příjmů a výdajů rozpočtu SFDI ve výši 21 377 594 tis. Kč.</w:t>
      </w:r>
    </w:p>
    <w:p w14:paraId="0051B9F6" w14:textId="77777777" w:rsidR="00460C94" w:rsidRDefault="00460C94" w:rsidP="00C50422">
      <w:pPr>
        <w:pStyle w:val="KOMtext"/>
        <w:spacing w:after="0"/>
      </w:pPr>
    </w:p>
    <w:p w14:paraId="617BE7C1" w14:textId="77777777" w:rsidR="00460C94" w:rsidRDefault="00460C94" w:rsidP="00C50422">
      <w:pPr>
        <w:pStyle w:val="KOMtext"/>
        <w:spacing w:after="0"/>
      </w:pPr>
    </w:p>
    <w:p w14:paraId="54FE98F5" w14:textId="77777777" w:rsidR="00460C94" w:rsidRDefault="00460C94" w:rsidP="00C50422">
      <w:pPr>
        <w:pStyle w:val="KOMtext"/>
        <w:spacing w:after="0"/>
      </w:pPr>
    </w:p>
    <w:p w14:paraId="6C6EEB73" w14:textId="77777777" w:rsidR="00460C94" w:rsidRDefault="00460C94" w:rsidP="00C50422">
      <w:pPr>
        <w:pStyle w:val="KOMtext"/>
        <w:spacing w:after="0"/>
      </w:pPr>
    </w:p>
    <w:p w14:paraId="3E2ED089" w14:textId="77777777" w:rsidR="00460C94" w:rsidRDefault="00460C94" w:rsidP="00C50422">
      <w:pPr>
        <w:pStyle w:val="KOMtext"/>
        <w:spacing w:after="0"/>
      </w:pPr>
    </w:p>
    <w:p w14:paraId="3306B2D0" w14:textId="77777777" w:rsidR="00460C94" w:rsidRDefault="00460C94" w:rsidP="00C50422">
      <w:pPr>
        <w:pStyle w:val="KOMtext"/>
        <w:spacing w:after="0"/>
      </w:pPr>
    </w:p>
    <w:p w14:paraId="0EDA7399" w14:textId="77777777" w:rsidR="00460C94" w:rsidRDefault="00460C94" w:rsidP="00C50422">
      <w:pPr>
        <w:pStyle w:val="KOMtext"/>
        <w:spacing w:after="0"/>
      </w:pPr>
    </w:p>
    <w:p w14:paraId="1656260E" w14:textId="77777777" w:rsidR="00460C94" w:rsidRDefault="00460C94" w:rsidP="00C50422">
      <w:pPr>
        <w:pStyle w:val="KOMtext"/>
        <w:spacing w:after="0"/>
      </w:pPr>
    </w:p>
    <w:tbl>
      <w:tblPr>
        <w:tblpPr w:leftFromText="141" w:rightFromText="141" w:vertAnchor="text" w:horzAnchor="margin" w:tblpXSpec="center" w:tblpY="536"/>
        <w:tblW w:w="992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70" w:type="dxa"/>
          <w:right w:w="70" w:type="dxa"/>
        </w:tblCellMar>
        <w:tblLook w:val="0000" w:firstRow="0" w:lastRow="0" w:firstColumn="0" w:lastColumn="0" w:noHBand="0" w:noVBand="0"/>
      </w:tblPr>
      <w:tblGrid>
        <w:gridCol w:w="3671"/>
        <w:gridCol w:w="1149"/>
        <w:gridCol w:w="1119"/>
        <w:gridCol w:w="1134"/>
        <w:gridCol w:w="1149"/>
        <w:gridCol w:w="850"/>
        <w:gridCol w:w="851"/>
      </w:tblGrid>
      <w:tr w:rsidR="00184D1B" w:rsidRPr="006A755F" w14:paraId="6F51B2E5" w14:textId="77777777" w:rsidTr="00184D1B">
        <w:trPr>
          <w:trHeight w:val="287"/>
        </w:trPr>
        <w:tc>
          <w:tcPr>
            <w:tcW w:w="9923" w:type="dxa"/>
            <w:gridSpan w:val="7"/>
            <w:tcBorders>
              <w:top w:val="nil"/>
              <w:left w:val="nil"/>
              <w:bottom w:val="single" w:sz="4" w:space="0" w:color="auto"/>
              <w:right w:val="nil"/>
            </w:tcBorders>
            <w:vAlign w:val="center"/>
          </w:tcPr>
          <w:p w14:paraId="005245F0" w14:textId="77777777" w:rsidR="00184D1B" w:rsidRPr="006A755F" w:rsidRDefault="00184D1B" w:rsidP="00184D1B">
            <w:pPr>
              <w:spacing w:after="0" w:line="240" w:lineRule="auto"/>
              <w:jc w:val="right"/>
              <w:rPr>
                <w:rFonts w:eastAsia="Times New Roman" w:cstheme="minorHAnsi"/>
                <w:szCs w:val="24"/>
                <w:lang w:eastAsia="cs-CZ"/>
              </w:rPr>
            </w:pPr>
            <w:r w:rsidRPr="006A755F">
              <w:rPr>
                <w:rFonts w:eastAsia="Times New Roman" w:cstheme="minorHAnsi"/>
                <w:szCs w:val="24"/>
                <w:lang w:eastAsia="cs-CZ"/>
              </w:rPr>
              <w:lastRenderedPageBreak/>
              <w:t>v tis. Kč</w:t>
            </w:r>
          </w:p>
        </w:tc>
      </w:tr>
      <w:tr w:rsidR="00184D1B" w:rsidRPr="006A755F" w14:paraId="1CCEC81F" w14:textId="77777777" w:rsidTr="00184D1B">
        <w:trPr>
          <w:trHeight w:val="516"/>
        </w:trPr>
        <w:tc>
          <w:tcPr>
            <w:tcW w:w="3671"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2C48E990"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Ukazatel</w:t>
            </w:r>
          </w:p>
        </w:tc>
        <w:tc>
          <w:tcPr>
            <w:tcW w:w="1149"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0435109C"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Skutečnost</w:t>
            </w:r>
          </w:p>
          <w:p w14:paraId="02CAD53E" w14:textId="77777777" w:rsidR="00184D1B" w:rsidRPr="006A755F" w:rsidRDefault="00184D1B" w:rsidP="00184D1B">
            <w:pPr>
              <w:spacing w:after="0" w:line="240" w:lineRule="auto"/>
              <w:jc w:val="center"/>
              <w:rPr>
                <w:rFonts w:eastAsia="Times New Roman" w:cs="Times New Roman"/>
                <w:b/>
                <w:color w:val="FF0000"/>
                <w:szCs w:val="24"/>
                <w:lang w:eastAsia="cs-CZ"/>
              </w:rPr>
            </w:pPr>
            <w:r>
              <w:rPr>
                <w:rFonts w:eastAsia="Times New Roman" w:cs="Times New Roman"/>
                <w:b/>
                <w:szCs w:val="24"/>
                <w:lang w:eastAsia="cs-CZ"/>
              </w:rPr>
              <w:t>2022</w:t>
            </w:r>
          </w:p>
        </w:tc>
        <w:tc>
          <w:tcPr>
            <w:tcW w:w="225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635137" w14:textId="77777777" w:rsidR="00184D1B" w:rsidRPr="006A755F" w:rsidRDefault="00184D1B" w:rsidP="00184D1B">
            <w:pPr>
              <w:spacing w:after="0" w:line="240" w:lineRule="auto"/>
              <w:jc w:val="center"/>
              <w:rPr>
                <w:rFonts w:eastAsia="Times New Roman" w:cs="Times New Roman"/>
                <w:b/>
                <w:szCs w:val="24"/>
                <w:lang w:eastAsia="cs-CZ"/>
              </w:rPr>
            </w:pPr>
            <w:r>
              <w:rPr>
                <w:rFonts w:eastAsia="Times New Roman" w:cs="Times New Roman"/>
                <w:b/>
                <w:szCs w:val="24"/>
                <w:lang w:eastAsia="cs-CZ"/>
              </w:rPr>
              <w:t>Rozpočet 2023</w:t>
            </w:r>
          </w:p>
        </w:tc>
        <w:tc>
          <w:tcPr>
            <w:tcW w:w="1149" w:type="dxa"/>
            <w:vMerge w:val="restart"/>
            <w:tcBorders>
              <w:top w:val="single" w:sz="4" w:space="0" w:color="auto"/>
              <w:left w:val="single" w:sz="4" w:space="0" w:color="auto"/>
              <w:right w:val="single" w:sz="4" w:space="0" w:color="auto"/>
            </w:tcBorders>
            <w:shd w:val="clear" w:color="auto" w:fill="D9D9D9" w:themeFill="background1" w:themeFillShade="D9"/>
          </w:tcPr>
          <w:p w14:paraId="0F2F6C79" w14:textId="77777777" w:rsidR="00184D1B" w:rsidRPr="006A755F" w:rsidRDefault="00184D1B" w:rsidP="00184D1B">
            <w:pPr>
              <w:spacing w:after="0" w:line="240" w:lineRule="auto"/>
              <w:jc w:val="center"/>
              <w:rPr>
                <w:rFonts w:eastAsia="Times New Roman" w:cs="Times New Roman"/>
                <w:b/>
                <w:color w:val="FF0000"/>
                <w:szCs w:val="24"/>
                <w:lang w:eastAsia="cs-CZ"/>
              </w:rPr>
            </w:pPr>
          </w:p>
          <w:p w14:paraId="29611EFF"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Skutečnost</w:t>
            </w:r>
          </w:p>
          <w:p w14:paraId="0DEEE997" w14:textId="77777777" w:rsidR="00184D1B" w:rsidRPr="006A755F" w:rsidRDefault="00184D1B" w:rsidP="00184D1B">
            <w:pPr>
              <w:spacing w:after="0" w:line="240" w:lineRule="auto"/>
              <w:jc w:val="center"/>
              <w:rPr>
                <w:rFonts w:eastAsia="Times New Roman" w:cs="Times New Roman"/>
                <w:b/>
                <w:color w:val="FF0000"/>
                <w:szCs w:val="24"/>
                <w:lang w:eastAsia="cs-CZ"/>
              </w:rPr>
            </w:pPr>
            <w:r>
              <w:rPr>
                <w:rFonts w:eastAsia="Times New Roman" w:cs="Times New Roman"/>
                <w:b/>
                <w:szCs w:val="24"/>
                <w:lang w:eastAsia="cs-CZ"/>
              </w:rPr>
              <w:t>2023</w:t>
            </w:r>
          </w:p>
        </w:tc>
        <w:tc>
          <w:tcPr>
            <w:tcW w:w="85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21840E3D"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Plnění</w:t>
            </w:r>
          </w:p>
          <w:p w14:paraId="6222FF78" w14:textId="77777777" w:rsidR="00184D1B" w:rsidRPr="006A755F" w:rsidRDefault="00184D1B" w:rsidP="00184D1B">
            <w:pPr>
              <w:spacing w:after="0" w:line="240" w:lineRule="auto"/>
              <w:jc w:val="center"/>
              <w:rPr>
                <w:rFonts w:eastAsia="Times New Roman" w:cs="Times New Roman"/>
                <w:b/>
                <w:szCs w:val="24"/>
                <w:lang w:eastAsia="cs-CZ"/>
              </w:rPr>
            </w:pPr>
            <w:r>
              <w:rPr>
                <w:rFonts w:eastAsia="Times New Roman" w:cs="Times New Roman"/>
                <w:b/>
                <w:szCs w:val="24"/>
                <w:lang w:eastAsia="cs-CZ"/>
              </w:rPr>
              <w:t xml:space="preserve">(v </w:t>
            </w:r>
            <w:r w:rsidRPr="006A755F">
              <w:rPr>
                <w:rFonts w:eastAsia="Times New Roman" w:cs="Times New Roman"/>
                <w:b/>
                <w:szCs w:val="24"/>
                <w:lang w:eastAsia="cs-CZ"/>
              </w:rPr>
              <w:t>%</w:t>
            </w:r>
            <w:r>
              <w:rPr>
                <w:rFonts w:eastAsia="Times New Roman" w:cs="Times New Roman"/>
                <w:b/>
                <w:szCs w:val="24"/>
                <w:lang w:eastAsia="cs-CZ"/>
              </w:rPr>
              <w:t>)</w:t>
            </w:r>
          </w:p>
        </w:tc>
        <w:tc>
          <w:tcPr>
            <w:tcW w:w="851"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73AF791B"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Index</w:t>
            </w:r>
          </w:p>
          <w:p w14:paraId="2DC5EAD5"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(v %)</w:t>
            </w:r>
          </w:p>
        </w:tc>
      </w:tr>
      <w:tr w:rsidR="00184D1B" w:rsidRPr="006A755F" w14:paraId="2BB54818" w14:textId="77777777" w:rsidTr="00184D1B">
        <w:tc>
          <w:tcPr>
            <w:tcW w:w="3671" w:type="dxa"/>
            <w:vMerge/>
            <w:tcBorders>
              <w:left w:val="single" w:sz="4" w:space="0" w:color="auto"/>
              <w:bottom w:val="single" w:sz="4" w:space="0" w:color="auto"/>
              <w:right w:val="single" w:sz="4" w:space="0" w:color="auto"/>
            </w:tcBorders>
          </w:tcPr>
          <w:p w14:paraId="43DFFF77" w14:textId="77777777" w:rsidR="00184D1B" w:rsidRPr="006A755F" w:rsidRDefault="00184D1B" w:rsidP="00184D1B">
            <w:pPr>
              <w:spacing w:after="0" w:line="240" w:lineRule="auto"/>
              <w:jc w:val="center"/>
              <w:rPr>
                <w:rFonts w:eastAsia="Times New Roman" w:cs="Times New Roman"/>
                <w:szCs w:val="24"/>
                <w:lang w:eastAsia="cs-CZ"/>
              </w:rPr>
            </w:pPr>
          </w:p>
        </w:tc>
        <w:tc>
          <w:tcPr>
            <w:tcW w:w="1149" w:type="dxa"/>
            <w:vMerge/>
            <w:tcBorders>
              <w:left w:val="single" w:sz="4" w:space="0" w:color="auto"/>
              <w:bottom w:val="single" w:sz="4" w:space="0" w:color="auto"/>
              <w:right w:val="single" w:sz="4" w:space="0" w:color="auto"/>
            </w:tcBorders>
          </w:tcPr>
          <w:p w14:paraId="03584689" w14:textId="77777777" w:rsidR="00184D1B" w:rsidRPr="006A755F" w:rsidRDefault="00184D1B" w:rsidP="00184D1B">
            <w:pPr>
              <w:spacing w:after="0" w:line="240" w:lineRule="auto"/>
              <w:jc w:val="center"/>
              <w:rPr>
                <w:rFonts w:eastAsia="Times New Roman" w:cs="Times New Roman"/>
                <w:color w:val="FF0000"/>
                <w:szCs w:val="24"/>
                <w:lang w:eastAsia="cs-CZ"/>
              </w:rPr>
            </w:pPr>
          </w:p>
        </w:tc>
        <w:tc>
          <w:tcPr>
            <w:tcW w:w="1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96A220"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schválený</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693D8"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po</w:t>
            </w:r>
          </w:p>
          <w:p w14:paraId="67F2A6CC" w14:textId="77777777" w:rsidR="00184D1B" w:rsidRPr="006A755F" w:rsidRDefault="00184D1B" w:rsidP="00184D1B">
            <w:pPr>
              <w:spacing w:after="0" w:line="240" w:lineRule="auto"/>
              <w:jc w:val="center"/>
              <w:rPr>
                <w:rFonts w:eastAsia="Times New Roman" w:cs="Times New Roman"/>
                <w:b/>
                <w:szCs w:val="24"/>
                <w:lang w:eastAsia="cs-CZ"/>
              </w:rPr>
            </w:pPr>
            <w:r w:rsidRPr="006A755F">
              <w:rPr>
                <w:rFonts w:eastAsia="Times New Roman" w:cs="Times New Roman"/>
                <w:b/>
                <w:szCs w:val="24"/>
                <w:lang w:eastAsia="cs-CZ"/>
              </w:rPr>
              <w:t>změnách</w:t>
            </w:r>
          </w:p>
        </w:tc>
        <w:tc>
          <w:tcPr>
            <w:tcW w:w="1149" w:type="dxa"/>
            <w:vMerge/>
            <w:tcBorders>
              <w:left w:val="single" w:sz="4" w:space="0" w:color="auto"/>
              <w:bottom w:val="single" w:sz="4" w:space="0" w:color="auto"/>
              <w:right w:val="single" w:sz="4" w:space="0" w:color="auto"/>
            </w:tcBorders>
          </w:tcPr>
          <w:p w14:paraId="62F5DE70" w14:textId="77777777" w:rsidR="00184D1B" w:rsidRPr="006A755F" w:rsidRDefault="00184D1B" w:rsidP="00184D1B">
            <w:pPr>
              <w:spacing w:after="0" w:line="240" w:lineRule="auto"/>
              <w:jc w:val="center"/>
              <w:rPr>
                <w:rFonts w:eastAsia="Times New Roman" w:cs="Times New Roman"/>
                <w:color w:val="FF0000"/>
                <w:szCs w:val="24"/>
                <w:lang w:eastAsia="cs-CZ"/>
              </w:rPr>
            </w:pPr>
          </w:p>
        </w:tc>
        <w:tc>
          <w:tcPr>
            <w:tcW w:w="850" w:type="dxa"/>
            <w:vMerge/>
            <w:tcBorders>
              <w:left w:val="single" w:sz="4" w:space="0" w:color="auto"/>
              <w:bottom w:val="single" w:sz="4" w:space="0" w:color="auto"/>
              <w:right w:val="single" w:sz="4" w:space="0" w:color="auto"/>
            </w:tcBorders>
            <w:vAlign w:val="center"/>
          </w:tcPr>
          <w:p w14:paraId="0D6351F9" w14:textId="77777777" w:rsidR="00184D1B" w:rsidRPr="006A755F" w:rsidRDefault="00184D1B" w:rsidP="00184D1B">
            <w:pPr>
              <w:spacing w:after="0" w:line="240" w:lineRule="auto"/>
              <w:jc w:val="center"/>
              <w:rPr>
                <w:rFonts w:eastAsia="Times New Roman" w:cs="Times New Roman"/>
                <w:szCs w:val="24"/>
                <w:lang w:eastAsia="cs-CZ"/>
              </w:rPr>
            </w:pPr>
          </w:p>
        </w:tc>
        <w:tc>
          <w:tcPr>
            <w:tcW w:w="851" w:type="dxa"/>
            <w:vMerge/>
            <w:tcBorders>
              <w:left w:val="single" w:sz="4" w:space="0" w:color="auto"/>
              <w:bottom w:val="single" w:sz="4" w:space="0" w:color="auto"/>
              <w:right w:val="single" w:sz="4" w:space="0" w:color="auto"/>
            </w:tcBorders>
            <w:vAlign w:val="center"/>
          </w:tcPr>
          <w:p w14:paraId="364C646C" w14:textId="77777777" w:rsidR="00184D1B" w:rsidRPr="006A755F" w:rsidRDefault="00184D1B" w:rsidP="00184D1B">
            <w:pPr>
              <w:spacing w:after="0" w:line="240" w:lineRule="auto"/>
              <w:jc w:val="center"/>
              <w:rPr>
                <w:rFonts w:eastAsia="Times New Roman" w:cs="Times New Roman"/>
                <w:szCs w:val="24"/>
                <w:lang w:eastAsia="cs-CZ"/>
              </w:rPr>
            </w:pPr>
          </w:p>
        </w:tc>
      </w:tr>
      <w:tr w:rsidR="00184D1B" w:rsidRPr="006A755F" w14:paraId="512ED1C3" w14:textId="77777777" w:rsidTr="00184D1B">
        <w:trPr>
          <w:trHeight w:val="283"/>
        </w:trPr>
        <w:tc>
          <w:tcPr>
            <w:tcW w:w="3671" w:type="dxa"/>
            <w:tcBorders>
              <w:top w:val="single" w:sz="4" w:space="0" w:color="auto"/>
              <w:left w:val="single" w:sz="4" w:space="0" w:color="auto"/>
              <w:bottom w:val="single" w:sz="4" w:space="0" w:color="auto"/>
              <w:right w:val="single" w:sz="4" w:space="0" w:color="auto"/>
            </w:tcBorders>
            <w:vAlign w:val="center"/>
          </w:tcPr>
          <w:p w14:paraId="649B97C9" w14:textId="77777777" w:rsidR="00184D1B" w:rsidRPr="006A755F" w:rsidRDefault="00184D1B" w:rsidP="00184D1B">
            <w:pPr>
              <w:spacing w:after="0" w:line="240" w:lineRule="auto"/>
              <w:jc w:val="center"/>
              <w:rPr>
                <w:rFonts w:eastAsia="Times New Roman" w:cs="Times New Roman"/>
                <w:b/>
                <w:sz w:val="20"/>
                <w:szCs w:val="20"/>
                <w:lang w:eastAsia="cs-CZ"/>
              </w:rPr>
            </w:pPr>
            <w:r w:rsidRPr="006A755F">
              <w:rPr>
                <w:rFonts w:cstheme="minorHAnsi"/>
                <w:sz w:val="20"/>
                <w:szCs w:val="20"/>
              </w:rPr>
              <w:t>a</w:t>
            </w:r>
          </w:p>
        </w:tc>
        <w:tc>
          <w:tcPr>
            <w:tcW w:w="1149" w:type="dxa"/>
            <w:tcBorders>
              <w:top w:val="single" w:sz="4" w:space="0" w:color="auto"/>
              <w:left w:val="single" w:sz="4" w:space="0" w:color="auto"/>
              <w:bottom w:val="single" w:sz="4" w:space="0" w:color="auto"/>
              <w:right w:val="single" w:sz="4" w:space="0" w:color="auto"/>
            </w:tcBorders>
            <w:vAlign w:val="center"/>
          </w:tcPr>
          <w:p w14:paraId="401AD668" w14:textId="77777777" w:rsidR="00184D1B" w:rsidRPr="006A755F" w:rsidRDefault="00184D1B" w:rsidP="00184D1B">
            <w:pPr>
              <w:spacing w:after="0" w:line="240" w:lineRule="auto"/>
              <w:jc w:val="center"/>
              <w:rPr>
                <w:rFonts w:eastAsia="Times New Roman" w:cs="Times New Roman"/>
                <w:b/>
                <w:color w:val="FF0000"/>
                <w:sz w:val="20"/>
                <w:szCs w:val="20"/>
                <w:lang w:eastAsia="cs-CZ"/>
              </w:rPr>
            </w:pPr>
            <w:r w:rsidRPr="006A755F">
              <w:rPr>
                <w:rFonts w:cstheme="minorHAnsi"/>
                <w:sz w:val="20"/>
                <w:szCs w:val="20"/>
              </w:rPr>
              <w:t>1</w:t>
            </w:r>
          </w:p>
        </w:tc>
        <w:tc>
          <w:tcPr>
            <w:tcW w:w="1119" w:type="dxa"/>
            <w:tcBorders>
              <w:top w:val="single" w:sz="4" w:space="0" w:color="auto"/>
              <w:left w:val="single" w:sz="4" w:space="0" w:color="auto"/>
              <w:bottom w:val="single" w:sz="4" w:space="0" w:color="auto"/>
              <w:right w:val="single" w:sz="4" w:space="0" w:color="auto"/>
            </w:tcBorders>
            <w:vAlign w:val="center"/>
          </w:tcPr>
          <w:p w14:paraId="60A02C32" w14:textId="77777777" w:rsidR="00184D1B" w:rsidRPr="006A755F" w:rsidRDefault="00184D1B" w:rsidP="00184D1B">
            <w:pPr>
              <w:spacing w:after="0" w:line="240" w:lineRule="auto"/>
              <w:jc w:val="center"/>
              <w:rPr>
                <w:rFonts w:eastAsia="Times New Roman" w:cs="Times New Roman"/>
                <w:b/>
                <w:color w:val="FF0000"/>
                <w:sz w:val="20"/>
                <w:szCs w:val="20"/>
                <w:lang w:eastAsia="cs-CZ"/>
              </w:rPr>
            </w:pPr>
            <w:r w:rsidRPr="006A755F">
              <w:rPr>
                <w:rFonts w:cstheme="minorHAnsi"/>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tcPr>
          <w:p w14:paraId="7BCC60E3" w14:textId="77777777" w:rsidR="00184D1B" w:rsidRPr="006A755F" w:rsidRDefault="00184D1B" w:rsidP="00184D1B">
            <w:pPr>
              <w:spacing w:after="0" w:line="240" w:lineRule="auto"/>
              <w:jc w:val="center"/>
              <w:rPr>
                <w:rFonts w:eastAsia="Times New Roman" w:cs="Times New Roman"/>
                <w:b/>
                <w:color w:val="FF0000"/>
                <w:sz w:val="20"/>
                <w:szCs w:val="20"/>
                <w:lang w:eastAsia="cs-CZ"/>
              </w:rPr>
            </w:pPr>
            <w:r w:rsidRPr="006A755F">
              <w:rPr>
                <w:rFonts w:cstheme="minorHAnsi"/>
                <w:sz w:val="20"/>
                <w:szCs w:val="20"/>
              </w:rPr>
              <w:t>3</w:t>
            </w:r>
          </w:p>
        </w:tc>
        <w:tc>
          <w:tcPr>
            <w:tcW w:w="1149" w:type="dxa"/>
            <w:tcBorders>
              <w:top w:val="single" w:sz="4" w:space="0" w:color="auto"/>
              <w:left w:val="single" w:sz="4" w:space="0" w:color="auto"/>
              <w:bottom w:val="single" w:sz="4" w:space="0" w:color="auto"/>
              <w:right w:val="single" w:sz="4" w:space="0" w:color="auto"/>
            </w:tcBorders>
            <w:vAlign w:val="center"/>
          </w:tcPr>
          <w:p w14:paraId="6AADE5CA" w14:textId="77777777" w:rsidR="00184D1B" w:rsidRPr="006A755F" w:rsidRDefault="00184D1B" w:rsidP="00184D1B">
            <w:pPr>
              <w:spacing w:after="0" w:line="240" w:lineRule="auto"/>
              <w:jc w:val="center"/>
              <w:rPr>
                <w:rFonts w:eastAsia="Times New Roman" w:cs="Times New Roman"/>
                <w:b/>
                <w:color w:val="FF0000"/>
                <w:sz w:val="20"/>
                <w:szCs w:val="20"/>
                <w:lang w:eastAsia="cs-CZ"/>
              </w:rPr>
            </w:pPr>
            <w:r w:rsidRPr="006A755F">
              <w:rPr>
                <w:rFonts w:cstheme="minorHAnsi"/>
                <w:sz w:val="20"/>
                <w:szCs w:val="20"/>
              </w:rPr>
              <w:t>4</w:t>
            </w:r>
          </w:p>
        </w:tc>
        <w:tc>
          <w:tcPr>
            <w:tcW w:w="850" w:type="dxa"/>
            <w:tcBorders>
              <w:top w:val="single" w:sz="4" w:space="0" w:color="auto"/>
              <w:left w:val="single" w:sz="4" w:space="0" w:color="auto"/>
              <w:bottom w:val="single" w:sz="4" w:space="0" w:color="auto"/>
              <w:right w:val="single" w:sz="4" w:space="0" w:color="auto"/>
            </w:tcBorders>
            <w:vAlign w:val="center"/>
          </w:tcPr>
          <w:p w14:paraId="2C556401" w14:textId="77777777" w:rsidR="00184D1B" w:rsidRPr="006A755F" w:rsidRDefault="00184D1B" w:rsidP="00184D1B">
            <w:pPr>
              <w:spacing w:after="0" w:line="240" w:lineRule="auto"/>
              <w:jc w:val="center"/>
              <w:rPr>
                <w:rFonts w:eastAsia="Times New Roman" w:cs="Times New Roman"/>
                <w:color w:val="FF0000"/>
                <w:sz w:val="20"/>
                <w:szCs w:val="20"/>
                <w:lang w:eastAsia="cs-CZ"/>
              </w:rPr>
            </w:pPr>
            <w:r w:rsidRPr="006A755F">
              <w:rPr>
                <w:rFonts w:cstheme="minorHAnsi"/>
                <w:sz w:val="20"/>
                <w:szCs w:val="20"/>
              </w:rPr>
              <w:t>4/3</w:t>
            </w:r>
          </w:p>
        </w:tc>
        <w:tc>
          <w:tcPr>
            <w:tcW w:w="851" w:type="dxa"/>
            <w:tcBorders>
              <w:top w:val="single" w:sz="4" w:space="0" w:color="auto"/>
              <w:left w:val="single" w:sz="4" w:space="0" w:color="auto"/>
              <w:bottom w:val="single" w:sz="4" w:space="0" w:color="auto"/>
              <w:right w:val="single" w:sz="4" w:space="0" w:color="auto"/>
            </w:tcBorders>
            <w:vAlign w:val="center"/>
          </w:tcPr>
          <w:p w14:paraId="62EA4A3C" w14:textId="77777777" w:rsidR="00184D1B" w:rsidRPr="006A755F" w:rsidRDefault="00184D1B" w:rsidP="00184D1B">
            <w:pPr>
              <w:spacing w:after="0" w:line="240" w:lineRule="auto"/>
              <w:jc w:val="center"/>
              <w:rPr>
                <w:rFonts w:eastAsia="Times New Roman" w:cs="Times New Roman"/>
                <w:color w:val="FF0000"/>
                <w:sz w:val="20"/>
                <w:szCs w:val="20"/>
                <w:lang w:eastAsia="cs-CZ"/>
              </w:rPr>
            </w:pPr>
            <w:r w:rsidRPr="006A755F">
              <w:rPr>
                <w:rFonts w:cstheme="minorHAnsi"/>
                <w:sz w:val="20"/>
                <w:szCs w:val="20"/>
              </w:rPr>
              <w:t>4/1</w:t>
            </w:r>
          </w:p>
        </w:tc>
      </w:tr>
      <w:tr w:rsidR="00184D1B" w:rsidRPr="00CD2A07" w14:paraId="61D7A572" w14:textId="77777777" w:rsidTr="00184D1B">
        <w:trPr>
          <w:trHeight w:val="340"/>
        </w:trPr>
        <w:tc>
          <w:tcPr>
            <w:tcW w:w="3671"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0C320A3F" w14:textId="77777777" w:rsidR="00184D1B" w:rsidRPr="006A755F" w:rsidRDefault="00184D1B" w:rsidP="00184D1B">
            <w:pPr>
              <w:spacing w:after="0" w:line="240" w:lineRule="auto"/>
              <w:jc w:val="both"/>
              <w:rPr>
                <w:rFonts w:eastAsia="Times New Roman" w:cs="Times New Roman"/>
                <w:b/>
                <w:sz w:val="20"/>
                <w:szCs w:val="20"/>
                <w:lang w:eastAsia="cs-CZ"/>
              </w:rPr>
            </w:pPr>
            <w:r w:rsidRPr="006A755F">
              <w:rPr>
                <w:rFonts w:eastAsia="Times New Roman" w:cs="Times New Roman"/>
                <w:b/>
                <w:sz w:val="20"/>
                <w:szCs w:val="20"/>
                <w:lang w:eastAsia="cs-CZ"/>
              </w:rPr>
              <w:t xml:space="preserve">Běžné výdaje celkem </w:t>
            </w:r>
            <w:r w:rsidRPr="006A755F">
              <w:rPr>
                <w:rFonts w:eastAsia="Times New Roman" w:cs="Times New Roman"/>
                <w:sz w:val="20"/>
                <w:szCs w:val="20"/>
                <w:lang w:eastAsia="cs-CZ"/>
              </w:rPr>
              <w:t>(v tom:)</w:t>
            </w:r>
          </w:p>
        </w:tc>
        <w:tc>
          <w:tcPr>
            <w:tcW w:w="1149"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76BFD5A5" w14:textId="77777777" w:rsidR="00184D1B" w:rsidRPr="006A755F" w:rsidRDefault="00184D1B" w:rsidP="00184D1B">
            <w:pPr>
              <w:spacing w:after="0" w:line="240" w:lineRule="auto"/>
              <w:jc w:val="right"/>
              <w:rPr>
                <w:rFonts w:eastAsia="Times New Roman" w:cs="Times New Roman"/>
                <w:b/>
                <w:color w:val="FF0000"/>
                <w:sz w:val="20"/>
                <w:szCs w:val="20"/>
                <w:lang w:eastAsia="cs-CZ"/>
              </w:rPr>
            </w:pPr>
            <w:r w:rsidRPr="006A755F">
              <w:rPr>
                <w:rFonts w:eastAsia="Times New Roman" w:cs="Times New Roman"/>
                <w:b/>
                <w:sz w:val="20"/>
                <w:szCs w:val="20"/>
                <w:lang w:eastAsia="cs-CZ"/>
              </w:rPr>
              <w:t>34 260 050</w:t>
            </w:r>
          </w:p>
        </w:tc>
        <w:tc>
          <w:tcPr>
            <w:tcW w:w="1119"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38741513"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4C3A14">
              <w:rPr>
                <w:rFonts w:eastAsia="Times New Roman" w:cs="Times New Roman"/>
                <w:b/>
                <w:sz w:val="20"/>
                <w:szCs w:val="20"/>
                <w:lang w:eastAsia="cs-CZ"/>
              </w:rPr>
              <w:t xml:space="preserve">36 024 603 </w:t>
            </w:r>
          </w:p>
        </w:tc>
        <w:tc>
          <w:tcPr>
            <w:tcW w:w="1134"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585956BD"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915F3B">
              <w:rPr>
                <w:rFonts w:eastAsia="Times New Roman" w:cs="Times New Roman"/>
                <w:b/>
                <w:sz w:val="20"/>
                <w:szCs w:val="20"/>
                <w:lang w:eastAsia="cs-CZ"/>
              </w:rPr>
              <w:t>41 398 558</w:t>
            </w:r>
          </w:p>
        </w:tc>
        <w:tc>
          <w:tcPr>
            <w:tcW w:w="1149"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76616C85"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915F3B">
              <w:rPr>
                <w:rFonts w:eastAsia="Times New Roman" w:cs="Times New Roman"/>
                <w:b/>
                <w:sz w:val="20"/>
                <w:szCs w:val="20"/>
                <w:lang w:eastAsia="cs-CZ"/>
              </w:rPr>
              <w:t>40 044 596</w:t>
            </w:r>
          </w:p>
        </w:tc>
        <w:tc>
          <w:tcPr>
            <w:tcW w:w="850"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128D1EAF" w14:textId="77777777" w:rsidR="00184D1B" w:rsidRPr="00CD2A07" w:rsidRDefault="00184D1B" w:rsidP="00184D1B">
            <w:pPr>
              <w:spacing w:after="0" w:line="240" w:lineRule="auto"/>
              <w:jc w:val="right"/>
              <w:rPr>
                <w:rFonts w:eastAsia="Times New Roman" w:cs="Times New Roman"/>
                <w:sz w:val="20"/>
                <w:szCs w:val="20"/>
                <w:lang w:eastAsia="cs-CZ"/>
              </w:rPr>
            </w:pPr>
            <w:r w:rsidRPr="00CD2A07">
              <w:rPr>
                <w:rFonts w:eastAsia="Times New Roman" w:cs="Times New Roman"/>
                <w:b/>
                <w:sz w:val="20"/>
                <w:szCs w:val="20"/>
                <w:lang w:eastAsia="cs-CZ"/>
              </w:rPr>
              <w:t>96,7</w:t>
            </w:r>
          </w:p>
        </w:tc>
        <w:tc>
          <w:tcPr>
            <w:tcW w:w="851"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4ADED67F" w14:textId="77777777" w:rsidR="00184D1B" w:rsidRPr="00CD2A07" w:rsidRDefault="00184D1B" w:rsidP="00184D1B">
            <w:pPr>
              <w:spacing w:after="0" w:line="240" w:lineRule="auto"/>
              <w:jc w:val="right"/>
              <w:rPr>
                <w:rFonts w:eastAsia="Times New Roman" w:cs="Times New Roman"/>
                <w:sz w:val="20"/>
                <w:szCs w:val="20"/>
                <w:lang w:eastAsia="cs-CZ"/>
              </w:rPr>
            </w:pPr>
            <w:r w:rsidRPr="00CD2A07">
              <w:rPr>
                <w:rFonts w:eastAsia="Times New Roman" w:cs="Times New Roman"/>
                <w:b/>
                <w:sz w:val="20"/>
                <w:szCs w:val="20"/>
                <w:lang w:eastAsia="cs-CZ"/>
              </w:rPr>
              <w:t>116,9</w:t>
            </w:r>
          </w:p>
        </w:tc>
      </w:tr>
      <w:tr w:rsidR="00184D1B" w:rsidRPr="00CD2A07" w14:paraId="3C08D7E5" w14:textId="77777777" w:rsidTr="00184D1B">
        <w:trPr>
          <w:trHeight w:val="340"/>
        </w:trPr>
        <w:tc>
          <w:tcPr>
            <w:tcW w:w="3671"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28F2E20E" w14:textId="77777777" w:rsidR="00184D1B" w:rsidRPr="006A755F" w:rsidRDefault="00184D1B" w:rsidP="00184D1B">
            <w:pPr>
              <w:spacing w:after="0" w:line="240" w:lineRule="auto"/>
              <w:rPr>
                <w:rFonts w:eastAsia="Times New Roman" w:cs="Times New Roman"/>
                <w:b/>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08D6EC2F" w14:textId="77777777" w:rsidR="00184D1B" w:rsidRPr="006A755F" w:rsidRDefault="00184D1B" w:rsidP="00184D1B">
            <w:pPr>
              <w:spacing w:after="0" w:line="240" w:lineRule="auto"/>
              <w:jc w:val="right"/>
              <w:rPr>
                <w:rFonts w:eastAsia="Times New Roman" w:cs="Times New Roman"/>
                <w:b/>
                <w:sz w:val="20"/>
                <w:szCs w:val="20"/>
                <w:lang w:eastAsia="cs-CZ"/>
              </w:rPr>
            </w:pPr>
            <w:r w:rsidRPr="006A755F">
              <w:rPr>
                <w:rFonts w:eastAsia="Times New Roman" w:cs="Times New Roman"/>
                <w:sz w:val="20"/>
                <w:szCs w:val="20"/>
                <w:lang w:eastAsia="cs-CZ"/>
              </w:rPr>
              <w:t>21 111 341</w:t>
            </w:r>
          </w:p>
        </w:tc>
        <w:tc>
          <w:tcPr>
            <w:tcW w:w="1119"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382F8A49"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1D26A1">
              <w:rPr>
                <w:rFonts w:eastAsia="Times New Roman" w:cs="Times New Roman"/>
                <w:sz w:val="20"/>
                <w:szCs w:val="20"/>
                <w:lang w:eastAsia="cs-CZ"/>
              </w:rPr>
              <w:t>20 889 651</w:t>
            </w:r>
          </w:p>
        </w:tc>
        <w:tc>
          <w:tcPr>
            <w:tcW w:w="1134"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12D8E9BD"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DD6CE8">
              <w:rPr>
                <w:rFonts w:eastAsia="Times New Roman" w:cs="Times New Roman"/>
                <w:sz w:val="20"/>
                <w:szCs w:val="20"/>
                <w:lang w:eastAsia="cs-CZ"/>
              </w:rPr>
              <w:t>25 328 267</w:t>
            </w:r>
          </w:p>
        </w:tc>
        <w:tc>
          <w:tcPr>
            <w:tcW w:w="1149"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268BBB9F"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DD6CE8">
              <w:rPr>
                <w:rFonts w:eastAsia="Times New Roman" w:cs="Times New Roman"/>
                <w:sz w:val="20"/>
                <w:szCs w:val="20"/>
                <w:lang w:eastAsia="cs-CZ"/>
              </w:rPr>
              <w:t>25 434 061</w:t>
            </w:r>
          </w:p>
        </w:tc>
        <w:tc>
          <w:tcPr>
            <w:tcW w:w="850"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59A992EF" w14:textId="77777777" w:rsidR="00184D1B" w:rsidRPr="00CD2A07" w:rsidRDefault="00184D1B" w:rsidP="00184D1B">
            <w:pPr>
              <w:spacing w:after="0" w:line="240" w:lineRule="auto"/>
              <w:jc w:val="right"/>
              <w:rPr>
                <w:rFonts w:eastAsia="Times New Roman" w:cs="Times New Roman"/>
                <w:b/>
                <w:sz w:val="20"/>
                <w:szCs w:val="20"/>
                <w:lang w:eastAsia="cs-CZ"/>
              </w:rPr>
            </w:pPr>
            <w:r w:rsidRPr="00CD2A07">
              <w:rPr>
                <w:rFonts w:eastAsia="Times New Roman" w:cs="Times New Roman"/>
                <w:sz w:val="20"/>
                <w:szCs w:val="20"/>
                <w:lang w:eastAsia="cs-CZ"/>
              </w:rPr>
              <w:t>100,4</w:t>
            </w:r>
          </w:p>
        </w:tc>
        <w:tc>
          <w:tcPr>
            <w:tcW w:w="851"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5976C24D" w14:textId="77777777" w:rsidR="00184D1B" w:rsidRPr="00CD2A07" w:rsidRDefault="00184D1B" w:rsidP="00184D1B">
            <w:pPr>
              <w:spacing w:after="0" w:line="240" w:lineRule="auto"/>
              <w:jc w:val="right"/>
              <w:rPr>
                <w:rFonts w:eastAsia="Times New Roman" w:cs="Times New Roman"/>
                <w:b/>
                <w:sz w:val="20"/>
                <w:szCs w:val="20"/>
                <w:lang w:eastAsia="cs-CZ"/>
              </w:rPr>
            </w:pPr>
            <w:r w:rsidRPr="00CD2A07">
              <w:rPr>
                <w:rFonts w:eastAsia="Times New Roman" w:cs="Times New Roman"/>
                <w:sz w:val="20"/>
                <w:szCs w:val="20"/>
                <w:lang w:eastAsia="cs-CZ"/>
              </w:rPr>
              <w:t>120,5</w:t>
            </w:r>
          </w:p>
        </w:tc>
      </w:tr>
      <w:tr w:rsidR="00184D1B" w:rsidRPr="005F0CD7" w14:paraId="317A3DBD" w14:textId="77777777" w:rsidTr="00184D1B">
        <w:trPr>
          <w:trHeight w:val="50"/>
        </w:trPr>
        <w:tc>
          <w:tcPr>
            <w:tcW w:w="3671" w:type="dxa"/>
            <w:tcBorders>
              <w:top w:val="single" w:sz="4" w:space="0" w:color="auto"/>
              <w:left w:val="single" w:sz="4" w:space="0" w:color="auto"/>
              <w:bottom w:val="nil"/>
              <w:right w:val="single" w:sz="4" w:space="0" w:color="auto"/>
            </w:tcBorders>
            <w:vAlign w:val="center"/>
          </w:tcPr>
          <w:p w14:paraId="3A4F3074" w14:textId="77777777" w:rsidR="00184D1B" w:rsidRPr="006A755F" w:rsidRDefault="00184D1B" w:rsidP="00184D1B">
            <w:pPr>
              <w:spacing w:after="0" w:line="240" w:lineRule="auto"/>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 xml:space="preserve"> Běžné výdaje organizačních složek </w:t>
            </w:r>
          </w:p>
          <w:p w14:paraId="0B0297D4" w14:textId="77777777" w:rsidR="00184D1B" w:rsidRPr="006A755F" w:rsidRDefault="00184D1B" w:rsidP="00184D1B">
            <w:pPr>
              <w:spacing w:after="0" w:line="240" w:lineRule="auto"/>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 xml:space="preserve">státu bez </w:t>
            </w:r>
            <w:proofErr w:type="spellStart"/>
            <w:r w:rsidRPr="006A755F">
              <w:rPr>
                <w:rFonts w:eastAsia="Times New Roman" w:cs="Times New Roman"/>
                <w:b/>
                <w:color w:val="2E74B5" w:themeColor="accent1" w:themeShade="BF"/>
                <w:sz w:val="20"/>
                <w:szCs w:val="20"/>
                <w:lang w:eastAsia="cs-CZ"/>
              </w:rPr>
              <w:t>podsesk</w:t>
            </w:r>
            <w:proofErr w:type="spellEnd"/>
            <w:r w:rsidRPr="006A755F">
              <w:rPr>
                <w:rFonts w:eastAsia="Times New Roman" w:cs="Times New Roman"/>
                <w:b/>
                <w:color w:val="2E74B5" w:themeColor="accent1" w:themeShade="BF"/>
                <w:sz w:val="20"/>
                <w:szCs w:val="20"/>
                <w:lang w:eastAsia="cs-CZ"/>
              </w:rPr>
              <w:t>. 521,522,531,532,533,</w:t>
            </w:r>
          </w:p>
          <w:p w14:paraId="7D8750A4" w14:textId="3C0C68E2" w:rsidR="00184D1B" w:rsidRPr="006A755F" w:rsidRDefault="00184D1B" w:rsidP="00184D1B">
            <w:pPr>
              <w:spacing w:after="0" w:line="240" w:lineRule="auto"/>
              <w:rPr>
                <w:rFonts w:eastAsia="Times New Roman" w:cs="Times New Roman"/>
                <w:color w:val="2E74B5" w:themeColor="accent1" w:themeShade="BF"/>
                <w:sz w:val="20"/>
                <w:szCs w:val="20"/>
                <w:lang w:eastAsia="cs-CZ"/>
              </w:rPr>
            </w:pPr>
            <w:r>
              <w:rPr>
                <w:rFonts w:eastAsia="Times New Roman" w:cs="Times New Roman"/>
                <w:b/>
                <w:color w:val="2E74B5" w:themeColor="accent1" w:themeShade="BF"/>
                <w:sz w:val="20"/>
                <w:szCs w:val="20"/>
                <w:lang w:eastAsia="cs-CZ"/>
              </w:rPr>
              <w:t>551,553,554,561</w:t>
            </w:r>
            <w:r w:rsidRPr="006A755F">
              <w:rPr>
                <w:rFonts w:eastAsia="Times New Roman" w:cs="Times New Roman"/>
                <w:b/>
                <w:color w:val="2E74B5" w:themeColor="accent1" w:themeShade="BF"/>
                <w:sz w:val="20"/>
                <w:szCs w:val="20"/>
                <w:lang w:eastAsia="cs-CZ"/>
              </w:rPr>
              <w:t xml:space="preserve"> </w:t>
            </w:r>
            <w:r>
              <w:rPr>
                <w:rFonts w:eastAsia="Times New Roman" w:cs="Times New Roman"/>
                <w:b/>
                <w:color w:val="2E74B5" w:themeColor="accent1" w:themeShade="BF"/>
                <w:sz w:val="20"/>
                <w:szCs w:val="20"/>
                <w:lang w:eastAsia="cs-CZ"/>
              </w:rPr>
              <w:t xml:space="preserve">a položky 5493 </w:t>
            </w:r>
            <w:r w:rsidRPr="006A755F">
              <w:rPr>
                <w:rFonts w:eastAsia="Times New Roman" w:cs="Times New Roman"/>
                <w:b/>
                <w:color w:val="2E74B5" w:themeColor="accent1" w:themeShade="BF"/>
                <w:sz w:val="20"/>
                <w:szCs w:val="20"/>
                <w:lang w:eastAsia="cs-CZ"/>
              </w:rPr>
              <w:t>v tom:</w:t>
            </w:r>
          </w:p>
        </w:tc>
        <w:tc>
          <w:tcPr>
            <w:tcW w:w="1149" w:type="dxa"/>
            <w:tcBorders>
              <w:top w:val="single" w:sz="4" w:space="0" w:color="auto"/>
              <w:left w:val="single" w:sz="4" w:space="0" w:color="auto"/>
              <w:bottom w:val="nil"/>
              <w:right w:val="single" w:sz="4" w:space="0" w:color="auto"/>
            </w:tcBorders>
            <w:vAlign w:val="center"/>
          </w:tcPr>
          <w:p w14:paraId="4B2D9F5C" w14:textId="77777777" w:rsidR="00184D1B" w:rsidRPr="006A755F" w:rsidRDefault="00184D1B" w:rsidP="00184D1B">
            <w:pPr>
              <w:spacing w:after="0" w:line="240" w:lineRule="auto"/>
              <w:jc w:val="right"/>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6 379 921</w:t>
            </w:r>
          </w:p>
        </w:tc>
        <w:tc>
          <w:tcPr>
            <w:tcW w:w="1119" w:type="dxa"/>
            <w:tcBorders>
              <w:top w:val="single" w:sz="4" w:space="0" w:color="auto"/>
              <w:left w:val="single" w:sz="4" w:space="0" w:color="auto"/>
              <w:bottom w:val="nil"/>
              <w:right w:val="single" w:sz="4" w:space="0" w:color="auto"/>
            </w:tcBorders>
            <w:vAlign w:val="center"/>
          </w:tcPr>
          <w:p w14:paraId="304768F6"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2715CD">
              <w:rPr>
                <w:rFonts w:eastAsia="Times New Roman" w:cs="Times New Roman"/>
                <w:b/>
                <w:color w:val="2E74B5" w:themeColor="accent1" w:themeShade="BF"/>
                <w:sz w:val="20"/>
                <w:szCs w:val="20"/>
                <w:lang w:eastAsia="cs-CZ"/>
              </w:rPr>
              <w:t>6</w:t>
            </w:r>
            <w:r>
              <w:rPr>
                <w:rFonts w:eastAsia="Times New Roman" w:cs="Times New Roman"/>
                <w:b/>
                <w:color w:val="2E74B5" w:themeColor="accent1" w:themeShade="BF"/>
                <w:sz w:val="20"/>
                <w:szCs w:val="20"/>
                <w:lang w:eastAsia="cs-CZ"/>
              </w:rPr>
              <w:t> 648 107</w:t>
            </w:r>
            <w:r w:rsidRPr="002715CD">
              <w:rPr>
                <w:rFonts w:eastAsia="Times New Roman" w:cs="Times New Roman"/>
                <w:b/>
                <w:color w:val="2E74B5" w:themeColor="accent1" w:themeShade="BF"/>
                <w:sz w:val="20"/>
                <w:szCs w:val="20"/>
                <w:lang w:eastAsia="cs-CZ"/>
              </w:rPr>
              <w:t xml:space="preserve"> </w:t>
            </w:r>
          </w:p>
        </w:tc>
        <w:tc>
          <w:tcPr>
            <w:tcW w:w="1134" w:type="dxa"/>
            <w:tcBorders>
              <w:top w:val="single" w:sz="4" w:space="0" w:color="auto"/>
              <w:left w:val="single" w:sz="4" w:space="0" w:color="auto"/>
              <w:bottom w:val="nil"/>
              <w:right w:val="single" w:sz="4" w:space="0" w:color="auto"/>
            </w:tcBorders>
            <w:vAlign w:val="center"/>
          </w:tcPr>
          <w:p w14:paraId="3E92655B" w14:textId="77777777" w:rsidR="00184D1B" w:rsidRPr="00381D99" w:rsidRDefault="00184D1B" w:rsidP="00184D1B">
            <w:pPr>
              <w:spacing w:after="0" w:line="240" w:lineRule="auto"/>
              <w:jc w:val="right"/>
              <w:rPr>
                <w:rFonts w:eastAsia="Times New Roman" w:cs="Times New Roman"/>
                <w:b/>
                <w:color w:val="4472C4" w:themeColor="accent5"/>
                <w:sz w:val="20"/>
                <w:szCs w:val="20"/>
                <w:lang w:eastAsia="cs-CZ"/>
              </w:rPr>
            </w:pPr>
            <w:r>
              <w:rPr>
                <w:rFonts w:eastAsia="Times New Roman" w:cs="Times New Roman"/>
                <w:b/>
                <w:color w:val="4472C4" w:themeColor="accent5"/>
                <w:sz w:val="20"/>
                <w:szCs w:val="20"/>
                <w:lang w:eastAsia="cs-CZ"/>
              </w:rPr>
              <w:t>6 736 774</w:t>
            </w:r>
            <w:r w:rsidRPr="00381D99">
              <w:rPr>
                <w:rFonts w:eastAsia="Times New Roman" w:cs="Times New Roman"/>
                <w:b/>
                <w:color w:val="4472C4" w:themeColor="accent5"/>
                <w:sz w:val="20"/>
                <w:szCs w:val="20"/>
                <w:lang w:eastAsia="cs-CZ"/>
              </w:rPr>
              <w:t xml:space="preserve"> </w:t>
            </w:r>
          </w:p>
        </w:tc>
        <w:tc>
          <w:tcPr>
            <w:tcW w:w="1149" w:type="dxa"/>
            <w:tcBorders>
              <w:top w:val="single" w:sz="4" w:space="0" w:color="auto"/>
              <w:left w:val="single" w:sz="4" w:space="0" w:color="auto"/>
              <w:bottom w:val="nil"/>
              <w:right w:val="single" w:sz="4" w:space="0" w:color="auto"/>
            </w:tcBorders>
            <w:vAlign w:val="center"/>
          </w:tcPr>
          <w:p w14:paraId="1147328C" w14:textId="77777777" w:rsidR="00184D1B" w:rsidRPr="00381D99" w:rsidRDefault="00184D1B" w:rsidP="00184D1B">
            <w:pPr>
              <w:spacing w:after="0" w:line="240" w:lineRule="auto"/>
              <w:jc w:val="right"/>
              <w:rPr>
                <w:rFonts w:eastAsia="Times New Roman" w:cs="Times New Roman"/>
                <w:b/>
                <w:color w:val="4472C4" w:themeColor="accent5"/>
                <w:sz w:val="20"/>
                <w:szCs w:val="20"/>
                <w:lang w:eastAsia="cs-CZ"/>
              </w:rPr>
            </w:pPr>
            <w:r>
              <w:rPr>
                <w:rFonts w:eastAsia="Times New Roman" w:cs="Times New Roman"/>
                <w:b/>
                <w:color w:val="4472C4" w:themeColor="accent5"/>
                <w:sz w:val="20"/>
                <w:szCs w:val="20"/>
                <w:lang w:eastAsia="cs-CZ"/>
              </w:rPr>
              <w:t>6 313 557</w:t>
            </w:r>
          </w:p>
        </w:tc>
        <w:tc>
          <w:tcPr>
            <w:tcW w:w="850" w:type="dxa"/>
            <w:tcBorders>
              <w:top w:val="single" w:sz="4" w:space="0" w:color="auto"/>
              <w:left w:val="single" w:sz="4" w:space="0" w:color="auto"/>
              <w:bottom w:val="nil"/>
              <w:right w:val="single" w:sz="4" w:space="0" w:color="auto"/>
            </w:tcBorders>
            <w:vAlign w:val="center"/>
          </w:tcPr>
          <w:p w14:paraId="736ADA35" w14:textId="77777777" w:rsidR="00184D1B" w:rsidRPr="005F0CD7" w:rsidRDefault="00184D1B" w:rsidP="00184D1B">
            <w:pPr>
              <w:spacing w:after="0" w:line="240" w:lineRule="auto"/>
              <w:jc w:val="right"/>
              <w:rPr>
                <w:rFonts w:eastAsia="Times New Roman" w:cs="Times New Roman"/>
                <w:b/>
                <w:color w:val="FF0000"/>
                <w:sz w:val="20"/>
                <w:szCs w:val="20"/>
                <w:lang w:eastAsia="cs-CZ"/>
              </w:rPr>
            </w:pPr>
            <w:r w:rsidRPr="00500734">
              <w:rPr>
                <w:rFonts w:eastAsia="Times New Roman" w:cs="Times New Roman"/>
                <w:b/>
                <w:color w:val="4472C4" w:themeColor="accent5"/>
                <w:sz w:val="20"/>
                <w:szCs w:val="20"/>
                <w:lang w:eastAsia="cs-CZ"/>
              </w:rPr>
              <w:t>93</w:t>
            </w:r>
            <w:r>
              <w:rPr>
                <w:rFonts w:eastAsia="Times New Roman" w:cs="Times New Roman"/>
                <w:b/>
                <w:color w:val="4472C4" w:themeColor="accent5"/>
                <w:sz w:val="20"/>
                <w:szCs w:val="20"/>
                <w:lang w:eastAsia="cs-CZ"/>
              </w:rPr>
              <w:t>,7</w:t>
            </w:r>
          </w:p>
        </w:tc>
        <w:tc>
          <w:tcPr>
            <w:tcW w:w="851" w:type="dxa"/>
            <w:tcBorders>
              <w:top w:val="single" w:sz="4" w:space="0" w:color="auto"/>
              <w:left w:val="single" w:sz="4" w:space="0" w:color="auto"/>
              <w:bottom w:val="nil"/>
              <w:right w:val="single" w:sz="4" w:space="0" w:color="auto"/>
            </w:tcBorders>
            <w:vAlign w:val="center"/>
          </w:tcPr>
          <w:p w14:paraId="654209AE" w14:textId="77777777" w:rsidR="00184D1B" w:rsidRPr="005F0CD7" w:rsidRDefault="00184D1B" w:rsidP="00184D1B">
            <w:pPr>
              <w:spacing w:after="0" w:line="240" w:lineRule="auto"/>
              <w:jc w:val="right"/>
              <w:rPr>
                <w:rFonts w:eastAsia="Times New Roman" w:cs="Times New Roman"/>
                <w:b/>
                <w:color w:val="FF0000"/>
                <w:sz w:val="20"/>
                <w:szCs w:val="20"/>
                <w:lang w:eastAsia="cs-CZ"/>
              </w:rPr>
            </w:pPr>
            <w:r>
              <w:rPr>
                <w:rFonts w:eastAsia="Times New Roman" w:cs="Times New Roman"/>
                <w:b/>
                <w:color w:val="4472C4" w:themeColor="accent5"/>
                <w:sz w:val="20"/>
                <w:szCs w:val="20"/>
                <w:lang w:eastAsia="cs-CZ"/>
              </w:rPr>
              <w:t>99,00</w:t>
            </w:r>
          </w:p>
        </w:tc>
      </w:tr>
      <w:tr w:rsidR="00184D1B" w:rsidRPr="005F0CD7" w14:paraId="7CA98ABB" w14:textId="77777777" w:rsidTr="00184D1B">
        <w:trPr>
          <w:trHeight w:val="1552"/>
        </w:trPr>
        <w:tc>
          <w:tcPr>
            <w:tcW w:w="3671" w:type="dxa"/>
            <w:tcBorders>
              <w:top w:val="nil"/>
              <w:left w:val="single" w:sz="4" w:space="0" w:color="auto"/>
              <w:bottom w:val="single" w:sz="4" w:space="0" w:color="auto"/>
              <w:right w:val="single" w:sz="4" w:space="0" w:color="auto"/>
            </w:tcBorders>
          </w:tcPr>
          <w:p w14:paraId="399F5A38"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platy zaměstnanců a ostatní platby</w:t>
            </w:r>
          </w:p>
          <w:p w14:paraId="3154F907"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za provedenou práci</w:t>
            </w:r>
          </w:p>
          <w:p w14:paraId="23E23D7D"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povinné pojistné placené zaměstnavatelem</w:t>
            </w:r>
          </w:p>
          <w:p w14:paraId="395DA3E0"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 xml:space="preserve">základní příděl FKSP </w:t>
            </w:r>
          </w:p>
          <w:p w14:paraId="58649C72"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ostatní neinvestiční výdaje</w:t>
            </w:r>
          </w:p>
          <w:p w14:paraId="26D2939D"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tcPr>
          <w:p w14:paraId="7775AB79" w14:textId="77777777" w:rsidR="00184D1B" w:rsidRPr="006A755F" w:rsidRDefault="00184D1B" w:rsidP="00184D1B">
            <w:pPr>
              <w:spacing w:after="0" w:line="240" w:lineRule="auto"/>
              <w:jc w:val="right"/>
              <w:rPr>
                <w:rFonts w:eastAsia="Times New Roman" w:cs="Times New Roman"/>
                <w:sz w:val="20"/>
                <w:szCs w:val="20"/>
                <w:lang w:eastAsia="cs-CZ"/>
              </w:rPr>
            </w:pPr>
          </w:p>
          <w:p w14:paraId="78403F0F" w14:textId="77777777" w:rsidR="00184D1B" w:rsidRPr="006A755F" w:rsidRDefault="00184D1B" w:rsidP="00184D1B">
            <w:pPr>
              <w:spacing w:after="0" w:line="240" w:lineRule="auto"/>
              <w:jc w:val="right"/>
              <w:rPr>
                <w:rFonts w:eastAsia="Times New Roman" w:cs="Times New Roman"/>
                <w:sz w:val="20"/>
                <w:szCs w:val="20"/>
                <w:lang w:eastAsia="cs-CZ"/>
              </w:rPr>
            </w:pPr>
            <w:r w:rsidRPr="006A755F">
              <w:rPr>
                <w:rFonts w:eastAsia="Times New Roman" w:cs="Times New Roman"/>
                <w:sz w:val="20"/>
                <w:szCs w:val="20"/>
                <w:lang w:eastAsia="cs-CZ"/>
              </w:rPr>
              <w:t>565 248</w:t>
            </w:r>
          </w:p>
          <w:p w14:paraId="53C01743" w14:textId="77777777" w:rsidR="00184D1B" w:rsidRPr="006A755F" w:rsidRDefault="00184D1B" w:rsidP="00184D1B">
            <w:pPr>
              <w:spacing w:after="0" w:line="240" w:lineRule="auto"/>
              <w:jc w:val="right"/>
              <w:rPr>
                <w:rFonts w:eastAsia="Times New Roman" w:cs="Times New Roman"/>
                <w:sz w:val="20"/>
                <w:szCs w:val="20"/>
                <w:lang w:eastAsia="cs-CZ"/>
              </w:rPr>
            </w:pPr>
            <w:r w:rsidRPr="006A755F">
              <w:rPr>
                <w:rFonts w:eastAsia="Times New Roman" w:cs="Times New Roman"/>
                <w:sz w:val="20"/>
                <w:szCs w:val="20"/>
                <w:lang w:eastAsia="cs-CZ"/>
              </w:rPr>
              <w:t>190 256</w:t>
            </w:r>
          </w:p>
          <w:p w14:paraId="0B494613" w14:textId="77777777" w:rsidR="00184D1B" w:rsidRPr="006A755F" w:rsidRDefault="00184D1B" w:rsidP="00184D1B">
            <w:pPr>
              <w:spacing w:after="0" w:line="240" w:lineRule="auto"/>
              <w:jc w:val="right"/>
              <w:rPr>
                <w:rFonts w:eastAsia="Times New Roman" w:cs="Times New Roman"/>
                <w:sz w:val="20"/>
                <w:szCs w:val="20"/>
                <w:lang w:eastAsia="cs-CZ"/>
              </w:rPr>
            </w:pPr>
            <w:r w:rsidRPr="006A755F">
              <w:rPr>
                <w:rFonts w:eastAsia="Times New Roman" w:cs="Times New Roman"/>
                <w:sz w:val="20"/>
                <w:szCs w:val="20"/>
                <w:lang w:eastAsia="cs-CZ"/>
              </w:rPr>
              <w:t>11 174</w:t>
            </w:r>
          </w:p>
          <w:p w14:paraId="15120D7D" w14:textId="77777777" w:rsidR="00184D1B" w:rsidRPr="006A755F" w:rsidRDefault="00184D1B" w:rsidP="00184D1B">
            <w:pPr>
              <w:spacing w:after="0" w:line="240" w:lineRule="auto"/>
              <w:jc w:val="right"/>
              <w:rPr>
                <w:rFonts w:eastAsia="Times New Roman" w:cs="Times New Roman"/>
                <w:sz w:val="20"/>
                <w:szCs w:val="20"/>
                <w:lang w:eastAsia="cs-CZ"/>
              </w:rPr>
            </w:pPr>
            <w:r w:rsidRPr="006A755F">
              <w:rPr>
                <w:rFonts w:eastAsia="Times New Roman" w:cs="Times New Roman"/>
                <w:sz w:val="20"/>
                <w:szCs w:val="20"/>
                <w:lang w:eastAsia="cs-CZ"/>
              </w:rPr>
              <w:t>5 613 242</w:t>
            </w:r>
          </w:p>
          <w:p w14:paraId="709C2BEE" w14:textId="77777777" w:rsidR="00184D1B" w:rsidRPr="006A755F" w:rsidRDefault="00184D1B" w:rsidP="00184D1B">
            <w:pPr>
              <w:spacing w:after="0" w:line="240" w:lineRule="auto"/>
              <w:jc w:val="right"/>
              <w:rPr>
                <w:rFonts w:eastAsia="Times New Roman" w:cs="Times New Roman"/>
                <w:b/>
                <w:color w:val="FF0000"/>
                <w:sz w:val="20"/>
                <w:szCs w:val="20"/>
                <w:lang w:eastAsia="cs-CZ"/>
              </w:rPr>
            </w:pPr>
            <w:r w:rsidRPr="006A755F">
              <w:rPr>
                <w:rFonts w:eastAsia="Times New Roman" w:cs="Times New Roman"/>
                <w:sz w:val="20"/>
                <w:szCs w:val="20"/>
                <w:lang w:eastAsia="cs-CZ"/>
              </w:rPr>
              <w:t>102 104</w:t>
            </w:r>
          </w:p>
        </w:tc>
        <w:tc>
          <w:tcPr>
            <w:tcW w:w="1119" w:type="dxa"/>
            <w:tcBorders>
              <w:top w:val="nil"/>
              <w:left w:val="single" w:sz="4" w:space="0" w:color="auto"/>
              <w:bottom w:val="single" w:sz="4" w:space="0" w:color="auto"/>
              <w:right w:val="single" w:sz="4" w:space="0" w:color="auto"/>
            </w:tcBorders>
          </w:tcPr>
          <w:p w14:paraId="324E3A27" w14:textId="77777777" w:rsidR="00184D1B" w:rsidRPr="008707E3" w:rsidRDefault="00184D1B" w:rsidP="00184D1B">
            <w:pPr>
              <w:spacing w:after="0" w:line="240" w:lineRule="auto"/>
              <w:jc w:val="right"/>
              <w:rPr>
                <w:rFonts w:eastAsia="Times New Roman" w:cs="Times New Roman"/>
                <w:color w:val="FF0000"/>
                <w:sz w:val="20"/>
                <w:szCs w:val="20"/>
                <w:lang w:eastAsia="cs-CZ"/>
              </w:rPr>
            </w:pPr>
          </w:p>
          <w:p w14:paraId="7E19CB32" w14:textId="77777777" w:rsidR="00184D1B" w:rsidRPr="002715CD" w:rsidRDefault="00184D1B" w:rsidP="00184D1B">
            <w:pPr>
              <w:spacing w:after="0" w:line="240" w:lineRule="auto"/>
              <w:jc w:val="right"/>
              <w:rPr>
                <w:rFonts w:eastAsia="Times New Roman" w:cs="Times New Roman"/>
                <w:sz w:val="20"/>
                <w:szCs w:val="20"/>
                <w:lang w:eastAsia="cs-CZ"/>
              </w:rPr>
            </w:pPr>
            <w:r w:rsidRPr="002715CD">
              <w:rPr>
                <w:rFonts w:eastAsia="Times New Roman" w:cs="Times New Roman"/>
                <w:sz w:val="20"/>
                <w:szCs w:val="20"/>
                <w:lang w:eastAsia="cs-CZ"/>
              </w:rPr>
              <w:t>594 106</w:t>
            </w:r>
          </w:p>
          <w:p w14:paraId="3E9545FC" w14:textId="77777777" w:rsidR="00184D1B" w:rsidRPr="002715CD" w:rsidRDefault="00184D1B" w:rsidP="00184D1B">
            <w:pPr>
              <w:spacing w:after="0" w:line="240" w:lineRule="auto"/>
              <w:jc w:val="right"/>
              <w:rPr>
                <w:rFonts w:eastAsia="Times New Roman" w:cs="Times New Roman"/>
                <w:sz w:val="20"/>
                <w:szCs w:val="20"/>
                <w:lang w:eastAsia="cs-CZ"/>
              </w:rPr>
            </w:pPr>
            <w:r w:rsidRPr="002715CD">
              <w:rPr>
                <w:rFonts w:eastAsia="Times New Roman" w:cs="Times New Roman"/>
                <w:sz w:val="20"/>
                <w:szCs w:val="20"/>
                <w:lang w:eastAsia="cs-CZ"/>
              </w:rPr>
              <w:t>200 808</w:t>
            </w:r>
          </w:p>
          <w:p w14:paraId="7FAAA218" w14:textId="77777777" w:rsidR="00184D1B" w:rsidRPr="002715CD" w:rsidRDefault="00184D1B" w:rsidP="00184D1B">
            <w:pPr>
              <w:spacing w:after="0" w:line="240" w:lineRule="auto"/>
              <w:jc w:val="right"/>
              <w:rPr>
                <w:rFonts w:eastAsia="Times New Roman" w:cs="Times New Roman"/>
                <w:sz w:val="20"/>
                <w:szCs w:val="20"/>
                <w:lang w:eastAsia="cs-CZ"/>
              </w:rPr>
            </w:pPr>
            <w:r w:rsidRPr="002715CD">
              <w:rPr>
                <w:rFonts w:eastAsia="Times New Roman" w:cs="Times New Roman"/>
                <w:sz w:val="20"/>
                <w:szCs w:val="20"/>
                <w:lang w:eastAsia="cs-CZ"/>
              </w:rPr>
              <w:t>11 577</w:t>
            </w:r>
          </w:p>
          <w:p w14:paraId="501972D8" w14:textId="77777777" w:rsidR="00184D1B" w:rsidRPr="002715CD" w:rsidRDefault="00184D1B" w:rsidP="00184D1B">
            <w:pPr>
              <w:spacing w:after="0" w:line="240" w:lineRule="auto"/>
              <w:jc w:val="right"/>
              <w:rPr>
                <w:rFonts w:eastAsia="Times New Roman" w:cs="Times New Roman"/>
                <w:sz w:val="20"/>
                <w:szCs w:val="20"/>
                <w:lang w:eastAsia="cs-CZ"/>
              </w:rPr>
            </w:pPr>
            <w:r w:rsidRPr="002715CD">
              <w:rPr>
                <w:rFonts w:eastAsia="Times New Roman" w:cs="Times New Roman"/>
                <w:sz w:val="20"/>
                <w:szCs w:val="20"/>
                <w:lang w:eastAsia="cs-CZ"/>
              </w:rPr>
              <w:t>5 841 616</w:t>
            </w:r>
          </w:p>
          <w:p w14:paraId="7B57B9AF"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2715CD">
              <w:rPr>
                <w:rFonts w:eastAsia="Times New Roman" w:cs="Times New Roman"/>
                <w:sz w:val="20"/>
                <w:szCs w:val="20"/>
                <w:lang w:eastAsia="cs-CZ"/>
              </w:rPr>
              <w:t>99 864</w:t>
            </w:r>
          </w:p>
        </w:tc>
        <w:tc>
          <w:tcPr>
            <w:tcW w:w="1134" w:type="dxa"/>
            <w:tcBorders>
              <w:top w:val="nil"/>
              <w:left w:val="single" w:sz="4" w:space="0" w:color="auto"/>
              <w:bottom w:val="single" w:sz="4" w:space="0" w:color="auto"/>
              <w:right w:val="single" w:sz="4" w:space="0" w:color="auto"/>
            </w:tcBorders>
          </w:tcPr>
          <w:p w14:paraId="6F7B5A05" w14:textId="77777777" w:rsidR="00184D1B" w:rsidRPr="008707E3" w:rsidRDefault="00184D1B" w:rsidP="00184D1B">
            <w:pPr>
              <w:spacing w:after="0" w:line="240" w:lineRule="auto"/>
              <w:jc w:val="right"/>
              <w:rPr>
                <w:rFonts w:eastAsia="Times New Roman" w:cs="Times New Roman"/>
                <w:color w:val="FF0000"/>
                <w:sz w:val="20"/>
                <w:szCs w:val="20"/>
                <w:lang w:eastAsia="cs-CZ"/>
              </w:rPr>
            </w:pPr>
          </w:p>
          <w:p w14:paraId="6A395DF0" w14:textId="77777777" w:rsidR="00184D1B" w:rsidRPr="005F0CD7" w:rsidRDefault="00184D1B" w:rsidP="00184D1B">
            <w:pPr>
              <w:spacing w:after="0" w:line="240" w:lineRule="auto"/>
              <w:jc w:val="right"/>
              <w:rPr>
                <w:rFonts w:eastAsia="Times New Roman" w:cs="Times New Roman"/>
                <w:sz w:val="20"/>
                <w:szCs w:val="20"/>
                <w:lang w:eastAsia="cs-CZ"/>
              </w:rPr>
            </w:pPr>
            <w:r w:rsidRPr="005F0CD7">
              <w:rPr>
                <w:rFonts w:eastAsia="Times New Roman" w:cs="Times New Roman"/>
                <w:sz w:val="20"/>
                <w:szCs w:val="20"/>
                <w:lang w:eastAsia="cs-CZ"/>
              </w:rPr>
              <w:t>601 214</w:t>
            </w:r>
          </w:p>
          <w:p w14:paraId="35D59E39" w14:textId="77777777" w:rsidR="00184D1B" w:rsidRPr="00C65538" w:rsidRDefault="00184D1B" w:rsidP="00184D1B">
            <w:pPr>
              <w:spacing w:after="0" w:line="240" w:lineRule="auto"/>
              <w:jc w:val="right"/>
              <w:rPr>
                <w:rFonts w:eastAsia="Times New Roman" w:cs="Times New Roman"/>
                <w:sz w:val="20"/>
                <w:szCs w:val="20"/>
                <w:lang w:eastAsia="cs-CZ"/>
              </w:rPr>
            </w:pPr>
            <w:r w:rsidRPr="00C65538">
              <w:rPr>
                <w:rFonts w:eastAsia="Times New Roman" w:cs="Times New Roman"/>
                <w:sz w:val="20"/>
                <w:szCs w:val="20"/>
                <w:lang w:eastAsia="cs-CZ"/>
              </w:rPr>
              <w:t>203 210</w:t>
            </w:r>
          </w:p>
          <w:p w14:paraId="5F23C8F9" w14:textId="77777777" w:rsidR="00184D1B" w:rsidRPr="002F0AD6" w:rsidRDefault="00184D1B" w:rsidP="00184D1B">
            <w:pPr>
              <w:spacing w:after="0" w:line="240" w:lineRule="auto"/>
              <w:jc w:val="right"/>
              <w:rPr>
                <w:rFonts w:eastAsia="Times New Roman" w:cs="Times New Roman"/>
                <w:sz w:val="20"/>
                <w:szCs w:val="20"/>
                <w:lang w:eastAsia="cs-CZ"/>
              </w:rPr>
            </w:pPr>
            <w:r w:rsidRPr="002F0AD6">
              <w:rPr>
                <w:rFonts w:eastAsia="Times New Roman" w:cs="Times New Roman"/>
                <w:sz w:val="20"/>
                <w:szCs w:val="20"/>
                <w:lang w:eastAsia="cs-CZ"/>
              </w:rPr>
              <w:t>11 719</w:t>
            </w:r>
          </w:p>
          <w:p w14:paraId="7AE1D13E" w14:textId="77777777" w:rsidR="00184D1B" w:rsidRPr="0090290D" w:rsidRDefault="00184D1B" w:rsidP="00184D1B">
            <w:pPr>
              <w:spacing w:after="0" w:line="240" w:lineRule="auto"/>
              <w:jc w:val="right"/>
              <w:rPr>
                <w:rFonts w:eastAsia="Times New Roman" w:cs="Times New Roman"/>
                <w:color w:val="000000" w:themeColor="text1"/>
                <w:sz w:val="20"/>
                <w:szCs w:val="20"/>
                <w:lang w:eastAsia="cs-CZ"/>
              </w:rPr>
            </w:pPr>
            <w:r>
              <w:rPr>
                <w:rFonts w:eastAsia="Times New Roman" w:cs="Times New Roman"/>
                <w:color w:val="000000" w:themeColor="text1"/>
                <w:sz w:val="20"/>
                <w:szCs w:val="20"/>
                <w:lang w:eastAsia="cs-CZ"/>
              </w:rPr>
              <w:t>5 920 631</w:t>
            </w:r>
          </w:p>
          <w:p w14:paraId="44254118"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Pr>
                <w:rFonts w:eastAsia="Times New Roman" w:cs="Times New Roman"/>
                <w:color w:val="000000" w:themeColor="text1"/>
                <w:sz w:val="20"/>
                <w:szCs w:val="20"/>
                <w:lang w:eastAsia="cs-CZ"/>
              </w:rPr>
              <w:t>103 722</w:t>
            </w:r>
          </w:p>
        </w:tc>
        <w:tc>
          <w:tcPr>
            <w:tcW w:w="1149" w:type="dxa"/>
            <w:tcBorders>
              <w:top w:val="nil"/>
              <w:left w:val="single" w:sz="4" w:space="0" w:color="auto"/>
              <w:bottom w:val="single" w:sz="4" w:space="0" w:color="auto"/>
              <w:right w:val="single" w:sz="4" w:space="0" w:color="auto"/>
            </w:tcBorders>
          </w:tcPr>
          <w:p w14:paraId="643EFC13" w14:textId="77777777" w:rsidR="00184D1B" w:rsidRPr="008707E3" w:rsidRDefault="00184D1B" w:rsidP="00184D1B">
            <w:pPr>
              <w:spacing w:after="0" w:line="240" w:lineRule="auto"/>
              <w:jc w:val="right"/>
              <w:rPr>
                <w:rFonts w:eastAsia="Times New Roman" w:cs="Times New Roman"/>
                <w:color w:val="FF0000"/>
                <w:sz w:val="20"/>
                <w:szCs w:val="20"/>
                <w:lang w:eastAsia="cs-CZ"/>
              </w:rPr>
            </w:pPr>
          </w:p>
          <w:p w14:paraId="5F59543F" w14:textId="77777777" w:rsidR="00184D1B" w:rsidRPr="005F0CD7" w:rsidRDefault="00184D1B" w:rsidP="00184D1B">
            <w:pPr>
              <w:spacing w:after="0" w:line="240" w:lineRule="auto"/>
              <w:jc w:val="right"/>
              <w:rPr>
                <w:rFonts w:eastAsia="Times New Roman" w:cs="Times New Roman"/>
                <w:sz w:val="20"/>
                <w:szCs w:val="20"/>
                <w:lang w:eastAsia="cs-CZ"/>
              </w:rPr>
            </w:pPr>
            <w:r w:rsidRPr="005F0CD7">
              <w:rPr>
                <w:rFonts w:eastAsia="Times New Roman" w:cs="Times New Roman"/>
                <w:sz w:val="20"/>
                <w:szCs w:val="20"/>
                <w:lang w:eastAsia="cs-CZ"/>
              </w:rPr>
              <w:t>580 141</w:t>
            </w:r>
          </w:p>
          <w:p w14:paraId="0101CB95" w14:textId="77777777" w:rsidR="00184D1B" w:rsidRPr="00C65538" w:rsidRDefault="00184D1B" w:rsidP="00184D1B">
            <w:pPr>
              <w:spacing w:after="0" w:line="240" w:lineRule="auto"/>
              <w:jc w:val="right"/>
              <w:rPr>
                <w:rFonts w:eastAsia="Times New Roman" w:cs="Times New Roman"/>
                <w:sz w:val="20"/>
                <w:szCs w:val="20"/>
                <w:lang w:eastAsia="cs-CZ"/>
              </w:rPr>
            </w:pPr>
            <w:r w:rsidRPr="00C65538">
              <w:rPr>
                <w:rFonts w:eastAsia="Times New Roman" w:cs="Times New Roman"/>
                <w:sz w:val="20"/>
                <w:szCs w:val="20"/>
                <w:lang w:eastAsia="cs-CZ"/>
              </w:rPr>
              <w:t>194 865</w:t>
            </w:r>
          </w:p>
          <w:p w14:paraId="3CEBCCAD" w14:textId="77777777" w:rsidR="00184D1B" w:rsidRPr="00487F43" w:rsidRDefault="00184D1B" w:rsidP="00184D1B">
            <w:pPr>
              <w:spacing w:after="0" w:line="240" w:lineRule="auto"/>
              <w:jc w:val="right"/>
              <w:rPr>
                <w:rFonts w:eastAsia="Times New Roman" w:cs="Times New Roman"/>
                <w:sz w:val="20"/>
                <w:szCs w:val="20"/>
                <w:lang w:eastAsia="cs-CZ"/>
              </w:rPr>
            </w:pPr>
            <w:r w:rsidRPr="00487F43">
              <w:rPr>
                <w:rFonts w:eastAsia="Times New Roman" w:cs="Times New Roman"/>
                <w:sz w:val="20"/>
                <w:szCs w:val="20"/>
                <w:lang w:eastAsia="cs-CZ"/>
              </w:rPr>
              <w:t>11 469</w:t>
            </w:r>
          </w:p>
          <w:p w14:paraId="3D17CF82" w14:textId="77777777" w:rsidR="00184D1B" w:rsidRPr="0090290D" w:rsidRDefault="00184D1B" w:rsidP="00184D1B">
            <w:pPr>
              <w:spacing w:after="0" w:line="240" w:lineRule="auto"/>
              <w:jc w:val="right"/>
              <w:rPr>
                <w:rFonts w:eastAsia="Times New Roman" w:cs="Times New Roman"/>
                <w:color w:val="000000" w:themeColor="text1"/>
                <w:sz w:val="20"/>
                <w:szCs w:val="20"/>
                <w:lang w:eastAsia="cs-CZ"/>
              </w:rPr>
            </w:pPr>
            <w:r>
              <w:rPr>
                <w:rFonts w:eastAsia="Times New Roman" w:cs="Times New Roman"/>
                <w:color w:val="000000" w:themeColor="text1"/>
                <w:sz w:val="20"/>
                <w:szCs w:val="20"/>
                <w:lang w:eastAsia="cs-CZ"/>
              </w:rPr>
              <w:t>5 527 082</w:t>
            </w:r>
          </w:p>
          <w:p w14:paraId="5580782E"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Pr>
                <w:rFonts w:eastAsia="Times New Roman" w:cs="Times New Roman"/>
                <w:color w:val="000000" w:themeColor="text1"/>
                <w:sz w:val="20"/>
                <w:szCs w:val="20"/>
                <w:lang w:eastAsia="cs-CZ"/>
              </w:rPr>
              <w:t>153 308</w:t>
            </w:r>
          </w:p>
        </w:tc>
        <w:tc>
          <w:tcPr>
            <w:tcW w:w="850" w:type="dxa"/>
            <w:tcBorders>
              <w:top w:val="nil"/>
              <w:left w:val="single" w:sz="4" w:space="0" w:color="auto"/>
              <w:bottom w:val="single" w:sz="4" w:space="0" w:color="auto"/>
              <w:right w:val="single" w:sz="4" w:space="0" w:color="auto"/>
            </w:tcBorders>
          </w:tcPr>
          <w:p w14:paraId="3C8F6144" w14:textId="77777777" w:rsidR="00184D1B" w:rsidRPr="005F0CD7" w:rsidRDefault="00184D1B" w:rsidP="00184D1B">
            <w:pPr>
              <w:spacing w:after="0" w:line="240" w:lineRule="auto"/>
              <w:jc w:val="right"/>
              <w:rPr>
                <w:rFonts w:eastAsia="Times New Roman" w:cs="Times New Roman"/>
                <w:color w:val="FF0000"/>
                <w:sz w:val="20"/>
                <w:szCs w:val="20"/>
                <w:lang w:eastAsia="cs-CZ"/>
              </w:rPr>
            </w:pPr>
          </w:p>
          <w:p w14:paraId="63933E66" w14:textId="77777777" w:rsidR="00184D1B" w:rsidRPr="00C4756F" w:rsidRDefault="00184D1B" w:rsidP="00184D1B">
            <w:pPr>
              <w:spacing w:after="0" w:line="240" w:lineRule="auto"/>
              <w:jc w:val="right"/>
              <w:rPr>
                <w:rFonts w:eastAsia="Times New Roman" w:cs="Times New Roman"/>
                <w:sz w:val="20"/>
                <w:szCs w:val="20"/>
                <w:lang w:eastAsia="cs-CZ"/>
              </w:rPr>
            </w:pPr>
            <w:r w:rsidRPr="00C4756F">
              <w:rPr>
                <w:rFonts w:eastAsia="Times New Roman" w:cs="Times New Roman"/>
                <w:sz w:val="20"/>
                <w:szCs w:val="20"/>
                <w:lang w:eastAsia="cs-CZ"/>
              </w:rPr>
              <w:t>96</w:t>
            </w:r>
            <w:r>
              <w:rPr>
                <w:rFonts w:eastAsia="Times New Roman" w:cs="Times New Roman"/>
                <w:sz w:val="20"/>
                <w:szCs w:val="20"/>
                <w:lang w:eastAsia="cs-CZ"/>
              </w:rPr>
              <w:t>,5</w:t>
            </w:r>
          </w:p>
          <w:p w14:paraId="22CDC0F3" w14:textId="77777777" w:rsidR="00184D1B" w:rsidRPr="00C4756F" w:rsidRDefault="00184D1B" w:rsidP="00184D1B">
            <w:pPr>
              <w:spacing w:after="0" w:line="240" w:lineRule="auto"/>
              <w:jc w:val="right"/>
              <w:rPr>
                <w:rFonts w:eastAsia="Times New Roman" w:cs="Times New Roman"/>
                <w:sz w:val="20"/>
                <w:szCs w:val="20"/>
                <w:lang w:eastAsia="cs-CZ"/>
              </w:rPr>
            </w:pPr>
            <w:r w:rsidRPr="00C4756F">
              <w:rPr>
                <w:rFonts w:eastAsia="Times New Roman" w:cs="Times New Roman"/>
                <w:sz w:val="20"/>
                <w:szCs w:val="20"/>
                <w:lang w:eastAsia="cs-CZ"/>
              </w:rPr>
              <w:t>95</w:t>
            </w:r>
            <w:r>
              <w:rPr>
                <w:rFonts w:eastAsia="Times New Roman" w:cs="Times New Roman"/>
                <w:sz w:val="20"/>
                <w:szCs w:val="20"/>
                <w:lang w:eastAsia="cs-CZ"/>
              </w:rPr>
              <w:t>,</w:t>
            </w:r>
            <w:r w:rsidRPr="00C4756F">
              <w:rPr>
                <w:rFonts w:eastAsia="Times New Roman" w:cs="Times New Roman"/>
                <w:sz w:val="20"/>
                <w:szCs w:val="20"/>
                <w:lang w:eastAsia="cs-CZ"/>
              </w:rPr>
              <w:t>9</w:t>
            </w:r>
          </w:p>
          <w:p w14:paraId="4A6FE159" w14:textId="77777777" w:rsidR="00184D1B" w:rsidRPr="0004200B" w:rsidRDefault="00184D1B" w:rsidP="00184D1B">
            <w:pPr>
              <w:spacing w:after="0" w:line="240" w:lineRule="auto"/>
              <w:jc w:val="right"/>
              <w:rPr>
                <w:rFonts w:eastAsia="Times New Roman" w:cs="Times New Roman"/>
                <w:sz w:val="20"/>
                <w:szCs w:val="20"/>
                <w:lang w:eastAsia="cs-CZ"/>
              </w:rPr>
            </w:pPr>
            <w:r w:rsidRPr="0004200B">
              <w:rPr>
                <w:rFonts w:eastAsia="Times New Roman" w:cs="Times New Roman"/>
                <w:sz w:val="20"/>
                <w:szCs w:val="20"/>
                <w:lang w:eastAsia="cs-CZ"/>
              </w:rPr>
              <w:t>97</w:t>
            </w:r>
            <w:r>
              <w:rPr>
                <w:rFonts w:eastAsia="Times New Roman" w:cs="Times New Roman"/>
                <w:sz w:val="20"/>
                <w:szCs w:val="20"/>
                <w:lang w:eastAsia="cs-CZ"/>
              </w:rPr>
              <w:t>,9</w:t>
            </w:r>
          </w:p>
          <w:p w14:paraId="41250094" w14:textId="77777777" w:rsidR="00184D1B" w:rsidRPr="0004200B" w:rsidRDefault="00184D1B" w:rsidP="00184D1B">
            <w:pPr>
              <w:spacing w:after="0" w:line="240" w:lineRule="auto"/>
              <w:jc w:val="right"/>
              <w:rPr>
                <w:rFonts w:eastAsia="Times New Roman" w:cs="Times New Roman"/>
                <w:sz w:val="20"/>
                <w:szCs w:val="20"/>
                <w:lang w:eastAsia="cs-CZ"/>
              </w:rPr>
            </w:pPr>
            <w:r w:rsidRPr="0004200B">
              <w:rPr>
                <w:rFonts w:eastAsia="Times New Roman" w:cs="Times New Roman"/>
                <w:sz w:val="20"/>
                <w:szCs w:val="20"/>
                <w:lang w:eastAsia="cs-CZ"/>
              </w:rPr>
              <w:t>93</w:t>
            </w:r>
            <w:r>
              <w:rPr>
                <w:rFonts w:eastAsia="Times New Roman" w:cs="Times New Roman"/>
                <w:sz w:val="20"/>
                <w:szCs w:val="20"/>
                <w:lang w:eastAsia="cs-CZ"/>
              </w:rPr>
              <w:t>,4</w:t>
            </w:r>
          </w:p>
          <w:p w14:paraId="43940129" w14:textId="77777777" w:rsidR="00184D1B" w:rsidRPr="005F0CD7" w:rsidRDefault="00184D1B" w:rsidP="00184D1B">
            <w:pPr>
              <w:spacing w:after="0" w:line="240" w:lineRule="auto"/>
              <w:jc w:val="right"/>
              <w:rPr>
                <w:rFonts w:eastAsia="Times New Roman" w:cs="Times New Roman"/>
                <w:b/>
                <w:color w:val="FF0000"/>
                <w:sz w:val="20"/>
                <w:szCs w:val="20"/>
                <w:lang w:eastAsia="cs-CZ"/>
              </w:rPr>
            </w:pPr>
            <w:r w:rsidRPr="0004200B">
              <w:rPr>
                <w:rFonts w:eastAsia="Times New Roman" w:cs="Times New Roman"/>
                <w:sz w:val="20"/>
                <w:szCs w:val="20"/>
                <w:lang w:eastAsia="cs-CZ"/>
              </w:rPr>
              <w:t>147</w:t>
            </w:r>
            <w:r>
              <w:rPr>
                <w:rFonts w:eastAsia="Times New Roman" w:cs="Times New Roman"/>
                <w:sz w:val="20"/>
                <w:szCs w:val="20"/>
                <w:lang w:eastAsia="cs-CZ"/>
              </w:rPr>
              <w:t>,8</w:t>
            </w:r>
          </w:p>
        </w:tc>
        <w:tc>
          <w:tcPr>
            <w:tcW w:w="851" w:type="dxa"/>
            <w:tcBorders>
              <w:top w:val="nil"/>
              <w:left w:val="single" w:sz="4" w:space="0" w:color="auto"/>
              <w:bottom w:val="single" w:sz="4" w:space="0" w:color="auto"/>
              <w:right w:val="single" w:sz="4" w:space="0" w:color="auto"/>
            </w:tcBorders>
          </w:tcPr>
          <w:p w14:paraId="1FFD621B" w14:textId="77777777" w:rsidR="00184D1B" w:rsidRPr="005F0CD7" w:rsidRDefault="00184D1B" w:rsidP="00184D1B">
            <w:pPr>
              <w:spacing w:after="0" w:line="240" w:lineRule="auto"/>
              <w:jc w:val="right"/>
              <w:rPr>
                <w:rFonts w:eastAsia="Times New Roman" w:cs="Times New Roman"/>
                <w:color w:val="FF0000"/>
                <w:sz w:val="20"/>
                <w:szCs w:val="20"/>
                <w:lang w:eastAsia="cs-CZ"/>
              </w:rPr>
            </w:pPr>
          </w:p>
          <w:p w14:paraId="56A961FA" w14:textId="77777777" w:rsidR="00184D1B" w:rsidRPr="0029318E" w:rsidRDefault="00184D1B" w:rsidP="00184D1B">
            <w:pPr>
              <w:spacing w:after="0" w:line="240" w:lineRule="auto"/>
              <w:jc w:val="right"/>
              <w:rPr>
                <w:rFonts w:eastAsia="Times New Roman" w:cs="Times New Roman"/>
                <w:sz w:val="20"/>
                <w:szCs w:val="20"/>
                <w:lang w:eastAsia="cs-CZ"/>
              </w:rPr>
            </w:pPr>
            <w:r w:rsidRPr="0029318E">
              <w:rPr>
                <w:rFonts w:eastAsia="Times New Roman" w:cs="Times New Roman"/>
                <w:sz w:val="20"/>
                <w:szCs w:val="20"/>
                <w:lang w:eastAsia="cs-CZ"/>
              </w:rPr>
              <w:t>102,6</w:t>
            </w:r>
          </w:p>
          <w:p w14:paraId="3B208831" w14:textId="77777777" w:rsidR="00184D1B" w:rsidRPr="0029318E" w:rsidRDefault="00184D1B" w:rsidP="00184D1B">
            <w:pPr>
              <w:spacing w:after="0" w:line="240" w:lineRule="auto"/>
              <w:jc w:val="right"/>
              <w:rPr>
                <w:rFonts w:eastAsia="Times New Roman" w:cs="Times New Roman"/>
                <w:sz w:val="20"/>
                <w:szCs w:val="20"/>
                <w:lang w:eastAsia="cs-CZ"/>
              </w:rPr>
            </w:pPr>
            <w:r w:rsidRPr="0029318E">
              <w:rPr>
                <w:rFonts w:eastAsia="Times New Roman" w:cs="Times New Roman"/>
                <w:sz w:val="20"/>
                <w:szCs w:val="20"/>
                <w:lang w:eastAsia="cs-CZ"/>
              </w:rPr>
              <w:t>102,4</w:t>
            </w:r>
          </w:p>
          <w:p w14:paraId="6A158781" w14:textId="77777777" w:rsidR="00184D1B" w:rsidRPr="0029318E" w:rsidRDefault="00184D1B" w:rsidP="00184D1B">
            <w:pPr>
              <w:spacing w:after="0" w:line="240" w:lineRule="auto"/>
              <w:jc w:val="right"/>
              <w:rPr>
                <w:rFonts w:eastAsia="Times New Roman" w:cs="Times New Roman"/>
                <w:sz w:val="20"/>
                <w:szCs w:val="20"/>
                <w:lang w:eastAsia="cs-CZ"/>
              </w:rPr>
            </w:pPr>
            <w:r w:rsidRPr="0029318E">
              <w:rPr>
                <w:rFonts w:eastAsia="Times New Roman" w:cs="Times New Roman"/>
                <w:sz w:val="20"/>
                <w:szCs w:val="20"/>
                <w:lang w:eastAsia="cs-CZ"/>
              </w:rPr>
              <w:t>102,6</w:t>
            </w:r>
          </w:p>
          <w:p w14:paraId="56FC598C" w14:textId="77777777" w:rsidR="00184D1B" w:rsidRPr="0029318E" w:rsidRDefault="00184D1B" w:rsidP="00184D1B">
            <w:pPr>
              <w:spacing w:after="0" w:line="240" w:lineRule="auto"/>
              <w:jc w:val="right"/>
              <w:rPr>
                <w:rFonts w:eastAsia="Times New Roman" w:cs="Times New Roman"/>
                <w:sz w:val="20"/>
                <w:szCs w:val="20"/>
                <w:lang w:eastAsia="cs-CZ"/>
              </w:rPr>
            </w:pPr>
            <w:r w:rsidRPr="0029318E">
              <w:rPr>
                <w:rFonts w:eastAsia="Times New Roman" w:cs="Times New Roman"/>
                <w:sz w:val="20"/>
                <w:szCs w:val="20"/>
                <w:lang w:eastAsia="cs-CZ"/>
              </w:rPr>
              <w:t>98,5</w:t>
            </w:r>
          </w:p>
          <w:p w14:paraId="2A04291A" w14:textId="77777777" w:rsidR="00184D1B" w:rsidRPr="005F0CD7" w:rsidRDefault="00184D1B" w:rsidP="00184D1B">
            <w:pPr>
              <w:spacing w:after="0" w:line="240" w:lineRule="auto"/>
              <w:jc w:val="right"/>
              <w:rPr>
                <w:rFonts w:eastAsia="Times New Roman" w:cs="Times New Roman"/>
                <w:b/>
                <w:color w:val="FF0000"/>
                <w:sz w:val="20"/>
                <w:szCs w:val="20"/>
                <w:lang w:eastAsia="cs-CZ"/>
              </w:rPr>
            </w:pPr>
            <w:r w:rsidRPr="0029318E">
              <w:rPr>
                <w:rFonts w:eastAsia="Times New Roman" w:cs="Times New Roman"/>
                <w:sz w:val="20"/>
                <w:szCs w:val="20"/>
                <w:lang w:eastAsia="cs-CZ"/>
              </w:rPr>
              <w:t>150,4</w:t>
            </w:r>
          </w:p>
        </w:tc>
      </w:tr>
      <w:tr w:rsidR="00184D1B" w:rsidRPr="00193111" w14:paraId="54AA3321" w14:textId="77777777" w:rsidTr="00184D1B">
        <w:trPr>
          <w:trHeight w:val="553"/>
        </w:trPr>
        <w:tc>
          <w:tcPr>
            <w:tcW w:w="3671" w:type="dxa"/>
            <w:tcBorders>
              <w:top w:val="single" w:sz="4" w:space="0" w:color="auto"/>
              <w:left w:val="single" w:sz="4" w:space="0" w:color="auto"/>
              <w:bottom w:val="nil"/>
              <w:right w:val="single" w:sz="4" w:space="0" w:color="auto"/>
            </w:tcBorders>
          </w:tcPr>
          <w:p w14:paraId="0F3C224B" w14:textId="77777777" w:rsidR="00184D1B" w:rsidRPr="006A755F" w:rsidRDefault="00184D1B" w:rsidP="00184D1B">
            <w:pPr>
              <w:spacing w:after="0" w:line="240" w:lineRule="auto"/>
              <w:jc w:val="both"/>
              <w:rPr>
                <w:rFonts w:eastAsia="Times New Roman" w:cs="Times New Roman"/>
                <w:b/>
                <w:bCs/>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Neinvestiční transfery příspěvkovým a</w:t>
            </w:r>
          </w:p>
          <w:p w14:paraId="10FC628D" w14:textId="77777777" w:rsidR="00184D1B" w:rsidRPr="006A755F" w:rsidRDefault="00184D1B" w:rsidP="00184D1B">
            <w:pPr>
              <w:spacing w:after="0" w:line="240" w:lineRule="auto"/>
              <w:jc w:val="both"/>
              <w:rPr>
                <w:rFonts w:eastAsia="Times New Roman" w:cs="Times New Roman"/>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 xml:space="preserve">podob. </w:t>
            </w:r>
            <w:proofErr w:type="spellStart"/>
            <w:r w:rsidRPr="006A755F">
              <w:rPr>
                <w:rFonts w:eastAsia="Times New Roman" w:cs="Times New Roman"/>
                <w:b/>
                <w:bCs/>
                <w:color w:val="2E74B5" w:themeColor="accent1" w:themeShade="BF"/>
                <w:sz w:val="20"/>
                <w:szCs w:val="20"/>
                <w:lang w:eastAsia="cs-CZ"/>
              </w:rPr>
              <w:t>org</w:t>
            </w:r>
            <w:proofErr w:type="spellEnd"/>
            <w:r w:rsidRPr="006A755F">
              <w:rPr>
                <w:rFonts w:eastAsia="Times New Roman" w:cs="Times New Roman"/>
                <w:b/>
                <w:bCs/>
                <w:color w:val="2E74B5" w:themeColor="accent1" w:themeShade="BF"/>
                <w:sz w:val="20"/>
                <w:szCs w:val="20"/>
                <w:lang w:eastAsia="cs-CZ"/>
              </w:rPr>
              <w:t>.</w:t>
            </w:r>
            <w:r w:rsidRPr="006A755F">
              <w:rPr>
                <w:rFonts w:eastAsia="Times New Roman" w:cs="Times New Roman"/>
                <w:color w:val="2E74B5" w:themeColor="accent1" w:themeShade="BF"/>
                <w:sz w:val="20"/>
                <w:szCs w:val="20"/>
                <w:lang w:eastAsia="cs-CZ"/>
              </w:rPr>
              <w:t xml:space="preserve"> (</w:t>
            </w:r>
            <w:proofErr w:type="spellStart"/>
            <w:r w:rsidRPr="006A755F">
              <w:rPr>
                <w:rFonts w:eastAsia="Times New Roman" w:cs="Times New Roman"/>
                <w:color w:val="2E74B5" w:themeColor="accent1" w:themeShade="BF"/>
                <w:sz w:val="20"/>
                <w:szCs w:val="20"/>
                <w:lang w:eastAsia="cs-CZ"/>
              </w:rPr>
              <w:t>podsesk</w:t>
            </w:r>
            <w:proofErr w:type="spellEnd"/>
            <w:r w:rsidRPr="006A755F">
              <w:rPr>
                <w:rFonts w:eastAsia="Times New Roman" w:cs="Times New Roman"/>
                <w:color w:val="2E74B5" w:themeColor="accent1" w:themeShade="BF"/>
                <w:sz w:val="20"/>
                <w:szCs w:val="20"/>
                <w:lang w:eastAsia="cs-CZ"/>
              </w:rPr>
              <w:t>. pol. 533)</w:t>
            </w:r>
          </w:p>
        </w:tc>
        <w:tc>
          <w:tcPr>
            <w:tcW w:w="1149" w:type="dxa"/>
            <w:tcBorders>
              <w:top w:val="single" w:sz="4" w:space="0" w:color="auto"/>
              <w:left w:val="single" w:sz="4" w:space="0" w:color="auto"/>
              <w:bottom w:val="nil"/>
              <w:right w:val="single" w:sz="4" w:space="0" w:color="auto"/>
            </w:tcBorders>
            <w:vAlign w:val="center"/>
          </w:tcPr>
          <w:p w14:paraId="3D5D83C1" w14:textId="77777777" w:rsidR="00184D1B" w:rsidRPr="006A755F" w:rsidRDefault="00184D1B" w:rsidP="00184D1B">
            <w:pPr>
              <w:spacing w:after="0" w:line="240" w:lineRule="auto"/>
              <w:jc w:val="right"/>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351 402</w:t>
            </w:r>
          </w:p>
        </w:tc>
        <w:tc>
          <w:tcPr>
            <w:tcW w:w="1119" w:type="dxa"/>
            <w:tcBorders>
              <w:top w:val="single" w:sz="4" w:space="0" w:color="auto"/>
              <w:left w:val="single" w:sz="4" w:space="0" w:color="auto"/>
              <w:bottom w:val="nil"/>
              <w:right w:val="single" w:sz="4" w:space="0" w:color="auto"/>
            </w:tcBorders>
            <w:vAlign w:val="center"/>
          </w:tcPr>
          <w:p w14:paraId="4794565C"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305CD3">
              <w:rPr>
                <w:rFonts w:eastAsia="Times New Roman" w:cs="Times New Roman"/>
                <w:b/>
                <w:color w:val="2E74B5" w:themeColor="accent1" w:themeShade="BF"/>
                <w:sz w:val="20"/>
                <w:szCs w:val="20"/>
                <w:lang w:eastAsia="cs-CZ"/>
              </w:rPr>
              <w:t>260 766</w:t>
            </w:r>
          </w:p>
        </w:tc>
        <w:tc>
          <w:tcPr>
            <w:tcW w:w="1134" w:type="dxa"/>
            <w:tcBorders>
              <w:top w:val="single" w:sz="4" w:space="0" w:color="auto"/>
              <w:left w:val="single" w:sz="4" w:space="0" w:color="auto"/>
              <w:bottom w:val="nil"/>
              <w:right w:val="single" w:sz="4" w:space="0" w:color="auto"/>
            </w:tcBorders>
            <w:vAlign w:val="center"/>
          </w:tcPr>
          <w:p w14:paraId="20C1D9B2"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3E60A5">
              <w:rPr>
                <w:rFonts w:eastAsia="Times New Roman" w:cs="Times New Roman"/>
                <w:b/>
                <w:color w:val="4472C4" w:themeColor="accent5"/>
                <w:sz w:val="20"/>
                <w:szCs w:val="20"/>
                <w:lang w:eastAsia="cs-CZ"/>
              </w:rPr>
              <w:t xml:space="preserve">1 160 228 </w:t>
            </w:r>
          </w:p>
        </w:tc>
        <w:tc>
          <w:tcPr>
            <w:tcW w:w="1149" w:type="dxa"/>
            <w:tcBorders>
              <w:top w:val="single" w:sz="4" w:space="0" w:color="auto"/>
              <w:left w:val="single" w:sz="4" w:space="0" w:color="auto"/>
              <w:bottom w:val="nil"/>
              <w:right w:val="single" w:sz="4" w:space="0" w:color="auto"/>
            </w:tcBorders>
            <w:vAlign w:val="center"/>
          </w:tcPr>
          <w:p w14:paraId="47C94613" w14:textId="77777777" w:rsidR="00184D1B" w:rsidRPr="008707E3" w:rsidRDefault="00184D1B" w:rsidP="00184D1B">
            <w:pPr>
              <w:spacing w:after="0" w:line="240" w:lineRule="auto"/>
              <w:jc w:val="center"/>
              <w:rPr>
                <w:rFonts w:eastAsia="Times New Roman" w:cs="Times New Roman"/>
                <w:b/>
                <w:color w:val="FF0000"/>
                <w:sz w:val="20"/>
                <w:szCs w:val="20"/>
                <w:lang w:eastAsia="cs-CZ"/>
              </w:rPr>
            </w:pPr>
            <w:r w:rsidRPr="003E60A5">
              <w:rPr>
                <w:rFonts w:eastAsia="Times New Roman" w:cs="Times New Roman"/>
                <w:b/>
                <w:color w:val="4472C4" w:themeColor="accent5"/>
                <w:sz w:val="20"/>
                <w:szCs w:val="20"/>
                <w:lang w:eastAsia="cs-CZ"/>
              </w:rPr>
              <w:t xml:space="preserve">    1 227 265</w:t>
            </w:r>
          </w:p>
        </w:tc>
        <w:tc>
          <w:tcPr>
            <w:tcW w:w="850" w:type="dxa"/>
            <w:tcBorders>
              <w:top w:val="single" w:sz="4" w:space="0" w:color="auto"/>
              <w:left w:val="single" w:sz="4" w:space="0" w:color="auto"/>
              <w:bottom w:val="nil"/>
              <w:right w:val="single" w:sz="4" w:space="0" w:color="auto"/>
            </w:tcBorders>
            <w:vAlign w:val="center"/>
          </w:tcPr>
          <w:p w14:paraId="0F921A87" w14:textId="77777777" w:rsidR="00184D1B" w:rsidRPr="00193111" w:rsidRDefault="00184D1B" w:rsidP="00184D1B">
            <w:pPr>
              <w:spacing w:after="0" w:line="240" w:lineRule="auto"/>
              <w:jc w:val="right"/>
              <w:rPr>
                <w:rFonts w:eastAsia="Times New Roman" w:cs="Times New Roman"/>
                <w:b/>
                <w:color w:val="4472C4" w:themeColor="accent5"/>
                <w:sz w:val="20"/>
                <w:szCs w:val="20"/>
                <w:lang w:eastAsia="cs-CZ"/>
              </w:rPr>
            </w:pPr>
            <w:r w:rsidRPr="00193111">
              <w:rPr>
                <w:rFonts w:eastAsia="Times New Roman" w:cs="Times New Roman"/>
                <w:b/>
                <w:color w:val="4472C4" w:themeColor="accent5"/>
                <w:sz w:val="20"/>
                <w:szCs w:val="20"/>
                <w:lang w:eastAsia="cs-CZ"/>
              </w:rPr>
              <w:t>105,8</w:t>
            </w:r>
          </w:p>
        </w:tc>
        <w:tc>
          <w:tcPr>
            <w:tcW w:w="851" w:type="dxa"/>
            <w:tcBorders>
              <w:top w:val="single" w:sz="4" w:space="0" w:color="auto"/>
              <w:left w:val="single" w:sz="4" w:space="0" w:color="auto"/>
              <w:bottom w:val="nil"/>
              <w:right w:val="single" w:sz="4" w:space="0" w:color="auto"/>
            </w:tcBorders>
            <w:vAlign w:val="center"/>
          </w:tcPr>
          <w:p w14:paraId="7310556D" w14:textId="77777777" w:rsidR="00184D1B" w:rsidRPr="00193111" w:rsidRDefault="00184D1B" w:rsidP="00184D1B">
            <w:pPr>
              <w:spacing w:after="0" w:line="240" w:lineRule="auto"/>
              <w:jc w:val="right"/>
              <w:rPr>
                <w:rFonts w:eastAsia="Times New Roman" w:cs="Times New Roman"/>
                <w:b/>
                <w:color w:val="4472C4" w:themeColor="accent5"/>
                <w:sz w:val="20"/>
                <w:szCs w:val="20"/>
                <w:lang w:eastAsia="cs-CZ"/>
              </w:rPr>
            </w:pPr>
            <w:r w:rsidRPr="00193111">
              <w:rPr>
                <w:rFonts w:eastAsia="Times New Roman" w:cs="Times New Roman"/>
                <w:b/>
                <w:color w:val="4472C4" w:themeColor="accent5"/>
                <w:sz w:val="20"/>
                <w:szCs w:val="20"/>
                <w:lang w:eastAsia="cs-CZ"/>
              </w:rPr>
              <w:t>349,2</w:t>
            </w:r>
          </w:p>
        </w:tc>
      </w:tr>
      <w:tr w:rsidR="00184D1B" w:rsidRPr="007F34AB" w14:paraId="0636FAFF" w14:textId="77777777" w:rsidTr="00184D1B">
        <w:trPr>
          <w:trHeight w:val="204"/>
        </w:trPr>
        <w:tc>
          <w:tcPr>
            <w:tcW w:w="3671" w:type="dxa"/>
            <w:tcBorders>
              <w:top w:val="nil"/>
              <w:left w:val="single" w:sz="4" w:space="0" w:color="auto"/>
              <w:bottom w:val="single" w:sz="4" w:space="0" w:color="auto"/>
              <w:right w:val="single" w:sz="4" w:space="0" w:color="auto"/>
            </w:tcBorders>
            <w:vAlign w:val="center"/>
          </w:tcPr>
          <w:p w14:paraId="20784EA2"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vAlign w:val="center"/>
          </w:tcPr>
          <w:p w14:paraId="426D67EE" w14:textId="77777777" w:rsidR="00184D1B" w:rsidRPr="006A755F" w:rsidRDefault="00184D1B" w:rsidP="00184D1B">
            <w:pPr>
              <w:spacing w:after="0" w:line="240" w:lineRule="auto"/>
              <w:jc w:val="right"/>
              <w:rPr>
                <w:rFonts w:eastAsia="Times New Roman" w:cs="Times New Roman"/>
                <w:color w:val="FF0000"/>
                <w:sz w:val="20"/>
                <w:szCs w:val="20"/>
                <w:lang w:eastAsia="cs-CZ"/>
              </w:rPr>
            </w:pPr>
            <w:r w:rsidRPr="006A755F">
              <w:rPr>
                <w:rFonts w:eastAsia="Times New Roman" w:cs="Times New Roman"/>
                <w:sz w:val="20"/>
                <w:szCs w:val="20"/>
                <w:lang w:eastAsia="cs-CZ"/>
              </w:rPr>
              <w:t>95 872</w:t>
            </w:r>
          </w:p>
        </w:tc>
        <w:tc>
          <w:tcPr>
            <w:tcW w:w="1119" w:type="dxa"/>
            <w:tcBorders>
              <w:top w:val="nil"/>
              <w:left w:val="single" w:sz="4" w:space="0" w:color="auto"/>
              <w:bottom w:val="single" w:sz="4" w:space="0" w:color="auto"/>
              <w:right w:val="single" w:sz="4" w:space="0" w:color="auto"/>
            </w:tcBorders>
            <w:vAlign w:val="center"/>
          </w:tcPr>
          <w:p w14:paraId="7A38EF72"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151327">
              <w:rPr>
                <w:rFonts w:eastAsia="Times New Roman" w:cs="Times New Roman"/>
                <w:sz w:val="20"/>
                <w:szCs w:val="20"/>
                <w:lang w:eastAsia="cs-CZ"/>
              </w:rPr>
              <w:t>118 143</w:t>
            </w:r>
          </w:p>
        </w:tc>
        <w:tc>
          <w:tcPr>
            <w:tcW w:w="1134" w:type="dxa"/>
            <w:tcBorders>
              <w:top w:val="nil"/>
              <w:left w:val="single" w:sz="4" w:space="0" w:color="auto"/>
              <w:bottom w:val="single" w:sz="4" w:space="0" w:color="auto"/>
              <w:right w:val="single" w:sz="4" w:space="0" w:color="auto"/>
            </w:tcBorders>
            <w:vAlign w:val="center"/>
          </w:tcPr>
          <w:p w14:paraId="7546EE62"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063A0D">
              <w:rPr>
                <w:rFonts w:eastAsia="Times New Roman" w:cs="Times New Roman"/>
                <w:sz w:val="20"/>
                <w:szCs w:val="20"/>
                <w:lang w:eastAsia="cs-CZ"/>
              </w:rPr>
              <w:t>139 550</w:t>
            </w:r>
          </w:p>
        </w:tc>
        <w:tc>
          <w:tcPr>
            <w:tcW w:w="1149" w:type="dxa"/>
            <w:tcBorders>
              <w:top w:val="nil"/>
              <w:left w:val="single" w:sz="4" w:space="0" w:color="auto"/>
              <w:bottom w:val="single" w:sz="4" w:space="0" w:color="auto"/>
              <w:right w:val="single" w:sz="4" w:space="0" w:color="auto"/>
            </w:tcBorders>
            <w:vAlign w:val="center"/>
          </w:tcPr>
          <w:p w14:paraId="3D341D1D" w14:textId="77777777" w:rsidR="00184D1B" w:rsidRPr="00063A0D" w:rsidRDefault="00184D1B" w:rsidP="00184D1B">
            <w:pPr>
              <w:spacing w:after="0" w:line="240" w:lineRule="auto"/>
              <w:jc w:val="right"/>
              <w:rPr>
                <w:rFonts w:eastAsia="Times New Roman" w:cs="Times New Roman"/>
                <w:sz w:val="20"/>
                <w:szCs w:val="20"/>
                <w:lang w:eastAsia="cs-CZ"/>
              </w:rPr>
            </w:pPr>
            <w:r w:rsidRPr="00063A0D">
              <w:rPr>
                <w:rFonts w:eastAsia="Times New Roman" w:cs="Times New Roman"/>
                <w:sz w:val="20"/>
                <w:szCs w:val="20"/>
                <w:lang w:eastAsia="cs-CZ"/>
              </w:rPr>
              <w:t>133 172</w:t>
            </w:r>
          </w:p>
        </w:tc>
        <w:tc>
          <w:tcPr>
            <w:tcW w:w="850" w:type="dxa"/>
            <w:tcBorders>
              <w:top w:val="nil"/>
              <w:left w:val="single" w:sz="4" w:space="0" w:color="auto"/>
              <w:bottom w:val="single" w:sz="4" w:space="0" w:color="auto"/>
              <w:right w:val="single" w:sz="4" w:space="0" w:color="auto"/>
            </w:tcBorders>
            <w:vAlign w:val="center"/>
          </w:tcPr>
          <w:p w14:paraId="134DB096" w14:textId="77777777" w:rsidR="00184D1B" w:rsidRPr="007F34AB" w:rsidRDefault="00184D1B" w:rsidP="00184D1B">
            <w:pPr>
              <w:spacing w:after="0" w:line="240" w:lineRule="auto"/>
              <w:jc w:val="right"/>
              <w:rPr>
                <w:rFonts w:eastAsia="Times New Roman" w:cs="Times New Roman"/>
                <w:sz w:val="20"/>
                <w:szCs w:val="20"/>
                <w:lang w:eastAsia="cs-CZ"/>
              </w:rPr>
            </w:pPr>
            <w:r w:rsidRPr="007F34AB">
              <w:rPr>
                <w:rFonts w:eastAsia="Times New Roman" w:cs="Times New Roman"/>
                <w:sz w:val="20"/>
                <w:szCs w:val="20"/>
                <w:lang w:eastAsia="cs-CZ"/>
              </w:rPr>
              <w:t xml:space="preserve">95,4 </w:t>
            </w:r>
          </w:p>
        </w:tc>
        <w:tc>
          <w:tcPr>
            <w:tcW w:w="851" w:type="dxa"/>
            <w:tcBorders>
              <w:top w:val="nil"/>
              <w:left w:val="single" w:sz="4" w:space="0" w:color="auto"/>
              <w:bottom w:val="single" w:sz="4" w:space="0" w:color="auto"/>
              <w:right w:val="single" w:sz="4" w:space="0" w:color="auto"/>
            </w:tcBorders>
            <w:vAlign w:val="center"/>
          </w:tcPr>
          <w:p w14:paraId="267C362C" w14:textId="77777777" w:rsidR="00184D1B" w:rsidRPr="007F34AB" w:rsidRDefault="00184D1B" w:rsidP="00184D1B">
            <w:pPr>
              <w:spacing w:after="0" w:line="240" w:lineRule="auto"/>
              <w:jc w:val="right"/>
              <w:rPr>
                <w:rFonts w:eastAsia="Times New Roman" w:cs="Times New Roman"/>
                <w:sz w:val="20"/>
                <w:szCs w:val="20"/>
                <w:lang w:eastAsia="cs-CZ"/>
              </w:rPr>
            </w:pPr>
            <w:r w:rsidRPr="007F34AB">
              <w:rPr>
                <w:rFonts w:eastAsia="Times New Roman" w:cs="Times New Roman"/>
                <w:sz w:val="20"/>
                <w:szCs w:val="20"/>
                <w:lang w:eastAsia="cs-CZ"/>
              </w:rPr>
              <w:t xml:space="preserve">138,9 </w:t>
            </w:r>
          </w:p>
        </w:tc>
      </w:tr>
      <w:tr w:rsidR="00184D1B" w:rsidRPr="00193111" w14:paraId="7F074A89" w14:textId="77777777" w:rsidTr="00184D1B">
        <w:tc>
          <w:tcPr>
            <w:tcW w:w="3671" w:type="dxa"/>
            <w:tcBorders>
              <w:top w:val="single" w:sz="4" w:space="0" w:color="auto"/>
              <w:left w:val="single" w:sz="4" w:space="0" w:color="auto"/>
              <w:bottom w:val="nil"/>
              <w:right w:val="single" w:sz="4" w:space="0" w:color="auto"/>
            </w:tcBorders>
          </w:tcPr>
          <w:p w14:paraId="0647C748" w14:textId="77777777" w:rsidR="00184D1B" w:rsidRPr="006A755F" w:rsidRDefault="00184D1B" w:rsidP="00184D1B">
            <w:pPr>
              <w:spacing w:after="0" w:line="240" w:lineRule="auto"/>
              <w:jc w:val="both"/>
              <w:rPr>
                <w:rFonts w:eastAsia="Times New Roman" w:cs="Times New Roman"/>
                <w:b/>
                <w:bCs/>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 xml:space="preserve">Neinvestiční dotace neziskovým </w:t>
            </w:r>
          </w:p>
          <w:p w14:paraId="0AB4C2F1" w14:textId="77777777" w:rsidR="00184D1B" w:rsidRPr="006A755F" w:rsidRDefault="00184D1B" w:rsidP="00184D1B">
            <w:pPr>
              <w:spacing w:after="0" w:line="240" w:lineRule="auto"/>
              <w:jc w:val="both"/>
              <w:rPr>
                <w:rFonts w:eastAsia="Times New Roman" w:cs="Times New Roman"/>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 xml:space="preserve">a podob. </w:t>
            </w:r>
            <w:proofErr w:type="spellStart"/>
            <w:r w:rsidRPr="006A755F">
              <w:rPr>
                <w:rFonts w:eastAsia="Times New Roman" w:cs="Times New Roman"/>
                <w:b/>
                <w:bCs/>
                <w:color w:val="2E74B5" w:themeColor="accent1" w:themeShade="BF"/>
                <w:sz w:val="20"/>
                <w:szCs w:val="20"/>
                <w:lang w:eastAsia="cs-CZ"/>
              </w:rPr>
              <w:t>org</w:t>
            </w:r>
            <w:proofErr w:type="spellEnd"/>
            <w:r w:rsidRPr="006A755F">
              <w:rPr>
                <w:rFonts w:eastAsia="Times New Roman" w:cs="Times New Roman"/>
                <w:b/>
                <w:bCs/>
                <w:color w:val="2E74B5" w:themeColor="accent1" w:themeShade="BF"/>
                <w:sz w:val="20"/>
                <w:szCs w:val="20"/>
                <w:lang w:eastAsia="cs-CZ"/>
              </w:rPr>
              <w:t xml:space="preserve">. </w:t>
            </w:r>
            <w:r w:rsidRPr="006A755F">
              <w:rPr>
                <w:rFonts w:eastAsia="Times New Roman" w:cs="Times New Roman"/>
                <w:color w:val="2E74B5" w:themeColor="accent1" w:themeShade="BF"/>
                <w:sz w:val="20"/>
                <w:szCs w:val="20"/>
                <w:lang w:eastAsia="cs-CZ"/>
              </w:rPr>
              <w:t>(</w:t>
            </w:r>
            <w:proofErr w:type="spellStart"/>
            <w:r w:rsidRPr="006A755F">
              <w:rPr>
                <w:rFonts w:eastAsia="Times New Roman" w:cs="Times New Roman"/>
                <w:color w:val="2E74B5" w:themeColor="accent1" w:themeShade="BF"/>
                <w:sz w:val="20"/>
                <w:szCs w:val="20"/>
                <w:lang w:eastAsia="cs-CZ"/>
              </w:rPr>
              <w:t>podsesk</w:t>
            </w:r>
            <w:proofErr w:type="spellEnd"/>
            <w:r w:rsidRPr="006A755F">
              <w:rPr>
                <w:rFonts w:eastAsia="Times New Roman" w:cs="Times New Roman"/>
                <w:color w:val="2E74B5" w:themeColor="accent1" w:themeShade="BF"/>
                <w:sz w:val="20"/>
                <w:szCs w:val="20"/>
                <w:lang w:eastAsia="cs-CZ"/>
              </w:rPr>
              <w:t>. pol. 522)</w:t>
            </w:r>
          </w:p>
        </w:tc>
        <w:tc>
          <w:tcPr>
            <w:tcW w:w="1149" w:type="dxa"/>
            <w:tcBorders>
              <w:top w:val="single" w:sz="4" w:space="0" w:color="auto"/>
              <w:left w:val="single" w:sz="4" w:space="0" w:color="auto"/>
              <w:bottom w:val="nil"/>
              <w:right w:val="single" w:sz="4" w:space="0" w:color="auto"/>
            </w:tcBorders>
            <w:vAlign w:val="center"/>
          </w:tcPr>
          <w:p w14:paraId="53A74A5A" w14:textId="77777777" w:rsidR="00184D1B" w:rsidRPr="006A755F" w:rsidRDefault="00184D1B" w:rsidP="00184D1B">
            <w:pPr>
              <w:spacing w:after="0" w:line="240" w:lineRule="auto"/>
              <w:jc w:val="right"/>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11 920</w:t>
            </w:r>
          </w:p>
        </w:tc>
        <w:tc>
          <w:tcPr>
            <w:tcW w:w="1119" w:type="dxa"/>
            <w:tcBorders>
              <w:top w:val="single" w:sz="4" w:space="0" w:color="auto"/>
              <w:left w:val="single" w:sz="4" w:space="0" w:color="auto"/>
              <w:bottom w:val="nil"/>
              <w:right w:val="single" w:sz="4" w:space="0" w:color="auto"/>
            </w:tcBorders>
            <w:vAlign w:val="center"/>
          </w:tcPr>
          <w:p w14:paraId="53DC3E61"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305CD3">
              <w:rPr>
                <w:rFonts w:eastAsia="Times New Roman" w:cs="Times New Roman"/>
                <w:b/>
                <w:color w:val="2E74B5" w:themeColor="accent1" w:themeShade="BF"/>
                <w:sz w:val="20"/>
                <w:szCs w:val="20"/>
                <w:lang w:eastAsia="cs-CZ"/>
              </w:rPr>
              <w:t>10 933</w:t>
            </w:r>
          </w:p>
        </w:tc>
        <w:tc>
          <w:tcPr>
            <w:tcW w:w="1134" w:type="dxa"/>
            <w:tcBorders>
              <w:top w:val="single" w:sz="4" w:space="0" w:color="auto"/>
              <w:left w:val="single" w:sz="4" w:space="0" w:color="auto"/>
              <w:bottom w:val="nil"/>
              <w:right w:val="single" w:sz="4" w:space="0" w:color="auto"/>
            </w:tcBorders>
            <w:vAlign w:val="center"/>
          </w:tcPr>
          <w:p w14:paraId="4351E75B"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79569C">
              <w:rPr>
                <w:rFonts w:eastAsia="Times New Roman" w:cs="Times New Roman"/>
                <w:b/>
                <w:color w:val="4472C4" w:themeColor="accent5"/>
                <w:sz w:val="20"/>
                <w:szCs w:val="20"/>
                <w:lang w:eastAsia="cs-CZ"/>
              </w:rPr>
              <w:t>12 409</w:t>
            </w:r>
          </w:p>
        </w:tc>
        <w:tc>
          <w:tcPr>
            <w:tcW w:w="1149" w:type="dxa"/>
            <w:tcBorders>
              <w:top w:val="single" w:sz="4" w:space="0" w:color="auto"/>
              <w:left w:val="single" w:sz="4" w:space="0" w:color="auto"/>
              <w:bottom w:val="nil"/>
              <w:right w:val="single" w:sz="4" w:space="0" w:color="auto"/>
            </w:tcBorders>
            <w:vAlign w:val="center"/>
          </w:tcPr>
          <w:p w14:paraId="382558EA"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Pr>
                <w:rFonts w:eastAsia="Times New Roman" w:cs="Times New Roman"/>
                <w:b/>
                <w:color w:val="4472C4" w:themeColor="accent5"/>
                <w:sz w:val="20"/>
                <w:szCs w:val="20"/>
                <w:lang w:eastAsia="cs-CZ"/>
              </w:rPr>
              <w:t>13 109</w:t>
            </w:r>
          </w:p>
        </w:tc>
        <w:tc>
          <w:tcPr>
            <w:tcW w:w="850" w:type="dxa"/>
            <w:tcBorders>
              <w:top w:val="single" w:sz="4" w:space="0" w:color="auto"/>
              <w:left w:val="single" w:sz="4" w:space="0" w:color="auto"/>
              <w:bottom w:val="nil"/>
              <w:right w:val="single" w:sz="4" w:space="0" w:color="auto"/>
            </w:tcBorders>
            <w:vAlign w:val="center"/>
          </w:tcPr>
          <w:p w14:paraId="0BD0CE18" w14:textId="77777777" w:rsidR="00184D1B" w:rsidRPr="00193111" w:rsidRDefault="00184D1B" w:rsidP="00184D1B">
            <w:pPr>
              <w:spacing w:after="0" w:line="240" w:lineRule="auto"/>
              <w:jc w:val="right"/>
              <w:rPr>
                <w:rFonts w:eastAsia="Times New Roman" w:cs="Times New Roman"/>
                <w:b/>
                <w:color w:val="4472C4" w:themeColor="accent5"/>
                <w:sz w:val="20"/>
                <w:szCs w:val="20"/>
                <w:lang w:eastAsia="cs-CZ"/>
              </w:rPr>
            </w:pPr>
            <w:r w:rsidRPr="00193111">
              <w:rPr>
                <w:rFonts w:eastAsia="Times New Roman" w:cs="Times New Roman"/>
                <w:b/>
                <w:color w:val="4472C4" w:themeColor="accent5"/>
                <w:sz w:val="20"/>
                <w:szCs w:val="20"/>
                <w:lang w:eastAsia="cs-CZ"/>
              </w:rPr>
              <w:t>105,6</w:t>
            </w:r>
          </w:p>
        </w:tc>
        <w:tc>
          <w:tcPr>
            <w:tcW w:w="851" w:type="dxa"/>
            <w:tcBorders>
              <w:top w:val="single" w:sz="4" w:space="0" w:color="auto"/>
              <w:left w:val="single" w:sz="4" w:space="0" w:color="auto"/>
              <w:bottom w:val="nil"/>
              <w:right w:val="single" w:sz="4" w:space="0" w:color="auto"/>
            </w:tcBorders>
            <w:vAlign w:val="center"/>
          </w:tcPr>
          <w:p w14:paraId="647F3453" w14:textId="77777777" w:rsidR="00184D1B" w:rsidRPr="00193111" w:rsidRDefault="00184D1B" w:rsidP="00184D1B">
            <w:pPr>
              <w:spacing w:after="0" w:line="240" w:lineRule="auto"/>
              <w:jc w:val="right"/>
              <w:rPr>
                <w:rFonts w:eastAsia="Times New Roman" w:cs="Times New Roman"/>
                <w:b/>
                <w:color w:val="4472C4" w:themeColor="accent5"/>
                <w:sz w:val="20"/>
                <w:szCs w:val="20"/>
                <w:lang w:eastAsia="cs-CZ"/>
              </w:rPr>
            </w:pPr>
            <w:r w:rsidRPr="00193111">
              <w:rPr>
                <w:rFonts w:eastAsia="Times New Roman" w:cs="Times New Roman"/>
                <w:b/>
                <w:color w:val="4472C4" w:themeColor="accent5"/>
                <w:sz w:val="20"/>
                <w:szCs w:val="20"/>
                <w:lang w:eastAsia="cs-CZ"/>
              </w:rPr>
              <w:t>110,0</w:t>
            </w:r>
          </w:p>
        </w:tc>
      </w:tr>
      <w:tr w:rsidR="00184D1B" w:rsidRPr="008D6B67" w14:paraId="5D01C24B" w14:textId="77777777" w:rsidTr="00184D1B">
        <w:tc>
          <w:tcPr>
            <w:tcW w:w="3671" w:type="dxa"/>
            <w:tcBorders>
              <w:top w:val="nil"/>
              <w:left w:val="single" w:sz="4" w:space="0" w:color="auto"/>
              <w:bottom w:val="single" w:sz="4" w:space="0" w:color="auto"/>
              <w:right w:val="single" w:sz="4" w:space="0" w:color="auto"/>
            </w:tcBorders>
          </w:tcPr>
          <w:p w14:paraId="55C369AC" w14:textId="77777777" w:rsidR="00184D1B" w:rsidRPr="006A755F" w:rsidRDefault="00184D1B" w:rsidP="00184D1B">
            <w:pPr>
              <w:spacing w:after="0" w:line="240" w:lineRule="auto"/>
              <w:jc w:val="both"/>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vAlign w:val="center"/>
          </w:tcPr>
          <w:p w14:paraId="44B9C7B9" w14:textId="77777777" w:rsidR="00184D1B" w:rsidRPr="006A755F" w:rsidRDefault="00184D1B" w:rsidP="00184D1B">
            <w:pPr>
              <w:spacing w:after="0" w:line="240" w:lineRule="auto"/>
              <w:jc w:val="right"/>
              <w:rPr>
                <w:rFonts w:eastAsia="Times New Roman" w:cs="Times New Roman"/>
                <w:color w:val="FF0000"/>
                <w:sz w:val="20"/>
                <w:szCs w:val="20"/>
                <w:lang w:eastAsia="cs-CZ"/>
              </w:rPr>
            </w:pPr>
            <w:r w:rsidRPr="006A755F">
              <w:rPr>
                <w:rFonts w:eastAsia="Times New Roman" w:cs="Times New Roman"/>
                <w:sz w:val="20"/>
                <w:szCs w:val="20"/>
                <w:lang w:eastAsia="cs-CZ"/>
              </w:rPr>
              <w:t>11 920</w:t>
            </w:r>
          </w:p>
        </w:tc>
        <w:tc>
          <w:tcPr>
            <w:tcW w:w="1119" w:type="dxa"/>
            <w:tcBorders>
              <w:top w:val="nil"/>
              <w:left w:val="single" w:sz="4" w:space="0" w:color="auto"/>
              <w:bottom w:val="single" w:sz="4" w:space="0" w:color="auto"/>
              <w:right w:val="single" w:sz="4" w:space="0" w:color="auto"/>
            </w:tcBorders>
            <w:vAlign w:val="center"/>
          </w:tcPr>
          <w:p w14:paraId="262FCEB0"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5A4121">
              <w:rPr>
                <w:rFonts w:eastAsia="Times New Roman" w:cs="Times New Roman"/>
                <w:sz w:val="20"/>
                <w:szCs w:val="20"/>
                <w:lang w:eastAsia="cs-CZ"/>
              </w:rPr>
              <w:t>10 933</w:t>
            </w:r>
          </w:p>
        </w:tc>
        <w:tc>
          <w:tcPr>
            <w:tcW w:w="1134" w:type="dxa"/>
            <w:tcBorders>
              <w:top w:val="nil"/>
              <w:left w:val="single" w:sz="4" w:space="0" w:color="auto"/>
              <w:bottom w:val="single" w:sz="4" w:space="0" w:color="auto"/>
              <w:right w:val="single" w:sz="4" w:space="0" w:color="auto"/>
            </w:tcBorders>
            <w:vAlign w:val="center"/>
          </w:tcPr>
          <w:p w14:paraId="1318FE8C"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79569C">
              <w:rPr>
                <w:rFonts w:eastAsia="Times New Roman" w:cs="Times New Roman"/>
                <w:sz w:val="20"/>
                <w:szCs w:val="20"/>
                <w:lang w:eastAsia="cs-CZ"/>
              </w:rPr>
              <w:t>12 409</w:t>
            </w:r>
          </w:p>
        </w:tc>
        <w:tc>
          <w:tcPr>
            <w:tcW w:w="1149" w:type="dxa"/>
            <w:tcBorders>
              <w:top w:val="nil"/>
              <w:left w:val="single" w:sz="4" w:space="0" w:color="auto"/>
              <w:bottom w:val="single" w:sz="4" w:space="0" w:color="auto"/>
              <w:right w:val="single" w:sz="4" w:space="0" w:color="auto"/>
            </w:tcBorders>
            <w:vAlign w:val="center"/>
          </w:tcPr>
          <w:p w14:paraId="40E9F4B6"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79569C">
              <w:rPr>
                <w:rFonts w:eastAsia="Times New Roman" w:cs="Times New Roman"/>
                <w:sz w:val="20"/>
                <w:szCs w:val="20"/>
                <w:lang w:eastAsia="cs-CZ"/>
              </w:rPr>
              <w:t>13 109</w:t>
            </w:r>
          </w:p>
        </w:tc>
        <w:tc>
          <w:tcPr>
            <w:tcW w:w="850" w:type="dxa"/>
            <w:tcBorders>
              <w:top w:val="nil"/>
              <w:left w:val="single" w:sz="4" w:space="0" w:color="auto"/>
              <w:bottom w:val="single" w:sz="4" w:space="0" w:color="auto"/>
              <w:right w:val="single" w:sz="4" w:space="0" w:color="auto"/>
            </w:tcBorders>
            <w:vAlign w:val="center"/>
          </w:tcPr>
          <w:p w14:paraId="6A5DB844" w14:textId="77777777" w:rsidR="00184D1B" w:rsidRPr="008D6B67" w:rsidRDefault="00184D1B" w:rsidP="00184D1B">
            <w:pPr>
              <w:spacing w:after="0" w:line="240" w:lineRule="auto"/>
              <w:jc w:val="right"/>
              <w:rPr>
                <w:rFonts w:eastAsia="Times New Roman" w:cs="Times New Roman"/>
                <w:sz w:val="20"/>
                <w:szCs w:val="20"/>
                <w:lang w:eastAsia="cs-CZ"/>
              </w:rPr>
            </w:pPr>
            <w:r w:rsidRPr="008D6B67">
              <w:rPr>
                <w:rFonts w:eastAsia="Times New Roman" w:cs="Times New Roman"/>
                <w:sz w:val="20"/>
                <w:szCs w:val="20"/>
                <w:lang w:eastAsia="cs-CZ"/>
              </w:rPr>
              <w:t>105,6</w:t>
            </w:r>
          </w:p>
        </w:tc>
        <w:tc>
          <w:tcPr>
            <w:tcW w:w="851" w:type="dxa"/>
            <w:tcBorders>
              <w:top w:val="nil"/>
              <w:left w:val="single" w:sz="4" w:space="0" w:color="auto"/>
              <w:bottom w:val="single" w:sz="4" w:space="0" w:color="auto"/>
              <w:right w:val="single" w:sz="4" w:space="0" w:color="auto"/>
            </w:tcBorders>
            <w:vAlign w:val="center"/>
          </w:tcPr>
          <w:p w14:paraId="2872F3DA" w14:textId="77777777" w:rsidR="00184D1B" w:rsidRPr="008D6B67" w:rsidRDefault="00184D1B" w:rsidP="00184D1B">
            <w:pPr>
              <w:spacing w:after="0" w:line="240" w:lineRule="auto"/>
              <w:jc w:val="right"/>
              <w:rPr>
                <w:rFonts w:eastAsia="Times New Roman" w:cs="Times New Roman"/>
                <w:sz w:val="20"/>
                <w:szCs w:val="20"/>
                <w:lang w:eastAsia="cs-CZ"/>
              </w:rPr>
            </w:pPr>
            <w:r w:rsidRPr="008D6B67">
              <w:rPr>
                <w:rFonts w:eastAsia="Times New Roman" w:cs="Times New Roman"/>
                <w:sz w:val="20"/>
                <w:szCs w:val="20"/>
                <w:lang w:eastAsia="cs-CZ"/>
              </w:rPr>
              <w:t>110,0</w:t>
            </w:r>
          </w:p>
        </w:tc>
      </w:tr>
      <w:tr w:rsidR="00184D1B" w:rsidRPr="00AF582A" w14:paraId="1A944C92" w14:textId="77777777" w:rsidTr="00184D1B">
        <w:trPr>
          <w:trHeight w:val="831"/>
        </w:trPr>
        <w:tc>
          <w:tcPr>
            <w:tcW w:w="3671" w:type="dxa"/>
            <w:tcBorders>
              <w:top w:val="single" w:sz="4" w:space="0" w:color="auto"/>
              <w:left w:val="single" w:sz="4" w:space="0" w:color="auto"/>
              <w:bottom w:val="nil"/>
              <w:right w:val="single" w:sz="4" w:space="0" w:color="auto"/>
            </w:tcBorders>
          </w:tcPr>
          <w:p w14:paraId="278797C1" w14:textId="77777777" w:rsidR="00184D1B" w:rsidRPr="006A755F" w:rsidRDefault="00184D1B" w:rsidP="00184D1B">
            <w:pPr>
              <w:spacing w:after="0" w:line="240" w:lineRule="auto"/>
              <w:rPr>
                <w:rFonts w:eastAsia="Times New Roman" w:cs="Times New Roman"/>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 xml:space="preserve">Neinvestiční transfery veřejným rozpočtům územní úrovně </w:t>
            </w:r>
            <w:r w:rsidRPr="006A755F">
              <w:rPr>
                <w:rFonts w:eastAsia="Times New Roman" w:cs="Times New Roman"/>
                <w:b/>
                <w:bCs/>
                <w:color w:val="2E74B5" w:themeColor="accent1" w:themeShade="BF"/>
                <w:sz w:val="20"/>
                <w:szCs w:val="20"/>
                <w:lang w:eastAsia="cs-CZ"/>
              </w:rPr>
              <w:br/>
            </w:r>
            <w:r w:rsidRPr="006A755F">
              <w:rPr>
                <w:rFonts w:eastAsia="Times New Roman" w:cs="Times New Roman"/>
                <w:color w:val="2E74B5" w:themeColor="accent1" w:themeShade="BF"/>
                <w:sz w:val="20"/>
                <w:szCs w:val="20"/>
                <w:lang w:eastAsia="cs-CZ"/>
              </w:rPr>
              <w:t>(</w:t>
            </w:r>
            <w:proofErr w:type="spellStart"/>
            <w:r w:rsidRPr="006A755F">
              <w:rPr>
                <w:rFonts w:eastAsia="Times New Roman" w:cs="Times New Roman"/>
                <w:color w:val="2E74B5" w:themeColor="accent1" w:themeShade="BF"/>
                <w:sz w:val="20"/>
                <w:szCs w:val="20"/>
                <w:lang w:eastAsia="cs-CZ"/>
              </w:rPr>
              <w:t>podsesk</w:t>
            </w:r>
            <w:proofErr w:type="spellEnd"/>
            <w:r w:rsidRPr="006A755F">
              <w:rPr>
                <w:rFonts w:eastAsia="Times New Roman" w:cs="Times New Roman"/>
                <w:color w:val="2E74B5" w:themeColor="accent1" w:themeShade="BF"/>
                <w:sz w:val="20"/>
                <w:szCs w:val="20"/>
                <w:lang w:eastAsia="cs-CZ"/>
              </w:rPr>
              <w:t>. po. 532)</w:t>
            </w:r>
          </w:p>
        </w:tc>
        <w:tc>
          <w:tcPr>
            <w:tcW w:w="1149" w:type="dxa"/>
            <w:tcBorders>
              <w:top w:val="single" w:sz="4" w:space="0" w:color="auto"/>
              <w:left w:val="single" w:sz="4" w:space="0" w:color="auto"/>
              <w:bottom w:val="nil"/>
              <w:right w:val="single" w:sz="4" w:space="0" w:color="auto"/>
            </w:tcBorders>
            <w:vAlign w:val="center"/>
          </w:tcPr>
          <w:p w14:paraId="17D59F28" w14:textId="77777777" w:rsidR="00184D1B" w:rsidRPr="006A755F" w:rsidRDefault="00184D1B" w:rsidP="00184D1B">
            <w:pPr>
              <w:spacing w:after="0" w:line="240" w:lineRule="auto"/>
              <w:jc w:val="right"/>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 xml:space="preserve">3 301 945 </w:t>
            </w:r>
          </w:p>
        </w:tc>
        <w:tc>
          <w:tcPr>
            <w:tcW w:w="1119" w:type="dxa"/>
            <w:tcBorders>
              <w:top w:val="single" w:sz="4" w:space="0" w:color="auto"/>
              <w:left w:val="single" w:sz="4" w:space="0" w:color="auto"/>
              <w:bottom w:val="nil"/>
              <w:right w:val="single" w:sz="4" w:space="0" w:color="auto"/>
            </w:tcBorders>
            <w:vAlign w:val="center"/>
          </w:tcPr>
          <w:p w14:paraId="7947856A"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305CD3">
              <w:rPr>
                <w:rFonts w:eastAsia="Times New Roman" w:cs="Times New Roman"/>
                <w:b/>
                <w:color w:val="2E74B5" w:themeColor="accent1" w:themeShade="BF"/>
                <w:sz w:val="20"/>
                <w:szCs w:val="20"/>
                <w:lang w:eastAsia="cs-CZ"/>
              </w:rPr>
              <w:t xml:space="preserve">3 608 251 </w:t>
            </w:r>
          </w:p>
        </w:tc>
        <w:tc>
          <w:tcPr>
            <w:tcW w:w="1134" w:type="dxa"/>
            <w:tcBorders>
              <w:top w:val="single" w:sz="4" w:space="0" w:color="auto"/>
              <w:left w:val="single" w:sz="4" w:space="0" w:color="auto"/>
              <w:bottom w:val="nil"/>
              <w:right w:val="single" w:sz="4" w:space="0" w:color="auto"/>
            </w:tcBorders>
            <w:vAlign w:val="center"/>
          </w:tcPr>
          <w:p w14:paraId="47D62313"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C9495A">
              <w:rPr>
                <w:rFonts w:eastAsia="Times New Roman" w:cs="Times New Roman"/>
                <w:b/>
                <w:color w:val="4472C4" w:themeColor="accent5"/>
                <w:sz w:val="20"/>
                <w:szCs w:val="20"/>
                <w:lang w:eastAsia="cs-CZ"/>
              </w:rPr>
              <w:t>3 608 251</w:t>
            </w:r>
          </w:p>
        </w:tc>
        <w:tc>
          <w:tcPr>
            <w:tcW w:w="1149" w:type="dxa"/>
            <w:tcBorders>
              <w:top w:val="single" w:sz="4" w:space="0" w:color="auto"/>
              <w:left w:val="single" w:sz="4" w:space="0" w:color="auto"/>
              <w:bottom w:val="nil"/>
              <w:right w:val="single" w:sz="4" w:space="0" w:color="auto"/>
            </w:tcBorders>
            <w:vAlign w:val="center"/>
          </w:tcPr>
          <w:p w14:paraId="7D0C7B92"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C9495A">
              <w:rPr>
                <w:rFonts w:eastAsia="Times New Roman" w:cs="Times New Roman"/>
                <w:b/>
                <w:color w:val="4472C4" w:themeColor="accent5"/>
                <w:sz w:val="20"/>
                <w:szCs w:val="20"/>
                <w:lang w:eastAsia="cs-CZ"/>
              </w:rPr>
              <w:t xml:space="preserve">3 406 263 </w:t>
            </w:r>
          </w:p>
        </w:tc>
        <w:tc>
          <w:tcPr>
            <w:tcW w:w="850" w:type="dxa"/>
            <w:tcBorders>
              <w:top w:val="single" w:sz="4" w:space="0" w:color="auto"/>
              <w:left w:val="single" w:sz="4" w:space="0" w:color="auto"/>
              <w:bottom w:val="nil"/>
              <w:right w:val="single" w:sz="4" w:space="0" w:color="auto"/>
            </w:tcBorders>
            <w:vAlign w:val="center"/>
          </w:tcPr>
          <w:p w14:paraId="62ED90EA" w14:textId="77777777" w:rsidR="00184D1B" w:rsidRPr="00AF582A" w:rsidRDefault="00184D1B" w:rsidP="00184D1B">
            <w:pPr>
              <w:spacing w:after="0" w:line="240" w:lineRule="auto"/>
              <w:jc w:val="right"/>
              <w:rPr>
                <w:rFonts w:eastAsia="Times New Roman" w:cs="Times New Roman"/>
                <w:b/>
                <w:color w:val="4472C4" w:themeColor="accent5"/>
                <w:sz w:val="20"/>
                <w:szCs w:val="20"/>
                <w:lang w:eastAsia="cs-CZ"/>
              </w:rPr>
            </w:pPr>
            <w:r w:rsidRPr="00AF582A">
              <w:rPr>
                <w:rFonts w:eastAsia="Times New Roman" w:cs="Times New Roman"/>
                <w:b/>
                <w:color w:val="4472C4" w:themeColor="accent5"/>
                <w:sz w:val="20"/>
                <w:szCs w:val="20"/>
                <w:lang w:eastAsia="cs-CZ"/>
              </w:rPr>
              <w:t>94,4</w:t>
            </w:r>
          </w:p>
        </w:tc>
        <w:tc>
          <w:tcPr>
            <w:tcW w:w="851" w:type="dxa"/>
            <w:tcBorders>
              <w:top w:val="single" w:sz="4" w:space="0" w:color="auto"/>
              <w:left w:val="single" w:sz="4" w:space="0" w:color="auto"/>
              <w:bottom w:val="nil"/>
              <w:right w:val="single" w:sz="4" w:space="0" w:color="auto"/>
            </w:tcBorders>
            <w:vAlign w:val="center"/>
          </w:tcPr>
          <w:p w14:paraId="4EDD4B08" w14:textId="77777777" w:rsidR="00184D1B" w:rsidRPr="00AF582A" w:rsidRDefault="00184D1B" w:rsidP="00184D1B">
            <w:pPr>
              <w:spacing w:after="0" w:line="240" w:lineRule="auto"/>
              <w:jc w:val="right"/>
              <w:rPr>
                <w:rFonts w:eastAsia="Times New Roman" w:cs="Times New Roman"/>
                <w:b/>
                <w:color w:val="4472C4" w:themeColor="accent5"/>
                <w:sz w:val="20"/>
                <w:szCs w:val="20"/>
                <w:lang w:eastAsia="cs-CZ"/>
              </w:rPr>
            </w:pPr>
            <w:r w:rsidRPr="00AF582A">
              <w:rPr>
                <w:rFonts w:eastAsia="Times New Roman" w:cs="Times New Roman"/>
                <w:b/>
                <w:color w:val="4472C4" w:themeColor="accent5"/>
                <w:sz w:val="20"/>
                <w:szCs w:val="20"/>
                <w:lang w:eastAsia="cs-CZ"/>
              </w:rPr>
              <w:t>103,2</w:t>
            </w:r>
          </w:p>
        </w:tc>
      </w:tr>
      <w:tr w:rsidR="00184D1B" w:rsidRPr="003574B5" w14:paraId="479C6F52" w14:textId="77777777" w:rsidTr="00184D1B">
        <w:trPr>
          <w:trHeight w:val="262"/>
        </w:trPr>
        <w:tc>
          <w:tcPr>
            <w:tcW w:w="3671" w:type="dxa"/>
            <w:tcBorders>
              <w:top w:val="nil"/>
              <w:left w:val="single" w:sz="4" w:space="0" w:color="auto"/>
              <w:bottom w:val="single" w:sz="4" w:space="0" w:color="auto"/>
              <w:right w:val="single" w:sz="4" w:space="0" w:color="auto"/>
            </w:tcBorders>
          </w:tcPr>
          <w:p w14:paraId="464A4EA3" w14:textId="77777777" w:rsidR="00184D1B" w:rsidRPr="006A755F" w:rsidRDefault="00184D1B" w:rsidP="00184D1B">
            <w:pPr>
              <w:spacing w:after="0" w:line="240" w:lineRule="auto"/>
              <w:jc w:val="both"/>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tcPr>
          <w:p w14:paraId="2BB795A3" w14:textId="77777777" w:rsidR="00184D1B" w:rsidRPr="006A755F" w:rsidRDefault="00184D1B" w:rsidP="00184D1B">
            <w:pPr>
              <w:spacing w:after="0" w:line="240" w:lineRule="auto"/>
              <w:jc w:val="right"/>
              <w:rPr>
                <w:rFonts w:eastAsia="Times New Roman" w:cs="Times New Roman"/>
                <w:color w:val="FF0000"/>
                <w:sz w:val="20"/>
                <w:szCs w:val="20"/>
                <w:lang w:eastAsia="cs-CZ"/>
              </w:rPr>
            </w:pPr>
            <w:r w:rsidRPr="006A755F">
              <w:rPr>
                <w:rFonts w:eastAsia="Times New Roman" w:cs="Times New Roman"/>
                <w:sz w:val="20"/>
                <w:szCs w:val="20"/>
                <w:lang w:eastAsia="cs-CZ"/>
              </w:rPr>
              <w:t>3 301 945</w:t>
            </w:r>
          </w:p>
        </w:tc>
        <w:tc>
          <w:tcPr>
            <w:tcW w:w="1119" w:type="dxa"/>
            <w:tcBorders>
              <w:top w:val="nil"/>
              <w:left w:val="single" w:sz="4" w:space="0" w:color="auto"/>
              <w:bottom w:val="single" w:sz="4" w:space="0" w:color="auto"/>
              <w:right w:val="single" w:sz="4" w:space="0" w:color="auto"/>
            </w:tcBorders>
          </w:tcPr>
          <w:p w14:paraId="3CF46090"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5A4121">
              <w:rPr>
                <w:rFonts w:eastAsia="Times New Roman" w:cs="Times New Roman"/>
                <w:sz w:val="20"/>
                <w:szCs w:val="20"/>
                <w:lang w:eastAsia="cs-CZ"/>
              </w:rPr>
              <w:t xml:space="preserve">3 608 251    </w:t>
            </w:r>
          </w:p>
        </w:tc>
        <w:tc>
          <w:tcPr>
            <w:tcW w:w="1134" w:type="dxa"/>
            <w:tcBorders>
              <w:top w:val="nil"/>
              <w:left w:val="single" w:sz="4" w:space="0" w:color="auto"/>
              <w:bottom w:val="single" w:sz="4" w:space="0" w:color="auto"/>
              <w:right w:val="single" w:sz="4" w:space="0" w:color="auto"/>
            </w:tcBorders>
          </w:tcPr>
          <w:p w14:paraId="06293FB2"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932467">
              <w:rPr>
                <w:rFonts w:eastAsia="Times New Roman" w:cs="Times New Roman"/>
                <w:sz w:val="20"/>
                <w:szCs w:val="20"/>
                <w:lang w:eastAsia="cs-CZ"/>
              </w:rPr>
              <w:t>3 608 251</w:t>
            </w:r>
          </w:p>
        </w:tc>
        <w:tc>
          <w:tcPr>
            <w:tcW w:w="1149" w:type="dxa"/>
            <w:tcBorders>
              <w:top w:val="nil"/>
              <w:left w:val="single" w:sz="4" w:space="0" w:color="auto"/>
              <w:bottom w:val="single" w:sz="4" w:space="0" w:color="auto"/>
              <w:right w:val="single" w:sz="4" w:space="0" w:color="auto"/>
            </w:tcBorders>
          </w:tcPr>
          <w:p w14:paraId="777D38CC" w14:textId="77777777" w:rsidR="00184D1B" w:rsidRPr="00932467" w:rsidRDefault="00184D1B" w:rsidP="00184D1B">
            <w:pPr>
              <w:spacing w:after="0" w:line="240" w:lineRule="auto"/>
              <w:jc w:val="right"/>
              <w:rPr>
                <w:rFonts w:eastAsia="Times New Roman" w:cs="Times New Roman"/>
                <w:color w:val="4472C4" w:themeColor="accent5"/>
                <w:sz w:val="20"/>
                <w:szCs w:val="20"/>
                <w:lang w:eastAsia="cs-CZ"/>
              </w:rPr>
            </w:pPr>
            <w:r w:rsidRPr="00932467">
              <w:rPr>
                <w:rFonts w:eastAsia="Times New Roman" w:cs="Times New Roman"/>
                <w:sz w:val="20"/>
                <w:szCs w:val="20"/>
                <w:lang w:eastAsia="cs-CZ"/>
              </w:rPr>
              <w:t>3 406 263</w:t>
            </w:r>
          </w:p>
        </w:tc>
        <w:tc>
          <w:tcPr>
            <w:tcW w:w="850" w:type="dxa"/>
            <w:tcBorders>
              <w:top w:val="nil"/>
              <w:left w:val="single" w:sz="4" w:space="0" w:color="auto"/>
              <w:bottom w:val="single" w:sz="4" w:space="0" w:color="auto"/>
              <w:right w:val="single" w:sz="4" w:space="0" w:color="auto"/>
            </w:tcBorders>
          </w:tcPr>
          <w:p w14:paraId="19F8DF99" w14:textId="77777777" w:rsidR="00184D1B" w:rsidRPr="003574B5" w:rsidRDefault="00184D1B" w:rsidP="00184D1B">
            <w:pPr>
              <w:spacing w:after="0" w:line="240" w:lineRule="auto"/>
              <w:jc w:val="right"/>
              <w:rPr>
                <w:rFonts w:eastAsia="Times New Roman" w:cs="Times New Roman"/>
                <w:bCs/>
                <w:sz w:val="20"/>
                <w:szCs w:val="20"/>
                <w:lang w:eastAsia="cs-CZ"/>
              </w:rPr>
            </w:pPr>
            <w:r w:rsidRPr="003574B5">
              <w:rPr>
                <w:rFonts w:eastAsia="Times New Roman" w:cs="Times New Roman"/>
                <w:sz w:val="20"/>
                <w:szCs w:val="20"/>
                <w:lang w:eastAsia="cs-CZ"/>
              </w:rPr>
              <w:t>94,4</w:t>
            </w:r>
          </w:p>
        </w:tc>
        <w:tc>
          <w:tcPr>
            <w:tcW w:w="851" w:type="dxa"/>
            <w:tcBorders>
              <w:top w:val="nil"/>
              <w:left w:val="single" w:sz="4" w:space="0" w:color="auto"/>
              <w:bottom w:val="single" w:sz="4" w:space="0" w:color="auto"/>
              <w:right w:val="single" w:sz="4" w:space="0" w:color="auto"/>
            </w:tcBorders>
          </w:tcPr>
          <w:p w14:paraId="7BA6C33A" w14:textId="77777777" w:rsidR="00184D1B" w:rsidRPr="003574B5" w:rsidRDefault="00184D1B" w:rsidP="00184D1B">
            <w:pPr>
              <w:spacing w:after="0" w:line="240" w:lineRule="auto"/>
              <w:jc w:val="right"/>
              <w:rPr>
                <w:rFonts w:eastAsia="Times New Roman" w:cs="Times New Roman"/>
                <w:sz w:val="20"/>
                <w:szCs w:val="20"/>
                <w:lang w:eastAsia="cs-CZ"/>
              </w:rPr>
            </w:pPr>
            <w:r w:rsidRPr="003574B5">
              <w:rPr>
                <w:rFonts w:eastAsia="Times New Roman" w:cs="Times New Roman"/>
                <w:sz w:val="20"/>
                <w:szCs w:val="20"/>
                <w:lang w:eastAsia="cs-CZ"/>
              </w:rPr>
              <w:t>103,2</w:t>
            </w:r>
          </w:p>
        </w:tc>
      </w:tr>
      <w:tr w:rsidR="00184D1B" w:rsidRPr="00C33A8E" w14:paraId="47C94024" w14:textId="77777777" w:rsidTr="00184D1B">
        <w:trPr>
          <w:trHeight w:val="805"/>
        </w:trPr>
        <w:tc>
          <w:tcPr>
            <w:tcW w:w="3671" w:type="dxa"/>
            <w:tcBorders>
              <w:top w:val="single" w:sz="4" w:space="0" w:color="auto"/>
              <w:left w:val="single" w:sz="4" w:space="0" w:color="auto"/>
              <w:bottom w:val="nil"/>
              <w:right w:val="single" w:sz="4" w:space="0" w:color="auto"/>
            </w:tcBorders>
          </w:tcPr>
          <w:p w14:paraId="57678251" w14:textId="77777777" w:rsidR="00184D1B" w:rsidRPr="006A755F" w:rsidRDefault="00184D1B" w:rsidP="00184D1B">
            <w:pPr>
              <w:spacing w:after="0" w:line="240" w:lineRule="auto"/>
              <w:jc w:val="both"/>
              <w:rPr>
                <w:rFonts w:eastAsia="Times New Roman" w:cs="Times New Roman"/>
                <w:b/>
                <w:bCs/>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Neinvestiční transfery podnikatelským subjektům</w:t>
            </w:r>
          </w:p>
          <w:p w14:paraId="38FF3BFC" w14:textId="77777777" w:rsidR="00184D1B" w:rsidRPr="006A755F" w:rsidRDefault="00184D1B" w:rsidP="00184D1B">
            <w:pPr>
              <w:spacing w:after="0" w:line="240" w:lineRule="auto"/>
              <w:jc w:val="both"/>
              <w:rPr>
                <w:rFonts w:eastAsia="Times New Roman" w:cs="Times New Roman"/>
                <w:color w:val="2E74B5" w:themeColor="accent1" w:themeShade="BF"/>
                <w:sz w:val="20"/>
                <w:szCs w:val="20"/>
                <w:lang w:eastAsia="cs-CZ"/>
              </w:rPr>
            </w:pPr>
            <w:r w:rsidRPr="006A755F">
              <w:rPr>
                <w:rFonts w:eastAsia="Times New Roman" w:cs="Times New Roman"/>
                <w:color w:val="2E74B5" w:themeColor="accent1" w:themeShade="BF"/>
                <w:sz w:val="20"/>
                <w:szCs w:val="20"/>
                <w:lang w:eastAsia="cs-CZ"/>
              </w:rPr>
              <w:t>(</w:t>
            </w:r>
            <w:proofErr w:type="spellStart"/>
            <w:r w:rsidRPr="006A755F">
              <w:rPr>
                <w:rFonts w:eastAsia="Times New Roman" w:cs="Times New Roman"/>
                <w:color w:val="2E74B5" w:themeColor="accent1" w:themeShade="BF"/>
                <w:sz w:val="20"/>
                <w:szCs w:val="20"/>
                <w:lang w:eastAsia="cs-CZ"/>
              </w:rPr>
              <w:t>podse</w:t>
            </w:r>
            <w:r>
              <w:rPr>
                <w:rFonts w:eastAsia="Times New Roman" w:cs="Times New Roman"/>
                <w:color w:val="2E74B5" w:themeColor="accent1" w:themeShade="BF"/>
                <w:sz w:val="20"/>
                <w:szCs w:val="20"/>
                <w:lang w:eastAsia="cs-CZ"/>
              </w:rPr>
              <w:t>sk</w:t>
            </w:r>
            <w:proofErr w:type="spellEnd"/>
            <w:r>
              <w:rPr>
                <w:rFonts w:eastAsia="Times New Roman" w:cs="Times New Roman"/>
                <w:color w:val="2E74B5" w:themeColor="accent1" w:themeShade="BF"/>
                <w:sz w:val="20"/>
                <w:szCs w:val="20"/>
                <w:lang w:eastAsia="cs-CZ"/>
              </w:rPr>
              <w:t>. pol. 521</w:t>
            </w:r>
            <w:r w:rsidRPr="006A755F">
              <w:rPr>
                <w:rFonts w:eastAsia="Times New Roman" w:cs="Times New Roman"/>
                <w:color w:val="2E74B5" w:themeColor="accent1" w:themeShade="BF"/>
                <w:sz w:val="20"/>
                <w:szCs w:val="20"/>
                <w:lang w:eastAsia="cs-CZ"/>
              </w:rPr>
              <w:t>)</w:t>
            </w:r>
          </w:p>
        </w:tc>
        <w:tc>
          <w:tcPr>
            <w:tcW w:w="1149" w:type="dxa"/>
            <w:tcBorders>
              <w:top w:val="single" w:sz="4" w:space="0" w:color="auto"/>
              <w:left w:val="single" w:sz="4" w:space="0" w:color="auto"/>
              <w:bottom w:val="nil"/>
              <w:right w:val="single" w:sz="4" w:space="0" w:color="auto"/>
            </w:tcBorders>
            <w:vAlign w:val="center"/>
          </w:tcPr>
          <w:p w14:paraId="32AD153B" w14:textId="77777777" w:rsidR="00184D1B" w:rsidRPr="006A755F" w:rsidRDefault="00184D1B" w:rsidP="00184D1B">
            <w:pPr>
              <w:spacing w:after="0" w:line="240" w:lineRule="auto"/>
              <w:jc w:val="right"/>
              <w:rPr>
                <w:rFonts w:eastAsia="Times New Roman" w:cs="Times New Roman"/>
                <w:b/>
                <w:color w:val="2E74B5" w:themeColor="accent1" w:themeShade="BF"/>
                <w:sz w:val="20"/>
                <w:szCs w:val="20"/>
                <w:lang w:eastAsia="cs-CZ"/>
              </w:rPr>
            </w:pPr>
            <w:r w:rsidRPr="006A755F">
              <w:rPr>
                <w:rFonts w:eastAsia="Times New Roman" w:cs="Times New Roman"/>
                <w:b/>
                <w:color w:val="2E74B5" w:themeColor="accent1" w:themeShade="BF"/>
                <w:sz w:val="20"/>
                <w:szCs w:val="20"/>
                <w:lang w:eastAsia="cs-CZ"/>
              </w:rPr>
              <w:t>5 923 911</w:t>
            </w:r>
          </w:p>
        </w:tc>
        <w:tc>
          <w:tcPr>
            <w:tcW w:w="1119" w:type="dxa"/>
            <w:tcBorders>
              <w:top w:val="single" w:sz="4" w:space="0" w:color="auto"/>
              <w:left w:val="single" w:sz="4" w:space="0" w:color="auto"/>
              <w:bottom w:val="nil"/>
              <w:right w:val="single" w:sz="4" w:space="0" w:color="auto"/>
            </w:tcBorders>
            <w:vAlign w:val="center"/>
          </w:tcPr>
          <w:p w14:paraId="35143461"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305CD3">
              <w:rPr>
                <w:rFonts w:eastAsia="Times New Roman" w:cs="Times New Roman"/>
                <w:b/>
                <w:color w:val="2E74B5" w:themeColor="accent1" w:themeShade="BF"/>
                <w:sz w:val="20"/>
                <w:szCs w:val="20"/>
                <w:lang w:eastAsia="cs-CZ"/>
              </w:rPr>
              <w:t>7 848 565</w:t>
            </w:r>
          </w:p>
        </w:tc>
        <w:tc>
          <w:tcPr>
            <w:tcW w:w="1134" w:type="dxa"/>
            <w:tcBorders>
              <w:top w:val="single" w:sz="4" w:space="0" w:color="auto"/>
              <w:left w:val="single" w:sz="4" w:space="0" w:color="auto"/>
              <w:bottom w:val="nil"/>
              <w:right w:val="single" w:sz="4" w:space="0" w:color="auto"/>
            </w:tcBorders>
            <w:vAlign w:val="center"/>
          </w:tcPr>
          <w:p w14:paraId="632A2CB3"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2705CB">
              <w:rPr>
                <w:rFonts w:eastAsia="Times New Roman" w:cs="Times New Roman"/>
                <w:b/>
                <w:color w:val="4472C4" w:themeColor="accent5"/>
                <w:sz w:val="20"/>
                <w:szCs w:val="20"/>
                <w:lang w:eastAsia="cs-CZ"/>
              </w:rPr>
              <w:t>7 304 801</w:t>
            </w:r>
          </w:p>
        </w:tc>
        <w:tc>
          <w:tcPr>
            <w:tcW w:w="1149" w:type="dxa"/>
            <w:tcBorders>
              <w:top w:val="single" w:sz="4" w:space="0" w:color="auto"/>
              <w:left w:val="single" w:sz="4" w:space="0" w:color="auto"/>
              <w:bottom w:val="nil"/>
              <w:right w:val="single" w:sz="4" w:space="0" w:color="auto"/>
            </w:tcBorders>
            <w:vAlign w:val="center"/>
          </w:tcPr>
          <w:p w14:paraId="6401C975"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2705CB">
              <w:rPr>
                <w:rFonts w:eastAsia="Times New Roman" w:cs="Times New Roman"/>
                <w:b/>
                <w:color w:val="4472C4" w:themeColor="accent5"/>
                <w:sz w:val="20"/>
                <w:szCs w:val="20"/>
                <w:lang w:eastAsia="cs-CZ"/>
              </w:rPr>
              <w:t>6 465 853</w:t>
            </w:r>
          </w:p>
        </w:tc>
        <w:tc>
          <w:tcPr>
            <w:tcW w:w="850" w:type="dxa"/>
            <w:tcBorders>
              <w:top w:val="single" w:sz="4" w:space="0" w:color="auto"/>
              <w:left w:val="single" w:sz="4" w:space="0" w:color="auto"/>
              <w:bottom w:val="nil"/>
              <w:right w:val="single" w:sz="4" w:space="0" w:color="auto"/>
            </w:tcBorders>
            <w:vAlign w:val="center"/>
          </w:tcPr>
          <w:p w14:paraId="339A8611" w14:textId="77777777" w:rsidR="00184D1B" w:rsidRPr="00C33A8E" w:rsidRDefault="00184D1B" w:rsidP="00184D1B">
            <w:pPr>
              <w:spacing w:after="0" w:line="240" w:lineRule="auto"/>
              <w:jc w:val="right"/>
              <w:rPr>
                <w:rFonts w:eastAsia="Times New Roman" w:cs="Times New Roman"/>
                <w:b/>
                <w:color w:val="4472C4" w:themeColor="accent5"/>
                <w:sz w:val="20"/>
                <w:szCs w:val="20"/>
                <w:lang w:eastAsia="cs-CZ"/>
              </w:rPr>
            </w:pPr>
            <w:r w:rsidRPr="00C33A8E">
              <w:rPr>
                <w:rFonts w:eastAsia="Times New Roman" w:cs="Times New Roman"/>
                <w:b/>
                <w:color w:val="4472C4" w:themeColor="accent5"/>
                <w:sz w:val="20"/>
                <w:szCs w:val="20"/>
                <w:lang w:eastAsia="cs-CZ"/>
              </w:rPr>
              <w:t>88,5</w:t>
            </w:r>
          </w:p>
        </w:tc>
        <w:tc>
          <w:tcPr>
            <w:tcW w:w="851" w:type="dxa"/>
            <w:tcBorders>
              <w:top w:val="single" w:sz="4" w:space="0" w:color="auto"/>
              <w:left w:val="single" w:sz="4" w:space="0" w:color="auto"/>
              <w:bottom w:val="nil"/>
              <w:right w:val="single" w:sz="4" w:space="0" w:color="auto"/>
            </w:tcBorders>
            <w:vAlign w:val="center"/>
          </w:tcPr>
          <w:p w14:paraId="4A15F79E" w14:textId="77777777" w:rsidR="00184D1B" w:rsidRPr="00C33A8E" w:rsidRDefault="00184D1B" w:rsidP="00184D1B">
            <w:pPr>
              <w:spacing w:after="0" w:line="240" w:lineRule="auto"/>
              <w:jc w:val="right"/>
              <w:rPr>
                <w:rFonts w:eastAsia="Times New Roman" w:cs="Times New Roman"/>
                <w:b/>
                <w:color w:val="4472C4" w:themeColor="accent5"/>
                <w:sz w:val="20"/>
                <w:szCs w:val="20"/>
                <w:lang w:eastAsia="cs-CZ"/>
              </w:rPr>
            </w:pPr>
            <w:r w:rsidRPr="00C33A8E">
              <w:rPr>
                <w:rFonts w:eastAsia="Times New Roman" w:cs="Times New Roman"/>
                <w:b/>
                <w:color w:val="4472C4" w:themeColor="accent5"/>
                <w:sz w:val="20"/>
                <w:szCs w:val="20"/>
                <w:lang w:eastAsia="cs-CZ"/>
              </w:rPr>
              <w:t>109,1</w:t>
            </w:r>
          </w:p>
        </w:tc>
      </w:tr>
      <w:tr w:rsidR="00184D1B" w:rsidRPr="00C33A8E" w14:paraId="238CC273" w14:textId="77777777" w:rsidTr="00184D1B">
        <w:trPr>
          <w:trHeight w:val="238"/>
        </w:trPr>
        <w:tc>
          <w:tcPr>
            <w:tcW w:w="3671" w:type="dxa"/>
            <w:tcBorders>
              <w:top w:val="nil"/>
              <w:left w:val="single" w:sz="4" w:space="0" w:color="auto"/>
              <w:bottom w:val="single" w:sz="4" w:space="0" w:color="auto"/>
              <w:right w:val="single" w:sz="4" w:space="0" w:color="auto"/>
            </w:tcBorders>
          </w:tcPr>
          <w:p w14:paraId="0EAE7375" w14:textId="77777777" w:rsidR="00184D1B" w:rsidRPr="006A755F" w:rsidRDefault="00184D1B" w:rsidP="00184D1B">
            <w:pPr>
              <w:spacing w:after="0" w:line="240" w:lineRule="auto"/>
              <w:jc w:val="both"/>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tcPr>
          <w:p w14:paraId="559002D4" w14:textId="77777777" w:rsidR="00184D1B" w:rsidRPr="006A755F" w:rsidRDefault="00184D1B" w:rsidP="00184D1B">
            <w:pPr>
              <w:spacing w:after="0" w:line="240" w:lineRule="auto"/>
              <w:jc w:val="right"/>
              <w:rPr>
                <w:rFonts w:eastAsia="Times New Roman" w:cs="Times New Roman"/>
                <w:color w:val="FF0000"/>
                <w:sz w:val="20"/>
                <w:szCs w:val="20"/>
                <w:lang w:eastAsia="cs-CZ"/>
              </w:rPr>
            </w:pPr>
            <w:r w:rsidRPr="006A755F">
              <w:rPr>
                <w:rFonts w:eastAsia="Times New Roman" w:cs="Times New Roman"/>
                <w:sz w:val="20"/>
                <w:szCs w:val="20"/>
                <w:lang w:eastAsia="cs-CZ"/>
              </w:rPr>
              <w:t>494 907</w:t>
            </w:r>
          </w:p>
        </w:tc>
        <w:tc>
          <w:tcPr>
            <w:tcW w:w="1119" w:type="dxa"/>
            <w:tcBorders>
              <w:top w:val="nil"/>
              <w:left w:val="single" w:sz="4" w:space="0" w:color="auto"/>
              <w:bottom w:val="single" w:sz="4" w:space="0" w:color="auto"/>
              <w:right w:val="single" w:sz="4" w:space="0" w:color="auto"/>
            </w:tcBorders>
          </w:tcPr>
          <w:p w14:paraId="10C9691E" w14:textId="77777777" w:rsidR="00184D1B" w:rsidRPr="00B0146B" w:rsidRDefault="00184D1B" w:rsidP="00184D1B">
            <w:pPr>
              <w:spacing w:after="0" w:line="240" w:lineRule="auto"/>
              <w:jc w:val="right"/>
              <w:rPr>
                <w:rFonts w:eastAsia="Times New Roman" w:cs="Times New Roman"/>
                <w:sz w:val="20"/>
                <w:szCs w:val="20"/>
                <w:lang w:eastAsia="cs-CZ"/>
              </w:rPr>
            </w:pPr>
            <w:r w:rsidRPr="00B0146B">
              <w:rPr>
                <w:rFonts w:eastAsia="Times New Roman" w:cs="Times New Roman"/>
                <w:sz w:val="20"/>
                <w:szCs w:val="20"/>
                <w:lang w:eastAsia="cs-CZ"/>
              </w:rPr>
              <w:t>629 460</w:t>
            </w:r>
          </w:p>
        </w:tc>
        <w:tc>
          <w:tcPr>
            <w:tcW w:w="1134" w:type="dxa"/>
            <w:tcBorders>
              <w:top w:val="nil"/>
              <w:left w:val="single" w:sz="4" w:space="0" w:color="auto"/>
              <w:bottom w:val="single" w:sz="4" w:space="0" w:color="auto"/>
              <w:right w:val="single" w:sz="4" w:space="0" w:color="auto"/>
            </w:tcBorders>
          </w:tcPr>
          <w:p w14:paraId="19D25F2B"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07105B">
              <w:rPr>
                <w:rFonts w:eastAsia="Times New Roman" w:cs="Times New Roman"/>
                <w:sz w:val="20"/>
                <w:szCs w:val="20"/>
                <w:lang w:eastAsia="cs-CZ"/>
              </w:rPr>
              <w:t>85 696</w:t>
            </w:r>
          </w:p>
        </w:tc>
        <w:tc>
          <w:tcPr>
            <w:tcW w:w="1149" w:type="dxa"/>
            <w:tcBorders>
              <w:top w:val="nil"/>
              <w:left w:val="single" w:sz="4" w:space="0" w:color="auto"/>
              <w:bottom w:val="single" w:sz="4" w:space="0" w:color="auto"/>
              <w:right w:val="single" w:sz="4" w:space="0" w:color="auto"/>
            </w:tcBorders>
          </w:tcPr>
          <w:p w14:paraId="3699C219"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07105B">
              <w:rPr>
                <w:rFonts w:eastAsia="Times New Roman" w:cs="Times New Roman"/>
                <w:sz w:val="20"/>
                <w:szCs w:val="20"/>
                <w:lang w:eastAsia="cs-CZ"/>
              </w:rPr>
              <w:t>295 575</w:t>
            </w:r>
          </w:p>
        </w:tc>
        <w:tc>
          <w:tcPr>
            <w:tcW w:w="850" w:type="dxa"/>
            <w:tcBorders>
              <w:top w:val="nil"/>
              <w:left w:val="single" w:sz="4" w:space="0" w:color="auto"/>
              <w:bottom w:val="single" w:sz="4" w:space="0" w:color="auto"/>
              <w:right w:val="single" w:sz="4" w:space="0" w:color="auto"/>
            </w:tcBorders>
          </w:tcPr>
          <w:p w14:paraId="43B80BE1" w14:textId="77777777" w:rsidR="00184D1B" w:rsidRPr="00C33A8E" w:rsidRDefault="00184D1B" w:rsidP="00184D1B">
            <w:pPr>
              <w:spacing w:after="0" w:line="240" w:lineRule="auto"/>
              <w:jc w:val="right"/>
              <w:rPr>
                <w:rFonts w:eastAsia="Times New Roman" w:cs="Times New Roman"/>
                <w:bCs/>
                <w:sz w:val="20"/>
                <w:szCs w:val="20"/>
                <w:lang w:eastAsia="cs-CZ"/>
              </w:rPr>
            </w:pPr>
            <w:r w:rsidRPr="00C33A8E">
              <w:rPr>
                <w:rFonts w:eastAsia="Times New Roman" w:cs="Times New Roman"/>
                <w:sz w:val="20"/>
                <w:szCs w:val="20"/>
                <w:lang w:eastAsia="cs-CZ"/>
              </w:rPr>
              <w:t>344,9</w:t>
            </w:r>
          </w:p>
        </w:tc>
        <w:tc>
          <w:tcPr>
            <w:tcW w:w="851" w:type="dxa"/>
            <w:tcBorders>
              <w:top w:val="nil"/>
              <w:left w:val="single" w:sz="4" w:space="0" w:color="auto"/>
              <w:bottom w:val="single" w:sz="4" w:space="0" w:color="auto"/>
              <w:right w:val="single" w:sz="4" w:space="0" w:color="auto"/>
            </w:tcBorders>
          </w:tcPr>
          <w:p w14:paraId="06AC8591" w14:textId="77777777" w:rsidR="00184D1B" w:rsidRPr="00C33A8E" w:rsidRDefault="00184D1B" w:rsidP="00184D1B">
            <w:pPr>
              <w:spacing w:after="0" w:line="240" w:lineRule="auto"/>
              <w:jc w:val="right"/>
              <w:rPr>
                <w:rFonts w:eastAsia="Times New Roman" w:cs="Times New Roman"/>
                <w:sz w:val="20"/>
                <w:szCs w:val="20"/>
                <w:lang w:eastAsia="cs-CZ"/>
              </w:rPr>
            </w:pPr>
            <w:r w:rsidRPr="00C33A8E">
              <w:rPr>
                <w:rFonts w:eastAsia="Times New Roman" w:cs="Times New Roman"/>
                <w:sz w:val="20"/>
                <w:szCs w:val="20"/>
                <w:lang w:eastAsia="cs-CZ"/>
              </w:rPr>
              <w:t>59,7</w:t>
            </w:r>
          </w:p>
        </w:tc>
      </w:tr>
      <w:tr w:rsidR="00184D1B" w:rsidRPr="00B46C50" w14:paraId="6BAAB342" w14:textId="77777777" w:rsidTr="00184D1B">
        <w:trPr>
          <w:trHeight w:val="571"/>
        </w:trPr>
        <w:tc>
          <w:tcPr>
            <w:tcW w:w="3671" w:type="dxa"/>
            <w:tcBorders>
              <w:top w:val="single" w:sz="4" w:space="0" w:color="auto"/>
              <w:left w:val="single" w:sz="4" w:space="0" w:color="auto"/>
              <w:bottom w:val="nil"/>
              <w:right w:val="single" w:sz="4" w:space="0" w:color="auto"/>
            </w:tcBorders>
          </w:tcPr>
          <w:p w14:paraId="6A0C8726" w14:textId="77777777" w:rsidR="00184D1B" w:rsidRPr="006A755F" w:rsidRDefault="00184D1B" w:rsidP="00184D1B">
            <w:pPr>
              <w:spacing w:after="0" w:line="240" w:lineRule="auto"/>
              <w:rPr>
                <w:rFonts w:eastAsia="Times New Roman" w:cs="Times New Roman"/>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 xml:space="preserve">Neinvestiční transfery státním fondům </w:t>
            </w:r>
            <w:r w:rsidRPr="006A755F">
              <w:rPr>
                <w:rFonts w:eastAsia="Times New Roman" w:cs="Times New Roman"/>
                <w:color w:val="2E74B5" w:themeColor="accent1" w:themeShade="BF"/>
                <w:sz w:val="20"/>
                <w:szCs w:val="20"/>
                <w:lang w:eastAsia="cs-CZ"/>
              </w:rPr>
              <w:t>(</w:t>
            </w:r>
            <w:proofErr w:type="spellStart"/>
            <w:r w:rsidRPr="006A755F">
              <w:rPr>
                <w:rFonts w:eastAsia="Times New Roman" w:cs="Times New Roman"/>
                <w:color w:val="2E74B5" w:themeColor="accent1" w:themeShade="BF"/>
                <w:sz w:val="20"/>
                <w:szCs w:val="20"/>
                <w:lang w:eastAsia="cs-CZ"/>
              </w:rPr>
              <w:t>podsesk</w:t>
            </w:r>
            <w:proofErr w:type="spellEnd"/>
            <w:r w:rsidRPr="006A755F">
              <w:rPr>
                <w:rFonts w:eastAsia="Times New Roman" w:cs="Times New Roman"/>
                <w:color w:val="2E74B5" w:themeColor="accent1" w:themeShade="BF"/>
                <w:sz w:val="20"/>
                <w:szCs w:val="20"/>
                <w:lang w:eastAsia="cs-CZ"/>
              </w:rPr>
              <w:t>. pol. 531)</w:t>
            </w:r>
          </w:p>
        </w:tc>
        <w:tc>
          <w:tcPr>
            <w:tcW w:w="1149" w:type="dxa"/>
            <w:tcBorders>
              <w:top w:val="single" w:sz="4" w:space="0" w:color="auto"/>
              <w:left w:val="single" w:sz="4" w:space="0" w:color="auto"/>
              <w:bottom w:val="nil"/>
              <w:right w:val="single" w:sz="4" w:space="0" w:color="auto"/>
            </w:tcBorders>
            <w:vAlign w:val="center"/>
          </w:tcPr>
          <w:p w14:paraId="7DA9A0AE" w14:textId="77777777" w:rsidR="00184D1B" w:rsidRPr="006A755F" w:rsidRDefault="00184D1B" w:rsidP="00184D1B">
            <w:pPr>
              <w:spacing w:after="0" w:line="240" w:lineRule="auto"/>
              <w:jc w:val="right"/>
              <w:rPr>
                <w:rFonts w:eastAsia="Times New Roman" w:cs="Times New Roman"/>
                <w:b/>
                <w:bCs/>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17 098 245</w:t>
            </w:r>
            <w:r w:rsidRPr="006A755F">
              <w:rPr>
                <w:rFonts w:eastAsia="Times New Roman" w:cs="Times New Roman"/>
                <w:bCs/>
                <w:color w:val="2E74B5" w:themeColor="accent1" w:themeShade="BF"/>
                <w:sz w:val="20"/>
                <w:szCs w:val="20"/>
                <w:lang w:eastAsia="cs-CZ"/>
              </w:rPr>
              <w:t xml:space="preserve">             </w:t>
            </w:r>
          </w:p>
        </w:tc>
        <w:tc>
          <w:tcPr>
            <w:tcW w:w="1119" w:type="dxa"/>
            <w:tcBorders>
              <w:top w:val="single" w:sz="4" w:space="0" w:color="auto"/>
              <w:left w:val="single" w:sz="4" w:space="0" w:color="auto"/>
              <w:bottom w:val="nil"/>
              <w:right w:val="single" w:sz="4" w:space="0" w:color="auto"/>
            </w:tcBorders>
            <w:vAlign w:val="center"/>
          </w:tcPr>
          <w:p w14:paraId="6F863848"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305CD3">
              <w:rPr>
                <w:rFonts w:eastAsia="Times New Roman" w:cs="Times New Roman"/>
                <w:b/>
                <w:color w:val="2E74B5" w:themeColor="accent1" w:themeShade="BF"/>
                <w:sz w:val="20"/>
                <w:szCs w:val="20"/>
                <w:lang w:eastAsia="cs-CZ"/>
              </w:rPr>
              <w:t xml:space="preserve">16 423 000 </w:t>
            </w:r>
          </w:p>
        </w:tc>
        <w:tc>
          <w:tcPr>
            <w:tcW w:w="1134" w:type="dxa"/>
            <w:tcBorders>
              <w:top w:val="single" w:sz="4" w:space="0" w:color="auto"/>
              <w:left w:val="single" w:sz="4" w:space="0" w:color="auto"/>
              <w:bottom w:val="nil"/>
              <w:right w:val="single" w:sz="4" w:space="0" w:color="auto"/>
            </w:tcBorders>
            <w:vAlign w:val="center"/>
          </w:tcPr>
          <w:p w14:paraId="0B2A12C7" w14:textId="77777777" w:rsidR="00184D1B" w:rsidRPr="005D6688" w:rsidRDefault="00184D1B" w:rsidP="00184D1B">
            <w:pPr>
              <w:spacing w:after="0" w:line="240" w:lineRule="auto"/>
              <w:jc w:val="right"/>
              <w:rPr>
                <w:rFonts w:eastAsia="Times New Roman" w:cs="Times New Roman"/>
                <w:b/>
                <w:color w:val="4472C4" w:themeColor="accent5"/>
                <w:sz w:val="20"/>
                <w:szCs w:val="20"/>
                <w:lang w:eastAsia="cs-CZ"/>
              </w:rPr>
            </w:pPr>
            <w:r w:rsidRPr="005D6688">
              <w:rPr>
                <w:rFonts w:eastAsia="Times New Roman" w:cs="Times New Roman"/>
                <w:b/>
                <w:color w:val="4472C4" w:themeColor="accent5"/>
                <w:sz w:val="20"/>
                <w:szCs w:val="20"/>
                <w:lang w:eastAsia="cs-CZ"/>
              </w:rPr>
              <w:t xml:space="preserve">21 378 361    </w:t>
            </w:r>
          </w:p>
        </w:tc>
        <w:tc>
          <w:tcPr>
            <w:tcW w:w="1149" w:type="dxa"/>
            <w:tcBorders>
              <w:top w:val="single" w:sz="4" w:space="0" w:color="auto"/>
              <w:left w:val="single" w:sz="4" w:space="0" w:color="auto"/>
              <w:bottom w:val="nil"/>
              <w:right w:val="single" w:sz="4" w:space="0" w:color="auto"/>
            </w:tcBorders>
            <w:vAlign w:val="center"/>
          </w:tcPr>
          <w:p w14:paraId="681F1011" w14:textId="77777777" w:rsidR="00184D1B" w:rsidRPr="005D6688" w:rsidRDefault="00184D1B" w:rsidP="00184D1B">
            <w:pPr>
              <w:spacing w:after="0" w:line="240" w:lineRule="auto"/>
              <w:jc w:val="right"/>
              <w:rPr>
                <w:rFonts w:eastAsia="Times New Roman" w:cs="Times New Roman"/>
                <w:b/>
                <w:bCs/>
                <w:color w:val="4472C4" w:themeColor="accent5"/>
                <w:sz w:val="20"/>
                <w:szCs w:val="20"/>
                <w:lang w:eastAsia="cs-CZ"/>
              </w:rPr>
            </w:pPr>
            <w:r w:rsidRPr="005D6688">
              <w:rPr>
                <w:rFonts w:eastAsia="Times New Roman" w:cs="Times New Roman"/>
                <w:b/>
                <w:bCs/>
                <w:color w:val="4472C4" w:themeColor="accent5"/>
                <w:sz w:val="20"/>
                <w:szCs w:val="20"/>
                <w:lang w:eastAsia="cs-CZ"/>
              </w:rPr>
              <w:t>21 428 872</w:t>
            </w:r>
            <w:r w:rsidRPr="005D6688">
              <w:rPr>
                <w:rFonts w:eastAsia="Times New Roman" w:cs="Times New Roman"/>
                <w:bCs/>
                <w:color w:val="4472C4" w:themeColor="accent5"/>
                <w:sz w:val="20"/>
                <w:szCs w:val="20"/>
                <w:lang w:eastAsia="cs-CZ"/>
              </w:rPr>
              <w:t xml:space="preserve">             </w:t>
            </w:r>
          </w:p>
        </w:tc>
        <w:tc>
          <w:tcPr>
            <w:tcW w:w="850" w:type="dxa"/>
            <w:tcBorders>
              <w:top w:val="single" w:sz="4" w:space="0" w:color="auto"/>
              <w:left w:val="single" w:sz="4" w:space="0" w:color="auto"/>
              <w:bottom w:val="nil"/>
              <w:right w:val="single" w:sz="4" w:space="0" w:color="auto"/>
            </w:tcBorders>
            <w:vAlign w:val="center"/>
          </w:tcPr>
          <w:p w14:paraId="0AB849B9" w14:textId="77777777" w:rsidR="00184D1B" w:rsidRPr="00B46C50" w:rsidRDefault="00184D1B" w:rsidP="00184D1B">
            <w:pPr>
              <w:spacing w:after="0" w:line="240" w:lineRule="auto"/>
              <w:jc w:val="right"/>
              <w:rPr>
                <w:rFonts w:eastAsia="Times New Roman" w:cs="Times New Roman"/>
                <w:b/>
                <w:color w:val="4472C4" w:themeColor="accent5"/>
                <w:sz w:val="20"/>
                <w:szCs w:val="20"/>
                <w:lang w:eastAsia="cs-CZ"/>
              </w:rPr>
            </w:pPr>
            <w:r w:rsidRPr="00B46C50">
              <w:rPr>
                <w:rFonts w:eastAsia="Times New Roman" w:cs="Times New Roman"/>
                <w:b/>
                <w:color w:val="4472C4" w:themeColor="accent5"/>
                <w:sz w:val="20"/>
                <w:szCs w:val="20"/>
                <w:lang w:eastAsia="cs-CZ"/>
              </w:rPr>
              <w:t>100,2</w:t>
            </w:r>
          </w:p>
        </w:tc>
        <w:tc>
          <w:tcPr>
            <w:tcW w:w="851" w:type="dxa"/>
            <w:tcBorders>
              <w:top w:val="single" w:sz="4" w:space="0" w:color="auto"/>
              <w:left w:val="single" w:sz="4" w:space="0" w:color="auto"/>
              <w:bottom w:val="nil"/>
              <w:right w:val="single" w:sz="4" w:space="0" w:color="auto"/>
            </w:tcBorders>
            <w:vAlign w:val="center"/>
          </w:tcPr>
          <w:p w14:paraId="5AF1071C" w14:textId="77777777" w:rsidR="00184D1B" w:rsidRPr="00B46C50" w:rsidRDefault="00184D1B" w:rsidP="00184D1B">
            <w:pPr>
              <w:spacing w:after="0" w:line="240" w:lineRule="auto"/>
              <w:jc w:val="right"/>
              <w:rPr>
                <w:rFonts w:eastAsia="Times New Roman" w:cs="Times New Roman"/>
                <w:b/>
                <w:color w:val="4472C4" w:themeColor="accent5"/>
                <w:sz w:val="20"/>
                <w:szCs w:val="20"/>
                <w:lang w:eastAsia="cs-CZ"/>
              </w:rPr>
            </w:pPr>
            <w:r w:rsidRPr="00B46C50">
              <w:rPr>
                <w:rFonts w:eastAsia="Times New Roman" w:cs="Times New Roman"/>
                <w:b/>
                <w:color w:val="4472C4" w:themeColor="accent5"/>
                <w:sz w:val="20"/>
                <w:szCs w:val="20"/>
                <w:lang w:eastAsia="cs-CZ"/>
              </w:rPr>
              <w:t>125,3</w:t>
            </w:r>
          </w:p>
        </w:tc>
      </w:tr>
      <w:tr w:rsidR="00184D1B" w:rsidRPr="0055425D" w14:paraId="59EE1DFC" w14:textId="77777777" w:rsidTr="00184D1B">
        <w:trPr>
          <w:trHeight w:val="220"/>
        </w:trPr>
        <w:tc>
          <w:tcPr>
            <w:tcW w:w="3671" w:type="dxa"/>
            <w:tcBorders>
              <w:top w:val="nil"/>
              <w:left w:val="single" w:sz="4" w:space="0" w:color="auto"/>
              <w:bottom w:val="single" w:sz="4" w:space="0" w:color="auto"/>
              <w:right w:val="single" w:sz="4" w:space="0" w:color="auto"/>
            </w:tcBorders>
            <w:vAlign w:val="center"/>
          </w:tcPr>
          <w:p w14:paraId="0EABCF02"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vAlign w:val="center"/>
          </w:tcPr>
          <w:p w14:paraId="70314615" w14:textId="77777777" w:rsidR="00184D1B" w:rsidRPr="006A755F" w:rsidRDefault="00184D1B" w:rsidP="00184D1B">
            <w:pPr>
              <w:spacing w:after="0" w:line="240" w:lineRule="auto"/>
              <w:jc w:val="right"/>
              <w:rPr>
                <w:rFonts w:eastAsia="Times New Roman" w:cs="Times New Roman"/>
                <w:bCs/>
                <w:color w:val="FF0000"/>
                <w:sz w:val="20"/>
                <w:szCs w:val="20"/>
                <w:lang w:eastAsia="cs-CZ"/>
              </w:rPr>
            </w:pPr>
            <w:r w:rsidRPr="006A755F">
              <w:rPr>
                <w:rFonts w:eastAsia="Times New Roman" w:cs="Times New Roman"/>
                <w:bCs/>
                <w:sz w:val="20"/>
                <w:szCs w:val="20"/>
                <w:lang w:eastAsia="cs-CZ"/>
              </w:rPr>
              <w:t>17 098 245</w:t>
            </w:r>
          </w:p>
        </w:tc>
        <w:tc>
          <w:tcPr>
            <w:tcW w:w="1119" w:type="dxa"/>
            <w:tcBorders>
              <w:top w:val="nil"/>
              <w:left w:val="single" w:sz="4" w:space="0" w:color="auto"/>
              <w:bottom w:val="single" w:sz="4" w:space="0" w:color="auto"/>
              <w:right w:val="single" w:sz="4" w:space="0" w:color="auto"/>
            </w:tcBorders>
            <w:vAlign w:val="center"/>
          </w:tcPr>
          <w:p w14:paraId="2D5A82F9"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5A4121">
              <w:rPr>
                <w:rFonts w:eastAsia="Times New Roman" w:cs="Times New Roman"/>
                <w:sz w:val="20"/>
                <w:szCs w:val="20"/>
                <w:lang w:eastAsia="cs-CZ"/>
              </w:rPr>
              <w:t>16 423 000</w:t>
            </w:r>
          </w:p>
        </w:tc>
        <w:tc>
          <w:tcPr>
            <w:tcW w:w="1134" w:type="dxa"/>
            <w:tcBorders>
              <w:top w:val="nil"/>
              <w:left w:val="single" w:sz="4" w:space="0" w:color="auto"/>
              <w:bottom w:val="single" w:sz="4" w:space="0" w:color="auto"/>
              <w:right w:val="single" w:sz="4" w:space="0" w:color="auto"/>
            </w:tcBorders>
            <w:vAlign w:val="center"/>
          </w:tcPr>
          <w:p w14:paraId="045F614E"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4763E9">
              <w:rPr>
                <w:rFonts w:eastAsia="Times New Roman" w:cs="Times New Roman"/>
                <w:sz w:val="20"/>
                <w:szCs w:val="20"/>
                <w:lang w:eastAsia="cs-CZ"/>
              </w:rPr>
              <w:t>21 378 361</w:t>
            </w:r>
          </w:p>
        </w:tc>
        <w:tc>
          <w:tcPr>
            <w:tcW w:w="1149" w:type="dxa"/>
            <w:tcBorders>
              <w:top w:val="nil"/>
              <w:left w:val="single" w:sz="4" w:space="0" w:color="auto"/>
              <w:bottom w:val="single" w:sz="4" w:space="0" w:color="auto"/>
              <w:right w:val="single" w:sz="4" w:space="0" w:color="auto"/>
            </w:tcBorders>
            <w:vAlign w:val="center"/>
          </w:tcPr>
          <w:p w14:paraId="5A248E74" w14:textId="77777777" w:rsidR="00184D1B" w:rsidRPr="008707E3" w:rsidRDefault="00184D1B" w:rsidP="00184D1B">
            <w:pPr>
              <w:spacing w:after="0" w:line="240" w:lineRule="auto"/>
              <w:jc w:val="right"/>
              <w:rPr>
                <w:rFonts w:eastAsia="Times New Roman" w:cs="Times New Roman"/>
                <w:bCs/>
                <w:color w:val="FF0000"/>
                <w:sz w:val="20"/>
                <w:szCs w:val="20"/>
                <w:lang w:eastAsia="cs-CZ"/>
              </w:rPr>
            </w:pPr>
            <w:r w:rsidRPr="004763E9">
              <w:rPr>
                <w:rFonts w:eastAsia="Times New Roman" w:cs="Times New Roman"/>
                <w:bCs/>
                <w:sz w:val="20"/>
                <w:szCs w:val="20"/>
                <w:lang w:eastAsia="cs-CZ"/>
              </w:rPr>
              <w:t>21 428 872</w:t>
            </w:r>
          </w:p>
        </w:tc>
        <w:tc>
          <w:tcPr>
            <w:tcW w:w="850" w:type="dxa"/>
            <w:tcBorders>
              <w:top w:val="nil"/>
              <w:left w:val="single" w:sz="4" w:space="0" w:color="auto"/>
              <w:bottom w:val="single" w:sz="4" w:space="0" w:color="auto"/>
              <w:right w:val="single" w:sz="4" w:space="0" w:color="auto"/>
            </w:tcBorders>
            <w:vAlign w:val="center"/>
          </w:tcPr>
          <w:p w14:paraId="4779DCEB" w14:textId="77777777" w:rsidR="00184D1B" w:rsidRPr="0055425D" w:rsidRDefault="00184D1B" w:rsidP="00184D1B">
            <w:pPr>
              <w:spacing w:after="0" w:line="240" w:lineRule="auto"/>
              <w:jc w:val="right"/>
              <w:rPr>
                <w:rFonts w:eastAsia="Times New Roman" w:cs="Times New Roman"/>
                <w:sz w:val="20"/>
                <w:szCs w:val="20"/>
                <w:lang w:eastAsia="cs-CZ"/>
              </w:rPr>
            </w:pPr>
            <w:r w:rsidRPr="0055425D">
              <w:rPr>
                <w:rFonts w:eastAsia="Times New Roman" w:cs="Times New Roman"/>
                <w:sz w:val="20"/>
                <w:szCs w:val="20"/>
                <w:lang w:eastAsia="cs-CZ"/>
              </w:rPr>
              <w:t>100,2</w:t>
            </w:r>
          </w:p>
        </w:tc>
        <w:tc>
          <w:tcPr>
            <w:tcW w:w="851" w:type="dxa"/>
            <w:tcBorders>
              <w:top w:val="nil"/>
              <w:left w:val="single" w:sz="4" w:space="0" w:color="auto"/>
              <w:bottom w:val="single" w:sz="4" w:space="0" w:color="auto"/>
              <w:right w:val="single" w:sz="4" w:space="0" w:color="auto"/>
            </w:tcBorders>
            <w:vAlign w:val="center"/>
          </w:tcPr>
          <w:p w14:paraId="291D08FA" w14:textId="77777777" w:rsidR="00184D1B" w:rsidRPr="0055425D" w:rsidRDefault="00184D1B" w:rsidP="00184D1B">
            <w:pPr>
              <w:spacing w:after="0" w:line="240" w:lineRule="auto"/>
              <w:jc w:val="right"/>
              <w:rPr>
                <w:rFonts w:eastAsia="Times New Roman" w:cs="Times New Roman"/>
                <w:bCs/>
                <w:sz w:val="20"/>
                <w:szCs w:val="20"/>
                <w:lang w:eastAsia="cs-CZ"/>
              </w:rPr>
            </w:pPr>
            <w:r w:rsidRPr="0055425D">
              <w:rPr>
                <w:rFonts w:eastAsia="Times New Roman" w:cs="Times New Roman"/>
                <w:sz w:val="20"/>
                <w:szCs w:val="20"/>
                <w:lang w:eastAsia="cs-CZ"/>
              </w:rPr>
              <w:t>125,3</w:t>
            </w:r>
          </w:p>
        </w:tc>
      </w:tr>
      <w:tr w:rsidR="00184D1B" w:rsidRPr="0055425D" w14:paraId="21C9429E" w14:textId="77777777" w:rsidTr="00184D1B">
        <w:trPr>
          <w:trHeight w:val="220"/>
        </w:trPr>
        <w:tc>
          <w:tcPr>
            <w:tcW w:w="3671" w:type="dxa"/>
            <w:tcBorders>
              <w:top w:val="nil"/>
              <w:left w:val="single" w:sz="4" w:space="0" w:color="auto"/>
              <w:bottom w:val="nil"/>
              <w:right w:val="single" w:sz="4" w:space="0" w:color="auto"/>
            </w:tcBorders>
          </w:tcPr>
          <w:p w14:paraId="1F012B1C" w14:textId="432088A2" w:rsidR="00184D1B" w:rsidRPr="006A755F" w:rsidRDefault="00184D1B" w:rsidP="00184D1B">
            <w:pPr>
              <w:spacing w:after="0" w:line="240" w:lineRule="auto"/>
              <w:rPr>
                <w:rFonts w:eastAsia="Times New Roman" w:cs="Times New Roman"/>
                <w:sz w:val="20"/>
                <w:szCs w:val="20"/>
                <w:lang w:eastAsia="cs-CZ"/>
              </w:rPr>
            </w:pPr>
            <w:r>
              <w:rPr>
                <w:rFonts w:eastAsia="Times New Roman" w:cs="Times New Roman"/>
                <w:b/>
                <w:bCs/>
                <w:color w:val="2E74B5" w:themeColor="accent1" w:themeShade="BF"/>
                <w:sz w:val="20"/>
                <w:szCs w:val="20"/>
                <w:lang w:eastAsia="cs-CZ"/>
              </w:rPr>
              <w:t xml:space="preserve">Účelové neinvestiční transfery fyzickým osobám </w:t>
            </w:r>
            <w:r>
              <w:rPr>
                <w:rFonts w:eastAsia="Times New Roman" w:cs="Times New Roman"/>
                <w:color w:val="2E74B5" w:themeColor="accent1" w:themeShade="BF"/>
                <w:sz w:val="20"/>
                <w:szCs w:val="20"/>
                <w:lang w:eastAsia="cs-CZ"/>
              </w:rPr>
              <w:t>(položka 5493</w:t>
            </w:r>
            <w:r w:rsidRPr="006A755F">
              <w:rPr>
                <w:rFonts w:eastAsia="Times New Roman" w:cs="Times New Roman"/>
                <w:color w:val="2E74B5" w:themeColor="accent1" w:themeShade="BF"/>
                <w:sz w:val="20"/>
                <w:szCs w:val="20"/>
                <w:lang w:eastAsia="cs-CZ"/>
              </w:rPr>
              <w:t>)</w:t>
            </w:r>
          </w:p>
        </w:tc>
        <w:tc>
          <w:tcPr>
            <w:tcW w:w="1149" w:type="dxa"/>
            <w:tcBorders>
              <w:top w:val="nil"/>
              <w:left w:val="single" w:sz="4" w:space="0" w:color="auto"/>
              <w:bottom w:val="nil"/>
              <w:right w:val="single" w:sz="4" w:space="0" w:color="auto"/>
            </w:tcBorders>
            <w:vAlign w:val="center"/>
          </w:tcPr>
          <w:p w14:paraId="0ADF8D7E" w14:textId="77777777" w:rsidR="00184D1B" w:rsidRPr="006A755F" w:rsidRDefault="00184D1B" w:rsidP="00184D1B">
            <w:pPr>
              <w:spacing w:after="0" w:line="240" w:lineRule="auto"/>
              <w:jc w:val="right"/>
              <w:rPr>
                <w:rFonts w:eastAsia="Times New Roman" w:cs="Times New Roman"/>
                <w:bCs/>
                <w:sz w:val="20"/>
                <w:szCs w:val="20"/>
                <w:lang w:eastAsia="cs-CZ"/>
              </w:rPr>
            </w:pPr>
            <w:r>
              <w:rPr>
                <w:rFonts w:eastAsia="Times New Roman" w:cs="Times New Roman"/>
                <w:bCs/>
                <w:sz w:val="20"/>
                <w:szCs w:val="20"/>
                <w:lang w:eastAsia="cs-CZ"/>
              </w:rPr>
              <w:t>0</w:t>
            </w:r>
          </w:p>
        </w:tc>
        <w:tc>
          <w:tcPr>
            <w:tcW w:w="1119" w:type="dxa"/>
            <w:tcBorders>
              <w:top w:val="nil"/>
              <w:left w:val="single" w:sz="4" w:space="0" w:color="auto"/>
              <w:bottom w:val="nil"/>
              <w:right w:val="single" w:sz="4" w:space="0" w:color="auto"/>
            </w:tcBorders>
            <w:vAlign w:val="center"/>
          </w:tcPr>
          <w:p w14:paraId="3D43D6B7" w14:textId="77777777" w:rsidR="00184D1B" w:rsidRPr="005A4121" w:rsidRDefault="00184D1B" w:rsidP="00184D1B">
            <w:pPr>
              <w:spacing w:after="0" w:line="240" w:lineRule="auto"/>
              <w:jc w:val="right"/>
              <w:rPr>
                <w:rFonts w:eastAsia="Times New Roman" w:cs="Times New Roman"/>
                <w:sz w:val="20"/>
                <w:szCs w:val="20"/>
                <w:lang w:eastAsia="cs-CZ"/>
              </w:rPr>
            </w:pPr>
            <w:r>
              <w:rPr>
                <w:rFonts w:eastAsia="Times New Roman" w:cs="Times New Roman"/>
                <w:sz w:val="20"/>
                <w:szCs w:val="20"/>
                <w:lang w:eastAsia="cs-CZ"/>
              </w:rPr>
              <w:t>0</w:t>
            </w:r>
          </w:p>
        </w:tc>
        <w:tc>
          <w:tcPr>
            <w:tcW w:w="1134" w:type="dxa"/>
            <w:tcBorders>
              <w:top w:val="nil"/>
              <w:left w:val="single" w:sz="4" w:space="0" w:color="auto"/>
              <w:bottom w:val="nil"/>
              <w:right w:val="single" w:sz="4" w:space="0" w:color="auto"/>
            </w:tcBorders>
            <w:vAlign w:val="center"/>
          </w:tcPr>
          <w:p w14:paraId="6E91104E" w14:textId="77777777" w:rsidR="00184D1B" w:rsidRPr="00AD1B1A" w:rsidRDefault="00184D1B" w:rsidP="00184D1B">
            <w:pPr>
              <w:spacing w:after="0" w:line="240" w:lineRule="auto"/>
              <w:jc w:val="right"/>
              <w:rPr>
                <w:rFonts w:eastAsia="Times New Roman" w:cs="Times New Roman"/>
                <w:color w:val="4472C4" w:themeColor="accent5"/>
                <w:sz w:val="20"/>
                <w:szCs w:val="20"/>
                <w:lang w:eastAsia="cs-CZ"/>
              </w:rPr>
            </w:pPr>
            <w:r w:rsidRPr="00AD1B1A">
              <w:rPr>
                <w:rFonts w:eastAsia="Times New Roman" w:cs="Times New Roman"/>
                <w:color w:val="4472C4" w:themeColor="accent5"/>
                <w:sz w:val="20"/>
                <w:szCs w:val="20"/>
                <w:lang w:eastAsia="cs-CZ"/>
              </w:rPr>
              <w:t>278</w:t>
            </w:r>
          </w:p>
        </w:tc>
        <w:tc>
          <w:tcPr>
            <w:tcW w:w="1149" w:type="dxa"/>
            <w:tcBorders>
              <w:top w:val="nil"/>
              <w:left w:val="single" w:sz="4" w:space="0" w:color="auto"/>
              <w:bottom w:val="nil"/>
              <w:right w:val="single" w:sz="4" w:space="0" w:color="auto"/>
            </w:tcBorders>
            <w:vAlign w:val="center"/>
          </w:tcPr>
          <w:p w14:paraId="4E2B7AC5" w14:textId="77777777" w:rsidR="00184D1B" w:rsidRPr="00AD1B1A" w:rsidRDefault="00184D1B" w:rsidP="00184D1B">
            <w:pPr>
              <w:spacing w:after="0" w:line="240" w:lineRule="auto"/>
              <w:jc w:val="right"/>
              <w:rPr>
                <w:rFonts w:eastAsia="Times New Roman" w:cs="Times New Roman"/>
                <w:bCs/>
                <w:color w:val="4472C4" w:themeColor="accent5"/>
                <w:sz w:val="20"/>
                <w:szCs w:val="20"/>
                <w:lang w:eastAsia="cs-CZ"/>
              </w:rPr>
            </w:pPr>
            <w:r w:rsidRPr="00AD1B1A">
              <w:rPr>
                <w:rFonts w:eastAsia="Times New Roman" w:cs="Times New Roman"/>
                <w:bCs/>
                <w:color w:val="4472C4" w:themeColor="accent5"/>
                <w:sz w:val="20"/>
                <w:szCs w:val="20"/>
                <w:lang w:eastAsia="cs-CZ"/>
              </w:rPr>
              <w:t>278</w:t>
            </w:r>
          </w:p>
        </w:tc>
        <w:tc>
          <w:tcPr>
            <w:tcW w:w="850" w:type="dxa"/>
            <w:tcBorders>
              <w:top w:val="nil"/>
              <w:left w:val="single" w:sz="4" w:space="0" w:color="auto"/>
              <w:bottom w:val="nil"/>
              <w:right w:val="single" w:sz="4" w:space="0" w:color="auto"/>
            </w:tcBorders>
            <w:vAlign w:val="center"/>
          </w:tcPr>
          <w:p w14:paraId="7511A9E9" w14:textId="77777777" w:rsidR="00184D1B" w:rsidRPr="00AD1B1A" w:rsidRDefault="00184D1B" w:rsidP="00184D1B">
            <w:pPr>
              <w:spacing w:after="0" w:line="240" w:lineRule="auto"/>
              <w:jc w:val="right"/>
              <w:rPr>
                <w:rFonts w:eastAsia="Times New Roman" w:cs="Times New Roman"/>
                <w:color w:val="4472C4" w:themeColor="accent5"/>
                <w:sz w:val="20"/>
                <w:szCs w:val="20"/>
                <w:lang w:eastAsia="cs-CZ"/>
              </w:rPr>
            </w:pPr>
            <w:r w:rsidRPr="00AD1B1A">
              <w:rPr>
                <w:rFonts w:eastAsia="Times New Roman" w:cs="Times New Roman"/>
                <w:color w:val="4472C4" w:themeColor="accent5"/>
                <w:sz w:val="20"/>
                <w:szCs w:val="20"/>
                <w:lang w:eastAsia="cs-CZ"/>
              </w:rPr>
              <w:t>100,00</w:t>
            </w:r>
          </w:p>
        </w:tc>
        <w:tc>
          <w:tcPr>
            <w:tcW w:w="851" w:type="dxa"/>
            <w:tcBorders>
              <w:top w:val="nil"/>
              <w:left w:val="single" w:sz="4" w:space="0" w:color="auto"/>
              <w:bottom w:val="nil"/>
              <w:right w:val="single" w:sz="4" w:space="0" w:color="auto"/>
            </w:tcBorders>
            <w:vAlign w:val="center"/>
          </w:tcPr>
          <w:p w14:paraId="41B04163" w14:textId="77777777" w:rsidR="00184D1B" w:rsidRPr="0055425D" w:rsidRDefault="00184D1B" w:rsidP="00184D1B">
            <w:pPr>
              <w:spacing w:after="0" w:line="240" w:lineRule="auto"/>
              <w:jc w:val="right"/>
              <w:rPr>
                <w:rFonts w:eastAsia="Times New Roman" w:cs="Times New Roman"/>
                <w:sz w:val="20"/>
                <w:szCs w:val="20"/>
                <w:lang w:eastAsia="cs-CZ"/>
              </w:rPr>
            </w:pPr>
            <w:r w:rsidRPr="008C1900">
              <w:rPr>
                <w:rFonts w:eastAsia="Times New Roman" w:cs="Times New Roman"/>
                <w:color w:val="4472C4" w:themeColor="accent5"/>
                <w:sz w:val="20"/>
                <w:szCs w:val="20"/>
                <w:lang w:eastAsia="cs-CZ"/>
              </w:rPr>
              <w:t>x</w:t>
            </w:r>
          </w:p>
        </w:tc>
      </w:tr>
      <w:tr w:rsidR="00184D1B" w:rsidRPr="0055425D" w14:paraId="2C488792" w14:textId="77777777" w:rsidTr="00184D1B">
        <w:trPr>
          <w:trHeight w:val="220"/>
        </w:trPr>
        <w:tc>
          <w:tcPr>
            <w:tcW w:w="3671" w:type="dxa"/>
            <w:tcBorders>
              <w:top w:val="nil"/>
              <w:left w:val="single" w:sz="4" w:space="0" w:color="auto"/>
              <w:bottom w:val="single" w:sz="4" w:space="0" w:color="auto"/>
              <w:right w:val="single" w:sz="4" w:space="0" w:color="auto"/>
            </w:tcBorders>
            <w:vAlign w:val="center"/>
          </w:tcPr>
          <w:p w14:paraId="410D5E19"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vAlign w:val="center"/>
          </w:tcPr>
          <w:p w14:paraId="38DFAF7D" w14:textId="77777777" w:rsidR="00184D1B" w:rsidRPr="006A755F" w:rsidRDefault="00184D1B" w:rsidP="00184D1B">
            <w:pPr>
              <w:spacing w:after="0" w:line="240" w:lineRule="auto"/>
              <w:jc w:val="right"/>
              <w:rPr>
                <w:rFonts w:eastAsia="Times New Roman" w:cs="Times New Roman"/>
                <w:bCs/>
                <w:sz w:val="20"/>
                <w:szCs w:val="20"/>
                <w:lang w:eastAsia="cs-CZ"/>
              </w:rPr>
            </w:pPr>
            <w:r>
              <w:rPr>
                <w:rFonts w:eastAsia="Times New Roman" w:cs="Times New Roman"/>
                <w:bCs/>
                <w:sz w:val="20"/>
                <w:szCs w:val="20"/>
                <w:lang w:eastAsia="cs-CZ"/>
              </w:rPr>
              <w:t>0</w:t>
            </w:r>
          </w:p>
        </w:tc>
        <w:tc>
          <w:tcPr>
            <w:tcW w:w="1119" w:type="dxa"/>
            <w:tcBorders>
              <w:top w:val="nil"/>
              <w:left w:val="single" w:sz="4" w:space="0" w:color="auto"/>
              <w:bottom w:val="single" w:sz="4" w:space="0" w:color="auto"/>
              <w:right w:val="single" w:sz="4" w:space="0" w:color="auto"/>
            </w:tcBorders>
            <w:vAlign w:val="center"/>
          </w:tcPr>
          <w:p w14:paraId="785C100B" w14:textId="77777777" w:rsidR="00184D1B" w:rsidRPr="005A4121" w:rsidRDefault="00184D1B" w:rsidP="00184D1B">
            <w:pPr>
              <w:spacing w:after="0" w:line="240" w:lineRule="auto"/>
              <w:jc w:val="right"/>
              <w:rPr>
                <w:rFonts w:eastAsia="Times New Roman" w:cs="Times New Roman"/>
                <w:sz w:val="20"/>
                <w:szCs w:val="20"/>
                <w:lang w:eastAsia="cs-CZ"/>
              </w:rPr>
            </w:pPr>
            <w:r>
              <w:rPr>
                <w:rFonts w:eastAsia="Times New Roman" w:cs="Times New Roman"/>
                <w:sz w:val="20"/>
                <w:szCs w:val="20"/>
                <w:lang w:eastAsia="cs-CZ"/>
              </w:rPr>
              <w:t>0</w:t>
            </w:r>
          </w:p>
        </w:tc>
        <w:tc>
          <w:tcPr>
            <w:tcW w:w="1134" w:type="dxa"/>
            <w:tcBorders>
              <w:top w:val="nil"/>
              <w:left w:val="single" w:sz="4" w:space="0" w:color="auto"/>
              <w:bottom w:val="single" w:sz="4" w:space="0" w:color="auto"/>
              <w:right w:val="single" w:sz="4" w:space="0" w:color="auto"/>
            </w:tcBorders>
            <w:vAlign w:val="center"/>
          </w:tcPr>
          <w:p w14:paraId="7EE07AB1" w14:textId="77777777" w:rsidR="00184D1B" w:rsidRPr="004763E9" w:rsidRDefault="00184D1B" w:rsidP="00184D1B">
            <w:pPr>
              <w:spacing w:after="0" w:line="240" w:lineRule="auto"/>
              <w:jc w:val="right"/>
              <w:rPr>
                <w:rFonts w:eastAsia="Times New Roman" w:cs="Times New Roman"/>
                <w:sz w:val="20"/>
                <w:szCs w:val="20"/>
                <w:lang w:eastAsia="cs-CZ"/>
              </w:rPr>
            </w:pPr>
            <w:r>
              <w:rPr>
                <w:rFonts w:eastAsia="Times New Roman" w:cs="Times New Roman"/>
                <w:sz w:val="20"/>
                <w:szCs w:val="20"/>
                <w:lang w:eastAsia="cs-CZ"/>
              </w:rPr>
              <w:t>278</w:t>
            </w:r>
          </w:p>
        </w:tc>
        <w:tc>
          <w:tcPr>
            <w:tcW w:w="1149" w:type="dxa"/>
            <w:tcBorders>
              <w:top w:val="nil"/>
              <w:left w:val="single" w:sz="4" w:space="0" w:color="auto"/>
              <w:bottom w:val="single" w:sz="4" w:space="0" w:color="auto"/>
              <w:right w:val="single" w:sz="4" w:space="0" w:color="auto"/>
            </w:tcBorders>
            <w:vAlign w:val="center"/>
          </w:tcPr>
          <w:p w14:paraId="04CFCC85" w14:textId="77777777" w:rsidR="00184D1B" w:rsidRPr="004763E9" w:rsidRDefault="00184D1B" w:rsidP="00184D1B">
            <w:pPr>
              <w:spacing w:after="0" w:line="240" w:lineRule="auto"/>
              <w:jc w:val="right"/>
              <w:rPr>
                <w:rFonts w:eastAsia="Times New Roman" w:cs="Times New Roman"/>
                <w:bCs/>
                <w:sz w:val="20"/>
                <w:szCs w:val="20"/>
                <w:lang w:eastAsia="cs-CZ"/>
              </w:rPr>
            </w:pPr>
            <w:r>
              <w:rPr>
                <w:rFonts w:eastAsia="Times New Roman" w:cs="Times New Roman"/>
                <w:bCs/>
                <w:sz w:val="20"/>
                <w:szCs w:val="20"/>
                <w:lang w:eastAsia="cs-CZ"/>
              </w:rPr>
              <w:t>278</w:t>
            </w:r>
          </w:p>
        </w:tc>
        <w:tc>
          <w:tcPr>
            <w:tcW w:w="850" w:type="dxa"/>
            <w:tcBorders>
              <w:top w:val="nil"/>
              <w:left w:val="single" w:sz="4" w:space="0" w:color="auto"/>
              <w:bottom w:val="single" w:sz="4" w:space="0" w:color="auto"/>
              <w:right w:val="single" w:sz="4" w:space="0" w:color="auto"/>
            </w:tcBorders>
            <w:vAlign w:val="center"/>
          </w:tcPr>
          <w:p w14:paraId="32E5B34E" w14:textId="77777777" w:rsidR="00184D1B" w:rsidRPr="0055425D" w:rsidRDefault="00184D1B" w:rsidP="00184D1B">
            <w:pPr>
              <w:spacing w:after="0" w:line="240" w:lineRule="auto"/>
              <w:jc w:val="right"/>
              <w:rPr>
                <w:rFonts w:eastAsia="Times New Roman" w:cs="Times New Roman"/>
                <w:sz w:val="20"/>
                <w:szCs w:val="20"/>
                <w:lang w:eastAsia="cs-CZ"/>
              </w:rPr>
            </w:pPr>
            <w:r>
              <w:rPr>
                <w:rFonts w:eastAsia="Times New Roman" w:cs="Times New Roman"/>
                <w:sz w:val="20"/>
                <w:szCs w:val="20"/>
                <w:lang w:eastAsia="cs-CZ"/>
              </w:rPr>
              <w:t>100,00</w:t>
            </w:r>
          </w:p>
        </w:tc>
        <w:tc>
          <w:tcPr>
            <w:tcW w:w="851" w:type="dxa"/>
            <w:tcBorders>
              <w:top w:val="nil"/>
              <w:left w:val="single" w:sz="4" w:space="0" w:color="auto"/>
              <w:bottom w:val="single" w:sz="4" w:space="0" w:color="auto"/>
              <w:right w:val="single" w:sz="4" w:space="0" w:color="auto"/>
            </w:tcBorders>
            <w:vAlign w:val="center"/>
          </w:tcPr>
          <w:p w14:paraId="311C7886" w14:textId="77777777" w:rsidR="00184D1B" w:rsidRPr="0055425D" w:rsidRDefault="00184D1B" w:rsidP="00184D1B">
            <w:pPr>
              <w:spacing w:after="0" w:line="240" w:lineRule="auto"/>
              <w:jc w:val="right"/>
              <w:rPr>
                <w:rFonts w:eastAsia="Times New Roman" w:cs="Times New Roman"/>
                <w:sz w:val="20"/>
                <w:szCs w:val="20"/>
                <w:lang w:eastAsia="cs-CZ"/>
              </w:rPr>
            </w:pPr>
            <w:r>
              <w:rPr>
                <w:rFonts w:eastAsia="Times New Roman" w:cs="Times New Roman"/>
                <w:sz w:val="20"/>
                <w:szCs w:val="20"/>
                <w:lang w:eastAsia="cs-CZ"/>
              </w:rPr>
              <w:t>x</w:t>
            </w:r>
          </w:p>
        </w:tc>
      </w:tr>
      <w:tr w:rsidR="00184D1B" w:rsidRPr="005812CB" w14:paraId="75DF6A24" w14:textId="77777777" w:rsidTr="00184D1B">
        <w:trPr>
          <w:trHeight w:val="501"/>
        </w:trPr>
        <w:tc>
          <w:tcPr>
            <w:tcW w:w="3671" w:type="dxa"/>
            <w:tcBorders>
              <w:top w:val="single" w:sz="4" w:space="0" w:color="auto"/>
              <w:left w:val="single" w:sz="4" w:space="0" w:color="auto"/>
              <w:bottom w:val="nil"/>
              <w:right w:val="single" w:sz="4" w:space="0" w:color="auto"/>
            </w:tcBorders>
          </w:tcPr>
          <w:p w14:paraId="7585AC2D" w14:textId="52268338" w:rsidR="00184D1B" w:rsidRPr="006A755F" w:rsidRDefault="00184D1B" w:rsidP="00184D1B">
            <w:pPr>
              <w:spacing w:after="0" w:line="240" w:lineRule="auto"/>
              <w:rPr>
                <w:rFonts w:eastAsia="Times New Roman" w:cs="Times New Roman"/>
                <w:b/>
                <w:bCs/>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 xml:space="preserve">Neinvestiční transfery do zahraničí </w:t>
            </w:r>
            <w:r w:rsidRPr="006A755F">
              <w:rPr>
                <w:rFonts w:eastAsia="Times New Roman" w:cs="Times New Roman"/>
                <w:color w:val="2E74B5" w:themeColor="accent1" w:themeShade="BF"/>
                <w:sz w:val="20"/>
                <w:szCs w:val="20"/>
                <w:lang w:eastAsia="cs-CZ"/>
              </w:rPr>
              <w:t>(</w:t>
            </w:r>
            <w:proofErr w:type="spellStart"/>
            <w:r w:rsidRPr="006A755F">
              <w:rPr>
                <w:rFonts w:eastAsia="Times New Roman" w:cs="Times New Roman"/>
                <w:color w:val="2E74B5" w:themeColor="accent1" w:themeShade="BF"/>
                <w:sz w:val="20"/>
                <w:szCs w:val="20"/>
                <w:lang w:eastAsia="cs-CZ"/>
              </w:rPr>
              <w:t>podsesk</w:t>
            </w:r>
            <w:proofErr w:type="spellEnd"/>
            <w:r w:rsidRPr="006A755F">
              <w:rPr>
                <w:rFonts w:eastAsia="Times New Roman" w:cs="Times New Roman"/>
                <w:color w:val="2E74B5" w:themeColor="accent1" w:themeShade="BF"/>
                <w:sz w:val="20"/>
                <w:szCs w:val="20"/>
                <w:lang w:eastAsia="cs-CZ"/>
              </w:rPr>
              <w:t>. pol. 551, 553,554)</w:t>
            </w:r>
          </w:p>
        </w:tc>
        <w:tc>
          <w:tcPr>
            <w:tcW w:w="1149" w:type="dxa"/>
            <w:tcBorders>
              <w:top w:val="single" w:sz="4" w:space="0" w:color="auto"/>
              <w:left w:val="single" w:sz="4" w:space="0" w:color="auto"/>
              <w:bottom w:val="nil"/>
              <w:right w:val="single" w:sz="4" w:space="0" w:color="auto"/>
            </w:tcBorders>
            <w:vAlign w:val="center"/>
          </w:tcPr>
          <w:p w14:paraId="242B26C5" w14:textId="77777777" w:rsidR="00184D1B" w:rsidRPr="006A755F" w:rsidRDefault="00184D1B" w:rsidP="00184D1B">
            <w:pPr>
              <w:spacing w:after="0" w:line="240" w:lineRule="auto"/>
              <w:jc w:val="right"/>
              <w:rPr>
                <w:rFonts w:eastAsia="Times New Roman" w:cs="Times New Roman"/>
                <w:b/>
                <w:bCs/>
                <w:color w:val="2E74B5" w:themeColor="accent1" w:themeShade="BF"/>
                <w:sz w:val="20"/>
                <w:szCs w:val="20"/>
                <w:lang w:eastAsia="cs-CZ"/>
              </w:rPr>
            </w:pPr>
            <w:r w:rsidRPr="006A755F">
              <w:rPr>
                <w:rFonts w:eastAsia="Times New Roman" w:cs="Times New Roman"/>
                <w:b/>
                <w:bCs/>
                <w:color w:val="2E74B5" w:themeColor="accent1" w:themeShade="BF"/>
                <w:sz w:val="20"/>
                <w:szCs w:val="20"/>
                <w:lang w:eastAsia="cs-CZ"/>
              </w:rPr>
              <w:t>1 192 706</w:t>
            </w:r>
          </w:p>
        </w:tc>
        <w:tc>
          <w:tcPr>
            <w:tcW w:w="1119" w:type="dxa"/>
            <w:tcBorders>
              <w:top w:val="single" w:sz="4" w:space="0" w:color="auto"/>
              <w:left w:val="single" w:sz="4" w:space="0" w:color="auto"/>
              <w:bottom w:val="nil"/>
              <w:right w:val="single" w:sz="4" w:space="0" w:color="auto"/>
            </w:tcBorders>
            <w:vAlign w:val="center"/>
          </w:tcPr>
          <w:p w14:paraId="267B271D" w14:textId="77777777" w:rsidR="00184D1B" w:rsidRPr="008707E3" w:rsidRDefault="00184D1B" w:rsidP="00184D1B">
            <w:pPr>
              <w:spacing w:after="0" w:line="240" w:lineRule="auto"/>
              <w:jc w:val="right"/>
              <w:rPr>
                <w:rFonts w:eastAsia="Times New Roman" w:cs="Times New Roman"/>
                <w:b/>
                <w:color w:val="FF0000"/>
                <w:sz w:val="20"/>
                <w:szCs w:val="20"/>
                <w:lang w:eastAsia="cs-CZ"/>
              </w:rPr>
            </w:pPr>
            <w:r w:rsidRPr="00305CD3">
              <w:rPr>
                <w:rFonts w:eastAsia="Times New Roman" w:cs="Times New Roman"/>
                <w:b/>
                <w:color w:val="2E74B5" w:themeColor="accent1" w:themeShade="BF"/>
                <w:sz w:val="20"/>
                <w:szCs w:val="20"/>
                <w:lang w:eastAsia="cs-CZ"/>
              </w:rPr>
              <w:t>1 224 981</w:t>
            </w:r>
          </w:p>
        </w:tc>
        <w:tc>
          <w:tcPr>
            <w:tcW w:w="1134" w:type="dxa"/>
            <w:tcBorders>
              <w:top w:val="single" w:sz="4" w:space="0" w:color="auto"/>
              <w:left w:val="single" w:sz="4" w:space="0" w:color="auto"/>
              <w:bottom w:val="nil"/>
              <w:right w:val="single" w:sz="4" w:space="0" w:color="auto"/>
            </w:tcBorders>
            <w:vAlign w:val="center"/>
          </w:tcPr>
          <w:p w14:paraId="5D984B51" w14:textId="77777777" w:rsidR="00184D1B" w:rsidRPr="003C5A68" w:rsidRDefault="00184D1B" w:rsidP="00184D1B">
            <w:pPr>
              <w:spacing w:after="0" w:line="240" w:lineRule="auto"/>
              <w:jc w:val="right"/>
              <w:rPr>
                <w:rFonts w:eastAsia="Times New Roman" w:cs="Times New Roman"/>
                <w:b/>
                <w:color w:val="4472C4" w:themeColor="accent5"/>
                <w:sz w:val="20"/>
                <w:szCs w:val="20"/>
                <w:lang w:eastAsia="cs-CZ"/>
              </w:rPr>
            </w:pPr>
            <w:r w:rsidRPr="003C5A68">
              <w:rPr>
                <w:rFonts w:eastAsia="Times New Roman" w:cs="Times New Roman"/>
                <w:b/>
                <w:color w:val="4472C4" w:themeColor="accent5"/>
                <w:sz w:val="20"/>
                <w:szCs w:val="20"/>
                <w:lang w:eastAsia="cs-CZ"/>
              </w:rPr>
              <w:t>1 197 456</w:t>
            </w:r>
          </w:p>
        </w:tc>
        <w:tc>
          <w:tcPr>
            <w:tcW w:w="1149" w:type="dxa"/>
            <w:tcBorders>
              <w:top w:val="single" w:sz="4" w:space="0" w:color="auto"/>
              <w:left w:val="single" w:sz="4" w:space="0" w:color="auto"/>
              <w:bottom w:val="nil"/>
              <w:right w:val="single" w:sz="4" w:space="0" w:color="auto"/>
            </w:tcBorders>
            <w:vAlign w:val="center"/>
          </w:tcPr>
          <w:p w14:paraId="368E3CB7" w14:textId="77777777" w:rsidR="00184D1B" w:rsidRPr="003C5A68" w:rsidRDefault="00184D1B" w:rsidP="00184D1B">
            <w:pPr>
              <w:spacing w:after="0" w:line="240" w:lineRule="auto"/>
              <w:jc w:val="right"/>
              <w:rPr>
                <w:rFonts w:eastAsia="Times New Roman" w:cs="Times New Roman"/>
                <w:b/>
                <w:bCs/>
                <w:color w:val="4472C4" w:themeColor="accent5"/>
                <w:sz w:val="20"/>
                <w:szCs w:val="20"/>
                <w:lang w:eastAsia="cs-CZ"/>
              </w:rPr>
            </w:pPr>
            <w:r w:rsidRPr="003C5A68">
              <w:rPr>
                <w:rFonts w:eastAsia="Times New Roman" w:cs="Times New Roman"/>
                <w:b/>
                <w:bCs/>
                <w:color w:val="4472C4" w:themeColor="accent5"/>
                <w:sz w:val="20"/>
                <w:szCs w:val="20"/>
                <w:lang w:eastAsia="cs-CZ"/>
              </w:rPr>
              <w:t>1 189 399</w:t>
            </w:r>
          </w:p>
        </w:tc>
        <w:tc>
          <w:tcPr>
            <w:tcW w:w="850" w:type="dxa"/>
            <w:tcBorders>
              <w:top w:val="single" w:sz="4" w:space="0" w:color="auto"/>
              <w:left w:val="single" w:sz="4" w:space="0" w:color="auto"/>
              <w:bottom w:val="nil"/>
              <w:right w:val="single" w:sz="4" w:space="0" w:color="auto"/>
            </w:tcBorders>
            <w:vAlign w:val="center"/>
          </w:tcPr>
          <w:p w14:paraId="09BC0D9A" w14:textId="77777777" w:rsidR="00184D1B" w:rsidRPr="005812CB" w:rsidRDefault="00184D1B" w:rsidP="00184D1B">
            <w:pPr>
              <w:spacing w:after="0" w:line="240" w:lineRule="auto"/>
              <w:jc w:val="right"/>
              <w:rPr>
                <w:rFonts w:eastAsia="Times New Roman" w:cs="Times New Roman"/>
                <w:b/>
                <w:bCs/>
                <w:color w:val="4472C4" w:themeColor="accent5"/>
                <w:sz w:val="20"/>
                <w:szCs w:val="20"/>
                <w:lang w:eastAsia="cs-CZ"/>
              </w:rPr>
            </w:pPr>
            <w:r w:rsidRPr="005812CB">
              <w:rPr>
                <w:rFonts w:eastAsia="Times New Roman" w:cs="Times New Roman"/>
                <w:b/>
                <w:bCs/>
                <w:color w:val="4472C4" w:themeColor="accent5"/>
                <w:sz w:val="20"/>
                <w:szCs w:val="20"/>
                <w:lang w:eastAsia="cs-CZ"/>
              </w:rPr>
              <w:t>99,3</w:t>
            </w:r>
          </w:p>
        </w:tc>
        <w:tc>
          <w:tcPr>
            <w:tcW w:w="851" w:type="dxa"/>
            <w:tcBorders>
              <w:top w:val="single" w:sz="4" w:space="0" w:color="auto"/>
              <w:left w:val="single" w:sz="4" w:space="0" w:color="auto"/>
              <w:bottom w:val="nil"/>
              <w:right w:val="single" w:sz="4" w:space="0" w:color="auto"/>
            </w:tcBorders>
            <w:vAlign w:val="center"/>
          </w:tcPr>
          <w:p w14:paraId="0E628D9D" w14:textId="77777777" w:rsidR="00184D1B" w:rsidRPr="005812CB" w:rsidRDefault="00184D1B" w:rsidP="00184D1B">
            <w:pPr>
              <w:spacing w:after="0" w:line="240" w:lineRule="auto"/>
              <w:jc w:val="right"/>
              <w:rPr>
                <w:rFonts w:eastAsia="Times New Roman" w:cs="Times New Roman"/>
                <w:b/>
                <w:bCs/>
                <w:color w:val="4472C4" w:themeColor="accent5"/>
                <w:sz w:val="20"/>
                <w:szCs w:val="20"/>
                <w:lang w:eastAsia="cs-CZ"/>
              </w:rPr>
            </w:pPr>
            <w:r w:rsidRPr="005812CB">
              <w:rPr>
                <w:rFonts w:eastAsia="Times New Roman" w:cs="Times New Roman"/>
                <w:b/>
                <w:bCs/>
                <w:color w:val="4472C4" w:themeColor="accent5"/>
                <w:sz w:val="20"/>
                <w:szCs w:val="20"/>
                <w:lang w:eastAsia="cs-CZ"/>
              </w:rPr>
              <w:t>99,7</w:t>
            </w:r>
          </w:p>
        </w:tc>
      </w:tr>
      <w:tr w:rsidR="00184D1B" w:rsidRPr="006A755F" w14:paraId="25DF3755" w14:textId="77777777" w:rsidTr="00184D1B">
        <w:trPr>
          <w:trHeight w:val="230"/>
        </w:trPr>
        <w:tc>
          <w:tcPr>
            <w:tcW w:w="3671" w:type="dxa"/>
            <w:tcBorders>
              <w:top w:val="nil"/>
              <w:left w:val="single" w:sz="4" w:space="0" w:color="auto"/>
              <w:bottom w:val="single" w:sz="4" w:space="0" w:color="auto"/>
              <w:right w:val="single" w:sz="4" w:space="0" w:color="auto"/>
            </w:tcBorders>
          </w:tcPr>
          <w:p w14:paraId="16F7EA6E" w14:textId="77777777" w:rsidR="00184D1B" w:rsidRPr="006A755F" w:rsidRDefault="00184D1B" w:rsidP="00184D1B">
            <w:pPr>
              <w:spacing w:after="0" w:line="240" w:lineRule="auto"/>
              <w:rPr>
                <w:rFonts w:eastAsia="Times New Roman" w:cs="Times New Roman"/>
                <w:sz w:val="20"/>
                <w:szCs w:val="20"/>
                <w:lang w:eastAsia="cs-CZ"/>
              </w:rPr>
            </w:pPr>
            <w:r w:rsidRPr="006A755F">
              <w:rPr>
                <w:rFonts w:eastAsia="Times New Roman" w:cs="Times New Roman"/>
                <w:sz w:val="20"/>
                <w:szCs w:val="20"/>
                <w:lang w:eastAsia="cs-CZ"/>
              </w:rPr>
              <w:t>z toho: RISPF</w:t>
            </w:r>
          </w:p>
        </w:tc>
        <w:tc>
          <w:tcPr>
            <w:tcW w:w="1149" w:type="dxa"/>
            <w:tcBorders>
              <w:top w:val="nil"/>
              <w:left w:val="single" w:sz="4" w:space="0" w:color="auto"/>
              <w:bottom w:val="single" w:sz="4" w:space="0" w:color="auto"/>
              <w:right w:val="single" w:sz="4" w:space="0" w:color="auto"/>
            </w:tcBorders>
          </w:tcPr>
          <w:p w14:paraId="3FE94179" w14:textId="77777777" w:rsidR="00184D1B" w:rsidRPr="006A755F" w:rsidRDefault="00184D1B" w:rsidP="00184D1B">
            <w:pPr>
              <w:spacing w:after="0" w:line="240" w:lineRule="auto"/>
              <w:jc w:val="right"/>
              <w:rPr>
                <w:rFonts w:eastAsia="Times New Roman" w:cs="Times New Roman"/>
                <w:bCs/>
                <w:color w:val="FF0000"/>
                <w:sz w:val="20"/>
                <w:szCs w:val="20"/>
                <w:lang w:eastAsia="cs-CZ"/>
              </w:rPr>
            </w:pPr>
            <w:r w:rsidRPr="006A755F">
              <w:rPr>
                <w:rFonts w:eastAsia="Times New Roman" w:cs="Times New Roman"/>
                <w:bCs/>
                <w:sz w:val="20"/>
                <w:szCs w:val="20"/>
                <w:lang w:eastAsia="cs-CZ"/>
              </w:rPr>
              <w:t>6 348</w:t>
            </w:r>
          </w:p>
        </w:tc>
        <w:tc>
          <w:tcPr>
            <w:tcW w:w="1119" w:type="dxa"/>
            <w:tcBorders>
              <w:top w:val="nil"/>
              <w:left w:val="single" w:sz="4" w:space="0" w:color="auto"/>
              <w:bottom w:val="single" w:sz="4" w:space="0" w:color="auto"/>
              <w:right w:val="single" w:sz="4" w:space="0" w:color="auto"/>
            </w:tcBorders>
          </w:tcPr>
          <w:p w14:paraId="72818BAE" w14:textId="77777777" w:rsidR="00184D1B" w:rsidRPr="001D26A1" w:rsidRDefault="00184D1B" w:rsidP="00184D1B">
            <w:pPr>
              <w:spacing w:after="0" w:line="240" w:lineRule="auto"/>
              <w:jc w:val="right"/>
              <w:rPr>
                <w:rFonts w:eastAsia="Times New Roman" w:cs="Times New Roman"/>
                <w:sz w:val="20"/>
                <w:szCs w:val="20"/>
                <w:lang w:eastAsia="cs-CZ"/>
              </w:rPr>
            </w:pPr>
            <w:r w:rsidRPr="001D26A1">
              <w:rPr>
                <w:rFonts w:eastAsia="Times New Roman" w:cs="Times New Roman"/>
                <w:sz w:val="20"/>
                <w:szCs w:val="20"/>
                <w:lang w:eastAsia="cs-CZ"/>
              </w:rPr>
              <w:t>0</w:t>
            </w:r>
          </w:p>
        </w:tc>
        <w:tc>
          <w:tcPr>
            <w:tcW w:w="1134" w:type="dxa"/>
            <w:tcBorders>
              <w:top w:val="nil"/>
              <w:left w:val="single" w:sz="4" w:space="0" w:color="auto"/>
              <w:bottom w:val="single" w:sz="4" w:space="0" w:color="auto"/>
              <w:right w:val="single" w:sz="4" w:space="0" w:color="auto"/>
            </w:tcBorders>
          </w:tcPr>
          <w:p w14:paraId="6ED89269" w14:textId="77777777" w:rsidR="00184D1B" w:rsidRPr="008707E3" w:rsidRDefault="00184D1B" w:rsidP="00184D1B">
            <w:pPr>
              <w:spacing w:after="0" w:line="240" w:lineRule="auto"/>
              <w:jc w:val="right"/>
              <w:rPr>
                <w:rFonts w:eastAsia="Times New Roman" w:cs="Times New Roman"/>
                <w:color w:val="FF0000"/>
                <w:sz w:val="20"/>
                <w:szCs w:val="20"/>
                <w:lang w:eastAsia="cs-CZ"/>
              </w:rPr>
            </w:pPr>
            <w:r w:rsidRPr="00DB24BF">
              <w:rPr>
                <w:rFonts w:eastAsia="Times New Roman" w:cs="Times New Roman"/>
                <w:sz w:val="20"/>
                <w:szCs w:val="20"/>
                <w:lang w:eastAsia="cs-CZ"/>
              </w:rPr>
              <w:t>0</w:t>
            </w:r>
          </w:p>
        </w:tc>
        <w:tc>
          <w:tcPr>
            <w:tcW w:w="1149" w:type="dxa"/>
            <w:tcBorders>
              <w:top w:val="nil"/>
              <w:left w:val="single" w:sz="4" w:space="0" w:color="auto"/>
              <w:bottom w:val="single" w:sz="4" w:space="0" w:color="auto"/>
              <w:right w:val="single" w:sz="4" w:space="0" w:color="auto"/>
            </w:tcBorders>
          </w:tcPr>
          <w:p w14:paraId="0575BE42" w14:textId="77777777" w:rsidR="00184D1B" w:rsidRPr="008707E3" w:rsidRDefault="00184D1B" w:rsidP="00184D1B">
            <w:pPr>
              <w:spacing w:after="0" w:line="240" w:lineRule="auto"/>
              <w:jc w:val="right"/>
              <w:rPr>
                <w:rFonts w:eastAsia="Times New Roman" w:cs="Times New Roman"/>
                <w:bCs/>
                <w:color w:val="FF0000"/>
                <w:sz w:val="20"/>
                <w:szCs w:val="20"/>
                <w:lang w:eastAsia="cs-CZ"/>
              </w:rPr>
            </w:pPr>
            <w:r w:rsidRPr="00DB24BF">
              <w:rPr>
                <w:rFonts w:eastAsia="Times New Roman" w:cs="Times New Roman"/>
                <w:bCs/>
                <w:sz w:val="20"/>
                <w:szCs w:val="20"/>
                <w:lang w:eastAsia="cs-CZ"/>
              </w:rPr>
              <w:t>3 484</w:t>
            </w:r>
          </w:p>
        </w:tc>
        <w:tc>
          <w:tcPr>
            <w:tcW w:w="850" w:type="dxa"/>
            <w:tcBorders>
              <w:top w:val="nil"/>
              <w:left w:val="single" w:sz="4" w:space="0" w:color="auto"/>
              <w:bottom w:val="single" w:sz="4" w:space="0" w:color="auto"/>
              <w:right w:val="single" w:sz="4" w:space="0" w:color="auto"/>
            </w:tcBorders>
          </w:tcPr>
          <w:p w14:paraId="1110A40D" w14:textId="77777777" w:rsidR="00184D1B" w:rsidRPr="006A755F" w:rsidRDefault="00184D1B" w:rsidP="00184D1B">
            <w:pPr>
              <w:spacing w:after="0" w:line="240" w:lineRule="auto"/>
              <w:jc w:val="right"/>
              <w:rPr>
                <w:rFonts w:eastAsia="Times New Roman" w:cs="Times New Roman"/>
                <w:bCs/>
                <w:sz w:val="20"/>
                <w:szCs w:val="20"/>
                <w:lang w:eastAsia="cs-CZ"/>
              </w:rPr>
            </w:pPr>
            <w:r w:rsidRPr="006A755F">
              <w:rPr>
                <w:rFonts w:eastAsia="Times New Roman" w:cs="Times New Roman"/>
                <w:bCs/>
                <w:sz w:val="20"/>
                <w:szCs w:val="20"/>
                <w:lang w:eastAsia="cs-CZ"/>
              </w:rPr>
              <w:t>x</w:t>
            </w:r>
          </w:p>
        </w:tc>
        <w:tc>
          <w:tcPr>
            <w:tcW w:w="851" w:type="dxa"/>
            <w:tcBorders>
              <w:top w:val="nil"/>
              <w:left w:val="single" w:sz="4" w:space="0" w:color="auto"/>
              <w:bottom w:val="single" w:sz="4" w:space="0" w:color="auto"/>
              <w:right w:val="single" w:sz="4" w:space="0" w:color="auto"/>
            </w:tcBorders>
          </w:tcPr>
          <w:p w14:paraId="4672316F" w14:textId="77777777" w:rsidR="00184D1B" w:rsidRPr="006A755F" w:rsidRDefault="00184D1B" w:rsidP="00184D1B">
            <w:pPr>
              <w:spacing w:after="0" w:line="240" w:lineRule="auto"/>
              <w:jc w:val="right"/>
              <w:rPr>
                <w:rFonts w:eastAsia="Times New Roman" w:cs="Times New Roman"/>
                <w:bCs/>
                <w:sz w:val="20"/>
                <w:szCs w:val="20"/>
                <w:lang w:eastAsia="cs-CZ"/>
              </w:rPr>
            </w:pPr>
            <w:r>
              <w:rPr>
                <w:rFonts w:eastAsia="Times New Roman" w:cs="Times New Roman"/>
                <w:bCs/>
                <w:sz w:val="20"/>
                <w:szCs w:val="20"/>
                <w:lang w:eastAsia="cs-CZ"/>
              </w:rPr>
              <w:t>54,9</w:t>
            </w:r>
          </w:p>
        </w:tc>
      </w:tr>
    </w:tbl>
    <w:p w14:paraId="790D1668" w14:textId="419A0E6B" w:rsidR="00BB628F" w:rsidRPr="006B6D61" w:rsidRDefault="00BB628F" w:rsidP="00BB628F">
      <w:pPr>
        <w:pStyle w:val="KOMGrafy"/>
      </w:pPr>
      <w:bookmarkStart w:id="59" w:name="_Toc160457122"/>
      <w:r w:rsidRPr="006B6D61">
        <w:rPr>
          <w:rFonts w:cstheme="minorHAnsi"/>
        </w:rPr>
        <w:lastRenderedPageBreak/>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5</w:t>
      </w:r>
      <w:r w:rsidRPr="006B6D61">
        <w:rPr>
          <w:noProof/>
        </w:rPr>
        <w:fldChar w:fldCharType="end"/>
      </w:r>
      <w:r w:rsidRPr="006B6D61">
        <w:rPr>
          <w:rFonts w:cstheme="minorHAnsi"/>
        </w:rPr>
        <w:t xml:space="preserve">: </w:t>
      </w:r>
      <w:r w:rsidR="00EB52FF" w:rsidRPr="006B6D61">
        <w:rPr>
          <w:rFonts w:cstheme="minorHAnsi"/>
        </w:rPr>
        <w:t>Členění běžných výdajů kapitoly 327-MD</w:t>
      </w:r>
      <w:bookmarkEnd w:id="59"/>
      <w:r w:rsidRPr="006B6D61">
        <w:rPr>
          <w:rFonts w:cstheme="minorHAnsi"/>
        </w:rPr>
        <w:t xml:space="preserve"> </w:t>
      </w:r>
    </w:p>
    <w:p w14:paraId="4D4C099C" w14:textId="504C37B5" w:rsidR="00BB628F" w:rsidRPr="0077128B" w:rsidRDefault="00EB52FF" w:rsidP="003F0A7C">
      <w:pPr>
        <w:pStyle w:val="KOMtext"/>
        <w:rPr>
          <w:color w:val="FF0000"/>
        </w:rPr>
      </w:pPr>
      <w:r w:rsidRPr="0077128B">
        <w:rPr>
          <w:noProof/>
          <w:color w:val="FF0000"/>
        </w:rPr>
        <w:drawing>
          <wp:inline distT="0" distB="0" distL="0" distR="0" wp14:anchorId="52D12255" wp14:editId="206E2170">
            <wp:extent cx="5760000" cy="2160000"/>
            <wp:effectExtent l="0" t="0" r="12700" b="12065"/>
            <wp:docPr id="40" name="Graf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48C6431" w14:textId="44BE4E6C" w:rsidR="00E4563C" w:rsidRPr="006B6D61" w:rsidRDefault="00E4563C" w:rsidP="008A0E44">
      <w:pPr>
        <w:pStyle w:val="KOMnadp4"/>
        <w:rPr>
          <w:lang w:eastAsia="cs-CZ"/>
        </w:rPr>
      </w:pPr>
      <w:r w:rsidRPr="006B6D61">
        <w:rPr>
          <w:lang w:eastAsia="cs-CZ"/>
        </w:rPr>
        <w:t>Užší běžné výdaje organizačních složek státu</w:t>
      </w:r>
    </w:p>
    <w:p w14:paraId="06F03816" w14:textId="6353208D" w:rsidR="0077411F" w:rsidRPr="0077128B" w:rsidRDefault="0077411F" w:rsidP="006B6D61">
      <w:pPr>
        <w:pStyle w:val="KOMtext"/>
        <w:rPr>
          <w:color w:val="FF0000"/>
        </w:rPr>
      </w:pPr>
      <w:r w:rsidRPr="00115991">
        <w:t xml:space="preserve">Z celkově vyčerpaných běžných výdajů organizačních složek státu tvořily </w:t>
      </w:r>
      <w:r w:rsidRPr="00115991">
        <w:rPr>
          <w:b/>
        </w:rPr>
        <w:t>neinvestiční nákupy a související výdaje organizačních složek státu</w:t>
      </w:r>
      <w:r w:rsidRPr="00115991">
        <w:t xml:space="preserve"> (</w:t>
      </w:r>
      <w:proofErr w:type="spellStart"/>
      <w:r w:rsidRPr="00115991">
        <w:t>sesk</w:t>
      </w:r>
      <w:proofErr w:type="spellEnd"/>
      <w:r w:rsidRPr="00115991">
        <w:t>. pol. 51)</w:t>
      </w:r>
      <w:r w:rsidRPr="00582C5F">
        <w:rPr>
          <w:color w:val="FF0000"/>
        </w:rPr>
        <w:t xml:space="preserve"> </w:t>
      </w:r>
      <w:r w:rsidRPr="007669E7">
        <w:t xml:space="preserve">13,3 %, </w:t>
      </w:r>
      <w:r w:rsidRPr="006C220A">
        <w:t xml:space="preserve">tj. v absolutním vyjádření 839 502 tis. Kč. </w:t>
      </w:r>
      <w:r w:rsidRPr="00F72B76">
        <w:t xml:space="preserve">Ve srovnání s rokem 2022, ve kterém výdaje seskupení položek </w:t>
      </w:r>
      <w:r w:rsidRPr="00F72B76">
        <w:br/>
        <w:t>51 byly ve výši 738 647 tis. Kč, došlo k absolutnímu navýšení o 100 855 tis. Kč.</w:t>
      </w:r>
    </w:p>
    <w:p w14:paraId="1C8D031F" w14:textId="2805030F" w:rsidR="00282681" w:rsidRPr="0099402C" w:rsidRDefault="00282681" w:rsidP="00282681">
      <w:pPr>
        <w:pStyle w:val="KOMtext"/>
      </w:pPr>
      <w:r w:rsidRPr="006426BC">
        <w:t xml:space="preserve">Pokud se týká vnitřní struktury výdajů seskupení položek 51, podíl výdajů na </w:t>
      </w:r>
      <w:r w:rsidRPr="006B6D61">
        <w:rPr>
          <w:u w:val="single"/>
        </w:rPr>
        <w:t>nákup materiálu</w:t>
      </w:r>
      <w:r w:rsidRPr="006426BC">
        <w:t xml:space="preserve"> na seskupení položek 51 v roce</w:t>
      </w:r>
      <w:r w:rsidRPr="00582C5F">
        <w:rPr>
          <w:color w:val="FF0000"/>
        </w:rPr>
        <w:t xml:space="preserve"> </w:t>
      </w:r>
      <w:r w:rsidRPr="00125342">
        <w:t xml:space="preserve">2023 činil 34,4 %. </w:t>
      </w:r>
      <w:r w:rsidRPr="007767E3">
        <w:t xml:space="preserve">Výdaje na nákup materiálu v roce 2023 činily 288 545 tis. </w:t>
      </w:r>
      <w:r w:rsidRPr="00B265F7">
        <w:t>Kč (v roce 2022 činily 249 955 tis. Kč</w:t>
      </w:r>
      <w:r>
        <w:t xml:space="preserve">) tj. absolutní nárůst o 38 590 tis. Kč. </w:t>
      </w:r>
      <w:r w:rsidRPr="00DA5E38">
        <w:t>V roce 2023 došlo meziročně k nárůstu výdajů v seskupení položek 513</w:t>
      </w:r>
      <w:r>
        <w:rPr>
          <w:color w:val="FF0000"/>
        </w:rPr>
        <w:t xml:space="preserve"> </w:t>
      </w:r>
      <w:r w:rsidRPr="0099402C">
        <w:t>z důvodu růstu výdajů</w:t>
      </w:r>
      <w:r>
        <w:t xml:space="preserve"> </w:t>
      </w:r>
      <w:r w:rsidR="00087171">
        <w:br/>
      </w:r>
      <w:r>
        <w:t xml:space="preserve">u ústředního orgánu MD </w:t>
      </w:r>
      <w:r w:rsidRPr="0099402C">
        <w:t xml:space="preserve">na drobný dlouhodobý hmotný majetek o cca 19 929 tis. Kč oproti roku 2022, což souvisí zejména s výměnou notebooků s příslušenstvím, s výměnou zastaralých mobilních telefonů, stolních telefonů a dveřních komunikátorů. Významný byl nárůst výdajů na nákup materiálu, zejména na řidičské průkazy oproti roku 2022 o cca 39 278 tis. Kč </w:t>
      </w:r>
      <w:r w:rsidR="00087171">
        <w:br/>
      </w:r>
      <w:r w:rsidRPr="0099402C">
        <w:t xml:space="preserve">(z důvodu velkého nárůstu počtu žadatelů o ŘP a také inflační doložky ve smlouvě). Rovněž </w:t>
      </w:r>
      <w:r w:rsidR="00087171">
        <w:br/>
      </w:r>
      <w:r w:rsidRPr="0099402C">
        <w:t>u výdajů na karty digitálního tachografu došlo oproti roku 2022 ke zvýšení o cca 24 399 tis. Kč. Naopak ke snížení o cca 46 069 tis. Kč došlo u výdajů na dodání tabulek registračních značek.</w:t>
      </w:r>
    </w:p>
    <w:p w14:paraId="48883F68" w14:textId="00C216B0" w:rsidR="00282681" w:rsidRPr="006B6D61" w:rsidRDefault="00282681" w:rsidP="00282681">
      <w:pPr>
        <w:pStyle w:val="KOMtext"/>
      </w:pPr>
      <w:r w:rsidRPr="00DE115C">
        <w:t xml:space="preserve">Podíl </w:t>
      </w:r>
      <w:r w:rsidRPr="00DE115C">
        <w:rPr>
          <w:u w:val="single"/>
        </w:rPr>
        <w:t>nákupu vody, paliv a energie</w:t>
      </w:r>
      <w:r w:rsidRPr="00DE115C">
        <w:t xml:space="preserve"> na neinvestičních nákupech a souvisejících výdajích v roce 2023 </w:t>
      </w:r>
      <w:r w:rsidRPr="007D2173">
        <w:t xml:space="preserve">činil </w:t>
      </w:r>
      <w:r w:rsidRPr="00484D94">
        <w:t xml:space="preserve">4,1 %, absolutně 34 325 tis. Kč. Oproti roku 2022 (32 118 tis. Kč) vzrostla vydaná částka o 2 207 tis. Kč. </w:t>
      </w:r>
      <w:r w:rsidRPr="00765D3D">
        <w:t>V roce 2023 došlo meziročně k nárůstu výdajů v seskupení položek 515 z důvodu růstu cen plynu a elektřiny</w:t>
      </w:r>
      <w:r w:rsidR="00B77998">
        <w:t>,</w:t>
      </w:r>
      <w:r w:rsidRPr="00765D3D">
        <w:t xml:space="preserve"> a to i přes úsporná opatření v oblasti spotřeby elektrické energie a plynu v budově Ministerstva dopravy.  Nákup plynu a elektrické energie zajišťuje pro MD Správa železnic prostřednictvím burzovního obchodu na trhu PXE.</w:t>
      </w:r>
    </w:p>
    <w:p w14:paraId="2DF5570B" w14:textId="0714B3B8" w:rsidR="00282681" w:rsidRPr="00582C5F" w:rsidRDefault="00282681" w:rsidP="00282681">
      <w:pPr>
        <w:pStyle w:val="KOMtext"/>
        <w:rPr>
          <w:rFonts w:ascii="Times New Roman" w:hAnsi="Times New Roman"/>
          <w:color w:val="FF0000"/>
        </w:rPr>
      </w:pPr>
      <w:r w:rsidRPr="00686113">
        <w:rPr>
          <w:u w:val="single"/>
        </w:rPr>
        <w:lastRenderedPageBreak/>
        <w:t>Nákup služeb</w:t>
      </w:r>
      <w:r w:rsidRPr="00686113">
        <w:t xml:space="preserve"> ve výši 45</w:t>
      </w:r>
      <w:r>
        <w:t>9</w:t>
      </w:r>
      <w:r w:rsidRPr="00686113">
        <w:t xml:space="preserve"> 81</w:t>
      </w:r>
      <w:r>
        <w:t>7</w:t>
      </w:r>
      <w:r w:rsidRPr="00686113">
        <w:t xml:space="preserve"> tis. Kč se podílel na neinvestičních nákupech a souvisejících výdajích </w:t>
      </w:r>
      <w:r w:rsidRPr="00D76E7E">
        <w:t xml:space="preserve">54,8 %. </w:t>
      </w:r>
      <w:r w:rsidRPr="009855EB">
        <w:t>Nákup služeb oproti roku 2022 (403 811 tis. Kč</w:t>
      </w:r>
      <w:r w:rsidRPr="002E5DF3">
        <w:t xml:space="preserve">) vzrostl o 56 006 tis. Kč, </w:t>
      </w:r>
      <w:r w:rsidRPr="00582C5F">
        <w:rPr>
          <w:color w:val="FF0000"/>
        </w:rPr>
        <w:br/>
      </w:r>
      <w:r w:rsidRPr="009855EB">
        <w:t xml:space="preserve"> </w:t>
      </w:r>
      <w:r w:rsidRPr="00F12250">
        <w:t xml:space="preserve">a to  z důvodu zvýšení výdajů na položce konzultačních a poradenských služeb (především  výdaje na hodnocení vlivu OPD2  na rozvoj vybraných aglomerací, na  poskytování technické podpory při posuzování územně plánovací dokumentace a na akustickou studii elektromobility)  a  zejména nárůstu výdajů u  služeb v oblasti ICT, především výdajů na  provoz IS Portál dopravy a digitalizaci agend mimo Portál dopravy (Digitální Česko a </w:t>
      </w:r>
      <w:proofErr w:type="spellStart"/>
      <w:r w:rsidRPr="00F12250">
        <w:t>eGoverment</w:t>
      </w:r>
      <w:proofErr w:type="spellEnd"/>
      <w:r w:rsidRPr="00F12250">
        <w:t xml:space="preserve">) </w:t>
      </w:r>
      <w:r w:rsidR="00087171">
        <w:br/>
      </w:r>
      <w:r w:rsidRPr="00F12250">
        <w:t>a také výdajů na poskytnutí virtuální infrastruktury, řízení jejího provozu, zajišťování její dostupnosti, kybernetické bezpečnosti. Došlo také ke zvýšení výdajů na položce nákup ostatních služeb z důvodu zejména realizace konference "Budoucnost vzdělávání řidičů".</w:t>
      </w:r>
    </w:p>
    <w:p w14:paraId="381907CE" w14:textId="30ED14DC" w:rsidR="00282681" w:rsidRPr="00582C5F" w:rsidRDefault="00282681" w:rsidP="00282681">
      <w:pPr>
        <w:pStyle w:val="KOMtext"/>
        <w:rPr>
          <w:color w:val="FF0000"/>
        </w:rPr>
      </w:pPr>
      <w:r w:rsidRPr="005C21AD">
        <w:rPr>
          <w:u w:val="single"/>
        </w:rPr>
        <w:t>Ostatní nákupy</w:t>
      </w:r>
      <w:r w:rsidRPr="005C21AD">
        <w:t xml:space="preserve"> ve výši 49 312 tis. Kč se podílely na neinvestičních nákupech a souvisejících výdajích v roce 2023 </w:t>
      </w:r>
      <w:r w:rsidRPr="00B07F2B">
        <w:t>5,9</w:t>
      </w:r>
      <w:r w:rsidR="00087171">
        <w:t xml:space="preserve"> </w:t>
      </w:r>
      <w:r w:rsidRPr="00B07F2B">
        <w:t xml:space="preserve">%. </w:t>
      </w:r>
      <w:r w:rsidRPr="00D00682">
        <w:t xml:space="preserve">Oproti roku 2022 (46 756 tis. Kč) </w:t>
      </w:r>
      <w:r w:rsidRPr="003C7DA8">
        <w:t xml:space="preserve">ostatní nákupy mírně narostly </w:t>
      </w:r>
      <w:r w:rsidRPr="00582C5F">
        <w:rPr>
          <w:color w:val="FF0000"/>
        </w:rPr>
        <w:br/>
      </w:r>
      <w:r w:rsidRPr="003C7DA8">
        <w:t xml:space="preserve">(o 105,6 tis. Kč). </w:t>
      </w:r>
      <w:r w:rsidRPr="002A2D9F">
        <w:t>V roce 2023 došlo meziročně k mírnému růstu výdajů v seskupení položek 517</w:t>
      </w:r>
      <w:r w:rsidR="00B77998">
        <w:t>,</w:t>
      </w:r>
      <w:r w:rsidRPr="002A2D9F">
        <w:t xml:space="preserve"> a to zejména z důvodu růstu výdajů na zahraniční pracovní cesty, pohoštění a účastnické poplatky na konference. Kromě cest do sousedních států byly realizovány také cesty spojené s mimoevropskými destinacemi, které souvisí se zapojením </w:t>
      </w:r>
      <w:proofErr w:type="gramStart"/>
      <w:r w:rsidRPr="002A2D9F">
        <w:t>rezortu</w:t>
      </w:r>
      <w:proofErr w:type="gramEnd"/>
      <w:r w:rsidRPr="002A2D9F">
        <w:t xml:space="preserve"> dopravy do projektů ekonomické a vědecké diplomacie PROPED a cesty související s aktivním naplněním členství </w:t>
      </w:r>
      <w:r w:rsidR="00087171">
        <w:br/>
      </w:r>
      <w:r w:rsidRPr="002A2D9F">
        <w:t>v klíčových mezinárodních organizacích v dopravě a kosmických aktivitách a také byl uspořádán Světový silniční kongres PIARC v Praze.</w:t>
      </w:r>
    </w:p>
    <w:p w14:paraId="334D3644" w14:textId="77777777" w:rsidR="00282681" w:rsidRPr="00582C5F" w:rsidRDefault="00282681" w:rsidP="00282681">
      <w:pPr>
        <w:pStyle w:val="KOMtext"/>
        <w:rPr>
          <w:color w:val="FF0000"/>
        </w:rPr>
      </w:pPr>
      <w:r w:rsidRPr="00D829FF">
        <w:t xml:space="preserve">Z celkově vyčerpaných běžných výdajů organizačních složek státu tvořily </w:t>
      </w:r>
      <w:r w:rsidRPr="00D829FF">
        <w:rPr>
          <w:b/>
        </w:rPr>
        <w:t xml:space="preserve">Ostatní neinvestiční výdaje </w:t>
      </w:r>
      <w:r w:rsidRPr="00D829FF">
        <w:t>(</w:t>
      </w:r>
      <w:proofErr w:type="spellStart"/>
      <w:r w:rsidRPr="00D829FF">
        <w:t>sesk</w:t>
      </w:r>
      <w:proofErr w:type="spellEnd"/>
      <w:r w:rsidRPr="00D829FF">
        <w:t>. pol. 59)</w:t>
      </w:r>
      <w:r w:rsidRPr="00582C5F">
        <w:rPr>
          <w:color w:val="FF0000"/>
        </w:rPr>
        <w:t xml:space="preserve"> </w:t>
      </w:r>
      <w:r w:rsidRPr="009948C5">
        <w:t xml:space="preserve">0,01 %, </w:t>
      </w:r>
      <w:r w:rsidRPr="00F63518">
        <w:t xml:space="preserve">tj. v absolutním vyjádření 1 015 tis. Kč. Ve srovnání s rokem 2022, </w:t>
      </w:r>
      <w:r w:rsidRPr="00873326">
        <w:t xml:space="preserve">ve kterém výdaje seskupení položek 59 byly ve výši 458 tis. Kč, </w:t>
      </w:r>
      <w:r w:rsidRPr="00F63518">
        <w:t xml:space="preserve">došlo k absolutnímu nárůstu </w:t>
      </w:r>
      <w:r w:rsidRPr="005C0CB1">
        <w:t xml:space="preserve">o 557 tis. Kč. </w:t>
      </w:r>
      <w:r w:rsidRPr="00DD5191">
        <w:t>V roce 2023 došlo meziročně k nárůstu výdajů u pol. 5909 z důvodu vrácení prostředků po vyúčtování projektu, který se týkal technické podpory CEF.</w:t>
      </w:r>
    </w:p>
    <w:p w14:paraId="537D988C" w14:textId="68D51F6C" w:rsidR="00032247" w:rsidRPr="006B6D61" w:rsidRDefault="00324589" w:rsidP="008A0E44">
      <w:pPr>
        <w:pStyle w:val="KOMnadp4"/>
        <w:rPr>
          <w:sz w:val="22"/>
          <w:szCs w:val="22"/>
        </w:rPr>
      </w:pPr>
      <w:r w:rsidRPr="006B6D61">
        <w:rPr>
          <w:lang w:eastAsia="cs-CZ"/>
        </w:rPr>
        <w:lastRenderedPageBreak/>
        <w:t>Kapitálové výdaje</w:t>
      </w:r>
    </w:p>
    <w:tbl>
      <w:tblPr>
        <w:tblW w:w="539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22"/>
        <w:gridCol w:w="1275"/>
        <w:gridCol w:w="1130"/>
        <w:gridCol w:w="1138"/>
        <w:gridCol w:w="1422"/>
        <w:gridCol w:w="854"/>
        <w:gridCol w:w="850"/>
      </w:tblGrid>
      <w:tr w:rsidR="004D28B6" w:rsidRPr="006A755F" w14:paraId="2789836D" w14:textId="77777777" w:rsidTr="00136A61">
        <w:trPr>
          <w:trHeight w:val="293"/>
          <w:tblHeader/>
        </w:trPr>
        <w:tc>
          <w:tcPr>
            <w:tcW w:w="5000" w:type="pct"/>
            <w:gridSpan w:val="7"/>
            <w:tcBorders>
              <w:top w:val="nil"/>
              <w:left w:val="nil"/>
              <w:right w:val="nil"/>
            </w:tcBorders>
            <w:shd w:val="clear" w:color="auto" w:fill="auto"/>
          </w:tcPr>
          <w:p w14:paraId="09F217D9" w14:textId="77777777" w:rsidR="004D28B6" w:rsidRPr="006A755F" w:rsidRDefault="004D28B6" w:rsidP="00136A61">
            <w:pPr>
              <w:spacing w:after="0"/>
              <w:jc w:val="right"/>
              <w:rPr>
                <w:rFonts w:cstheme="minorHAnsi"/>
              </w:rPr>
            </w:pPr>
            <w:r w:rsidRPr="006A755F">
              <w:rPr>
                <w:rFonts w:cstheme="minorHAnsi"/>
              </w:rPr>
              <w:t>v tis. Kč</w:t>
            </w:r>
          </w:p>
        </w:tc>
      </w:tr>
      <w:tr w:rsidR="006B6D61" w:rsidRPr="006A755F" w14:paraId="6CAD40EA" w14:textId="77777777" w:rsidTr="001B33F7">
        <w:trPr>
          <w:trHeight w:val="551"/>
          <w:tblHeader/>
        </w:trPr>
        <w:tc>
          <w:tcPr>
            <w:tcW w:w="1595" w:type="pct"/>
            <w:vMerge w:val="restart"/>
            <w:shd w:val="pct12" w:color="auto" w:fill="auto"/>
            <w:vAlign w:val="center"/>
          </w:tcPr>
          <w:p w14:paraId="6183AAC9" w14:textId="77777777" w:rsidR="00E25C85" w:rsidRPr="006A755F" w:rsidRDefault="00E25C85" w:rsidP="00136A61">
            <w:pPr>
              <w:spacing w:before="240"/>
              <w:jc w:val="center"/>
              <w:rPr>
                <w:rFonts w:cstheme="minorHAnsi"/>
                <w:b/>
              </w:rPr>
            </w:pPr>
            <w:r w:rsidRPr="006A755F">
              <w:rPr>
                <w:rFonts w:cstheme="minorHAnsi"/>
                <w:b/>
              </w:rPr>
              <w:t>Ukazatel</w:t>
            </w:r>
          </w:p>
        </w:tc>
        <w:tc>
          <w:tcPr>
            <w:tcW w:w="651" w:type="pct"/>
            <w:vMerge w:val="restart"/>
            <w:tcBorders>
              <w:top w:val="single" w:sz="4" w:space="0" w:color="auto"/>
              <w:right w:val="single" w:sz="4" w:space="0" w:color="auto"/>
            </w:tcBorders>
            <w:shd w:val="pct12" w:color="auto" w:fill="auto"/>
            <w:vAlign w:val="center"/>
          </w:tcPr>
          <w:p w14:paraId="133BD815" w14:textId="77777777" w:rsidR="00E25C85" w:rsidRPr="006A755F" w:rsidRDefault="00E25C85" w:rsidP="00136A61">
            <w:pPr>
              <w:spacing w:before="60" w:after="60"/>
              <w:jc w:val="center"/>
              <w:rPr>
                <w:rFonts w:cstheme="minorHAnsi"/>
                <w:b/>
              </w:rPr>
            </w:pPr>
            <w:r w:rsidRPr="006A755F">
              <w:rPr>
                <w:rFonts w:cstheme="minorHAnsi"/>
                <w:b/>
              </w:rPr>
              <w:t>Skutečnost</w:t>
            </w:r>
          </w:p>
          <w:p w14:paraId="79DD6927" w14:textId="77777777" w:rsidR="00E25C85" w:rsidRPr="006A755F" w:rsidRDefault="00E25C85" w:rsidP="00136A61">
            <w:pPr>
              <w:spacing w:before="60" w:after="60"/>
              <w:jc w:val="center"/>
              <w:rPr>
                <w:rFonts w:cstheme="minorHAnsi"/>
                <w:b/>
              </w:rPr>
            </w:pPr>
            <w:r w:rsidRPr="006A755F">
              <w:rPr>
                <w:rFonts w:cstheme="minorHAnsi"/>
                <w:b/>
              </w:rPr>
              <w:t>202</w:t>
            </w:r>
            <w:r>
              <w:rPr>
                <w:rFonts w:cstheme="minorHAnsi"/>
                <w:b/>
              </w:rPr>
              <w:t>2</w:t>
            </w:r>
          </w:p>
        </w:tc>
        <w:tc>
          <w:tcPr>
            <w:tcW w:w="1158" w:type="pct"/>
            <w:gridSpan w:val="2"/>
            <w:tcBorders>
              <w:top w:val="single" w:sz="4" w:space="0" w:color="auto"/>
              <w:left w:val="single" w:sz="4" w:space="0" w:color="auto"/>
              <w:bottom w:val="single" w:sz="4" w:space="0" w:color="auto"/>
              <w:right w:val="single" w:sz="4" w:space="0" w:color="auto"/>
            </w:tcBorders>
            <w:shd w:val="pct12" w:color="auto" w:fill="auto"/>
            <w:vAlign w:val="center"/>
          </w:tcPr>
          <w:p w14:paraId="5ED15A16" w14:textId="367D66AA" w:rsidR="00E25C85" w:rsidRPr="006A755F" w:rsidRDefault="00E25C85" w:rsidP="001B33F7">
            <w:pPr>
              <w:spacing w:before="60" w:after="60"/>
              <w:jc w:val="center"/>
              <w:rPr>
                <w:rFonts w:cstheme="minorHAnsi"/>
                <w:b/>
              </w:rPr>
            </w:pPr>
            <w:r w:rsidRPr="006A755F">
              <w:rPr>
                <w:rFonts w:cstheme="minorHAnsi"/>
                <w:b/>
              </w:rPr>
              <w:t>Rozpočet 202</w:t>
            </w:r>
            <w:r>
              <w:rPr>
                <w:rFonts w:cstheme="minorHAnsi"/>
                <w:b/>
              </w:rPr>
              <w:t>3</w:t>
            </w:r>
          </w:p>
        </w:tc>
        <w:tc>
          <w:tcPr>
            <w:tcW w:w="726" w:type="pct"/>
            <w:vMerge w:val="restart"/>
            <w:tcBorders>
              <w:top w:val="single" w:sz="4" w:space="0" w:color="auto"/>
              <w:left w:val="single" w:sz="4" w:space="0" w:color="auto"/>
              <w:right w:val="single" w:sz="4" w:space="0" w:color="auto"/>
            </w:tcBorders>
            <w:shd w:val="pct12" w:color="auto" w:fill="auto"/>
            <w:vAlign w:val="center"/>
          </w:tcPr>
          <w:p w14:paraId="3000CD93" w14:textId="77777777" w:rsidR="00E25C85" w:rsidRPr="006A755F" w:rsidRDefault="00E25C85" w:rsidP="00E25C85">
            <w:pPr>
              <w:spacing w:before="60" w:after="60"/>
              <w:jc w:val="center"/>
              <w:rPr>
                <w:rFonts w:cstheme="minorHAnsi"/>
                <w:b/>
              </w:rPr>
            </w:pPr>
            <w:r w:rsidRPr="006A755F">
              <w:rPr>
                <w:rFonts w:cstheme="minorHAnsi"/>
                <w:b/>
              </w:rPr>
              <w:t>Skutečnost</w:t>
            </w:r>
          </w:p>
          <w:p w14:paraId="2079DA15" w14:textId="672E9C36" w:rsidR="00E25C85" w:rsidRPr="006A755F" w:rsidRDefault="00E25C85" w:rsidP="00E25C85">
            <w:pPr>
              <w:spacing w:before="60" w:after="60"/>
              <w:jc w:val="center"/>
              <w:rPr>
                <w:rFonts w:cstheme="minorHAnsi"/>
                <w:b/>
              </w:rPr>
            </w:pPr>
            <w:r w:rsidRPr="006A755F">
              <w:rPr>
                <w:rFonts w:cstheme="minorHAnsi"/>
                <w:b/>
              </w:rPr>
              <w:t>202</w:t>
            </w:r>
            <w:r>
              <w:rPr>
                <w:rFonts w:cstheme="minorHAnsi"/>
                <w:b/>
              </w:rPr>
              <w:t>3</w:t>
            </w:r>
          </w:p>
        </w:tc>
        <w:tc>
          <w:tcPr>
            <w:tcW w:w="436" w:type="pct"/>
            <w:vMerge w:val="restart"/>
            <w:tcBorders>
              <w:top w:val="single" w:sz="4" w:space="0" w:color="auto"/>
              <w:left w:val="single" w:sz="4" w:space="0" w:color="auto"/>
            </w:tcBorders>
            <w:shd w:val="pct12" w:color="auto" w:fill="auto"/>
            <w:vAlign w:val="center"/>
          </w:tcPr>
          <w:p w14:paraId="1D28ED44" w14:textId="022BAB19" w:rsidR="00E25C85" w:rsidRPr="006A755F" w:rsidRDefault="00E25C85" w:rsidP="00136A61">
            <w:pPr>
              <w:spacing w:before="60" w:after="60"/>
              <w:jc w:val="center"/>
              <w:rPr>
                <w:rFonts w:cstheme="minorHAnsi"/>
                <w:b/>
              </w:rPr>
            </w:pPr>
            <w:r w:rsidRPr="006A755F">
              <w:rPr>
                <w:rFonts w:cstheme="minorHAnsi"/>
                <w:b/>
              </w:rPr>
              <w:t>Plnění (v %)</w:t>
            </w:r>
          </w:p>
        </w:tc>
        <w:tc>
          <w:tcPr>
            <w:tcW w:w="433" w:type="pct"/>
            <w:vMerge w:val="restart"/>
            <w:tcBorders>
              <w:top w:val="single" w:sz="4" w:space="0" w:color="auto"/>
              <w:left w:val="single" w:sz="4" w:space="0" w:color="auto"/>
            </w:tcBorders>
            <w:shd w:val="pct12" w:color="auto" w:fill="auto"/>
            <w:vAlign w:val="center"/>
          </w:tcPr>
          <w:p w14:paraId="6702ACD4" w14:textId="515C396A" w:rsidR="00E25C85" w:rsidRPr="006A755F" w:rsidRDefault="00E25C85" w:rsidP="00136A61">
            <w:pPr>
              <w:spacing w:before="60" w:after="60"/>
              <w:jc w:val="center"/>
              <w:rPr>
                <w:rFonts w:cstheme="minorHAnsi"/>
                <w:b/>
              </w:rPr>
            </w:pPr>
            <w:r w:rsidRPr="006A755F">
              <w:rPr>
                <w:rFonts w:cstheme="minorHAnsi"/>
                <w:b/>
              </w:rPr>
              <w:t xml:space="preserve"> Index (v %)</w:t>
            </w:r>
          </w:p>
        </w:tc>
      </w:tr>
      <w:tr w:rsidR="006B6D61" w:rsidRPr="006A755F" w14:paraId="7F35F1C2" w14:textId="77777777" w:rsidTr="001B33F7">
        <w:trPr>
          <w:trHeight w:val="100"/>
          <w:tblHeader/>
        </w:trPr>
        <w:tc>
          <w:tcPr>
            <w:tcW w:w="1595" w:type="pct"/>
            <w:vMerge/>
            <w:tcBorders>
              <w:bottom w:val="nil"/>
            </w:tcBorders>
          </w:tcPr>
          <w:p w14:paraId="4DA05388" w14:textId="77777777" w:rsidR="00E25C85" w:rsidRPr="006A755F" w:rsidRDefault="00E25C85" w:rsidP="00136A61">
            <w:pPr>
              <w:jc w:val="center"/>
              <w:rPr>
                <w:rFonts w:cstheme="minorHAnsi"/>
                <w:sz w:val="20"/>
                <w:szCs w:val="20"/>
              </w:rPr>
            </w:pPr>
          </w:p>
        </w:tc>
        <w:tc>
          <w:tcPr>
            <w:tcW w:w="651" w:type="pct"/>
            <w:vMerge/>
            <w:tcBorders>
              <w:bottom w:val="nil"/>
              <w:right w:val="single" w:sz="4" w:space="0" w:color="auto"/>
            </w:tcBorders>
          </w:tcPr>
          <w:p w14:paraId="1AB1726F" w14:textId="77777777" w:rsidR="00E25C85" w:rsidRPr="006A755F" w:rsidRDefault="00E25C85" w:rsidP="00136A61">
            <w:pPr>
              <w:jc w:val="center"/>
              <w:rPr>
                <w:rFonts w:cstheme="minorHAnsi"/>
                <w:sz w:val="20"/>
                <w:szCs w:val="20"/>
              </w:rPr>
            </w:pPr>
          </w:p>
        </w:tc>
        <w:tc>
          <w:tcPr>
            <w:tcW w:w="577" w:type="pct"/>
            <w:tcBorders>
              <w:top w:val="single" w:sz="4" w:space="0" w:color="auto"/>
              <w:left w:val="single" w:sz="4" w:space="0" w:color="auto"/>
              <w:bottom w:val="single" w:sz="4" w:space="0" w:color="auto"/>
              <w:right w:val="single" w:sz="4" w:space="0" w:color="auto"/>
            </w:tcBorders>
            <w:shd w:val="pct12" w:color="auto" w:fill="auto"/>
            <w:vAlign w:val="center"/>
          </w:tcPr>
          <w:p w14:paraId="247FC0A0" w14:textId="77777777" w:rsidR="00E25C85" w:rsidRPr="006A755F" w:rsidRDefault="00E25C85" w:rsidP="00136A61">
            <w:pPr>
              <w:spacing w:before="60" w:after="60"/>
              <w:jc w:val="center"/>
              <w:rPr>
                <w:rFonts w:cstheme="minorHAnsi"/>
                <w:b/>
              </w:rPr>
            </w:pPr>
            <w:r w:rsidRPr="006A755F">
              <w:rPr>
                <w:rFonts w:cstheme="minorHAnsi"/>
                <w:b/>
              </w:rPr>
              <w:t>schválený</w:t>
            </w:r>
          </w:p>
        </w:tc>
        <w:tc>
          <w:tcPr>
            <w:tcW w:w="581" w:type="pct"/>
            <w:tcBorders>
              <w:top w:val="single" w:sz="4" w:space="0" w:color="auto"/>
              <w:left w:val="single" w:sz="4" w:space="0" w:color="auto"/>
              <w:bottom w:val="single" w:sz="4" w:space="0" w:color="auto"/>
              <w:right w:val="single" w:sz="4" w:space="0" w:color="auto"/>
            </w:tcBorders>
            <w:shd w:val="pct12" w:color="auto" w:fill="auto"/>
          </w:tcPr>
          <w:p w14:paraId="540D8BB9" w14:textId="77777777" w:rsidR="00E25C85" w:rsidRPr="006A755F" w:rsidRDefault="00E25C85" w:rsidP="00136A61">
            <w:pPr>
              <w:spacing w:before="60" w:after="60"/>
              <w:jc w:val="center"/>
              <w:rPr>
                <w:rFonts w:cstheme="minorHAnsi"/>
                <w:b/>
              </w:rPr>
            </w:pPr>
            <w:r w:rsidRPr="006A755F">
              <w:rPr>
                <w:rFonts w:cstheme="minorHAnsi"/>
                <w:b/>
              </w:rPr>
              <w:t>po změnách</w:t>
            </w:r>
          </w:p>
        </w:tc>
        <w:tc>
          <w:tcPr>
            <w:tcW w:w="726" w:type="pct"/>
            <w:vMerge/>
            <w:tcBorders>
              <w:left w:val="single" w:sz="4" w:space="0" w:color="auto"/>
              <w:bottom w:val="nil"/>
              <w:right w:val="single" w:sz="4" w:space="0" w:color="auto"/>
            </w:tcBorders>
          </w:tcPr>
          <w:p w14:paraId="26B60AA1" w14:textId="77777777" w:rsidR="00E25C85" w:rsidRPr="006A755F" w:rsidRDefault="00E25C85" w:rsidP="00136A61">
            <w:pPr>
              <w:jc w:val="center"/>
              <w:rPr>
                <w:rFonts w:cstheme="minorHAnsi"/>
                <w:sz w:val="20"/>
                <w:szCs w:val="20"/>
              </w:rPr>
            </w:pPr>
          </w:p>
        </w:tc>
        <w:tc>
          <w:tcPr>
            <w:tcW w:w="436" w:type="pct"/>
            <w:vMerge/>
            <w:tcBorders>
              <w:left w:val="single" w:sz="4" w:space="0" w:color="auto"/>
              <w:bottom w:val="nil"/>
              <w:right w:val="single" w:sz="4" w:space="0" w:color="auto"/>
            </w:tcBorders>
          </w:tcPr>
          <w:p w14:paraId="30C294D6" w14:textId="77777777" w:rsidR="00E25C85" w:rsidRPr="006A755F" w:rsidRDefault="00E25C85" w:rsidP="00136A61">
            <w:pPr>
              <w:jc w:val="center"/>
              <w:rPr>
                <w:rFonts w:cstheme="minorHAnsi"/>
                <w:sz w:val="20"/>
                <w:szCs w:val="20"/>
              </w:rPr>
            </w:pPr>
          </w:p>
        </w:tc>
        <w:tc>
          <w:tcPr>
            <w:tcW w:w="433" w:type="pct"/>
            <w:vMerge/>
            <w:tcBorders>
              <w:left w:val="single" w:sz="4" w:space="0" w:color="auto"/>
              <w:bottom w:val="nil"/>
            </w:tcBorders>
          </w:tcPr>
          <w:p w14:paraId="33D4A11F" w14:textId="77777777" w:rsidR="00E25C85" w:rsidRPr="006A755F" w:rsidRDefault="00E25C85" w:rsidP="00136A61">
            <w:pPr>
              <w:jc w:val="center"/>
              <w:rPr>
                <w:rFonts w:cstheme="minorHAnsi"/>
                <w:sz w:val="20"/>
                <w:szCs w:val="20"/>
              </w:rPr>
            </w:pPr>
          </w:p>
        </w:tc>
      </w:tr>
      <w:tr w:rsidR="001B4A99" w:rsidRPr="006A755F" w14:paraId="24AA60AD" w14:textId="77777777" w:rsidTr="001B33F7">
        <w:trPr>
          <w:trHeight w:val="100"/>
          <w:tblHeader/>
        </w:trPr>
        <w:tc>
          <w:tcPr>
            <w:tcW w:w="1595" w:type="pct"/>
            <w:tcBorders>
              <w:top w:val="single" w:sz="4" w:space="0" w:color="auto"/>
              <w:left w:val="single" w:sz="4" w:space="0" w:color="auto"/>
              <w:bottom w:val="single" w:sz="4" w:space="0" w:color="auto"/>
              <w:right w:val="single" w:sz="4" w:space="0" w:color="auto"/>
            </w:tcBorders>
          </w:tcPr>
          <w:p w14:paraId="538894F7" w14:textId="77777777" w:rsidR="004D28B6" w:rsidRPr="006A755F" w:rsidRDefault="004D28B6" w:rsidP="00136A61">
            <w:pPr>
              <w:spacing w:after="0"/>
              <w:jc w:val="center"/>
              <w:rPr>
                <w:rFonts w:cstheme="minorHAnsi"/>
                <w:sz w:val="20"/>
                <w:szCs w:val="20"/>
              </w:rPr>
            </w:pPr>
            <w:r w:rsidRPr="006A755F">
              <w:rPr>
                <w:rFonts w:cstheme="minorHAnsi"/>
                <w:sz w:val="20"/>
                <w:szCs w:val="20"/>
              </w:rPr>
              <w:t>a</w:t>
            </w:r>
          </w:p>
        </w:tc>
        <w:tc>
          <w:tcPr>
            <w:tcW w:w="651" w:type="pct"/>
            <w:tcBorders>
              <w:top w:val="single" w:sz="4" w:space="0" w:color="auto"/>
              <w:left w:val="single" w:sz="4" w:space="0" w:color="auto"/>
              <w:bottom w:val="single" w:sz="4" w:space="0" w:color="auto"/>
              <w:right w:val="single" w:sz="4" w:space="0" w:color="auto"/>
            </w:tcBorders>
          </w:tcPr>
          <w:p w14:paraId="39C79A61" w14:textId="77777777" w:rsidR="004D28B6" w:rsidRPr="006A755F" w:rsidRDefault="004D28B6" w:rsidP="00136A61">
            <w:pPr>
              <w:spacing w:after="0"/>
              <w:jc w:val="center"/>
              <w:rPr>
                <w:rFonts w:cstheme="minorHAnsi"/>
                <w:sz w:val="20"/>
                <w:szCs w:val="20"/>
              </w:rPr>
            </w:pPr>
            <w:r w:rsidRPr="006A755F">
              <w:rPr>
                <w:rFonts w:cstheme="minorHAnsi"/>
                <w:sz w:val="20"/>
                <w:szCs w:val="20"/>
              </w:rPr>
              <w:t>1</w:t>
            </w:r>
          </w:p>
        </w:tc>
        <w:tc>
          <w:tcPr>
            <w:tcW w:w="577" w:type="pct"/>
            <w:tcBorders>
              <w:top w:val="single" w:sz="4" w:space="0" w:color="auto"/>
              <w:left w:val="single" w:sz="4" w:space="0" w:color="auto"/>
              <w:bottom w:val="single" w:sz="4" w:space="0" w:color="auto"/>
              <w:right w:val="single" w:sz="4" w:space="0" w:color="auto"/>
            </w:tcBorders>
          </w:tcPr>
          <w:p w14:paraId="397A3C20" w14:textId="77777777" w:rsidR="004D28B6" w:rsidRPr="006A755F" w:rsidRDefault="004D28B6" w:rsidP="00136A61">
            <w:pPr>
              <w:spacing w:after="0"/>
              <w:jc w:val="center"/>
              <w:rPr>
                <w:rFonts w:cstheme="minorHAnsi"/>
                <w:sz w:val="20"/>
                <w:szCs w:val="20"/>
              </w:rPr>
            </w:pPr>
            <w:r w:rsidRPr="006A755F">
              <w:rPr>
                <w:rFonts w:cstheme="minorHAnsi"/>
                <w:sz w:val="20"/>
                <w:szCs w:val="20"/>
              </w:rPr>
              <w:t>2</w:t>
            </w:r>
          </w:p>
        </w:tc>
        <w:tc>
          <w:tcPr>
            <w:tcW w:w="581" w:type="pct"/>
            <w:tcBorders>
              <w:top w:val="single" w:sz="4" w:space="0" w:color="auto"/>
              <w:left w:val="single" w:sz="4" w:space="0" w:color="auto"/>
              <w:bottom w:val="single" w:sz="4" w:space="0" w:color="auto"/>
              <w:right w:val="single" w:sz="4" w:space="0" w:color="auto"/>
            </w:tcBorders>
          </w:tcPr>
          <w:p w14:paraId="21617D01" w14:textId="77777777" w:rsidR="004D28B6" w:rsidRPr="006A755F" w:rsidRDefault="004D28B6" w:rsidP="00136A61">
            <w:pPr>
              <w:spacing w:after="0"/>
              <w:jc w:val="center"/>
              <w:rPr>
                <w:rFonts w:cstheme="minorHAnsi"/>
                <w:sz w:val="20"/>
                <w:szCs w:val="20"/>
              </w:rPr>
            </w:pPr>
            <w:r w:rsidRPr="006A755F">
              <w:rPr>
                <w:rFonts w:cstheme="minorHAnsi"/>
                <w:sz w:val="20"/>
                <w:szCs w:val="20"/>
              </w:rPr>
              <w:t>3</w:t>
            </w:r>
          </w:p>
        </w:tc>
        <w:tc>
          <w:tcPr>
            <w:tcW w:w="726" w:type="pct"/>
            <w:tcBorders>
              <w:top w:val="single" w:sz="4" w:space="0" w:color="auto"/>
              <w:left w:val="single" w:sz="4" w:space="0" w:color="auto"/>
              <w:bottom w:val="single" w:sz="4" w:space="0" w:color="auto"/>
              <w:right w:val="single" w:sz="4" w:space="0" w:color="auto"/>
            </w:tcBorders>
          </w:tcPr>
          <w:p w14:paraId="34055FFD" w14:textId="77777777" w:rsidR="004D28B6" w:rsidRPr="006A755F" w:rsidRDefault="004D28B6" w:rsidP="00136A61">
            <w:pPr>
              <w:spacing w:after="0"/>
              <w:jc w:val="center"/>
              <w:rPr>
                <w:rFonts w:cstheme="minorHAnsi"/>
                <w:sz w:val="20"/>
                <w:szCs w:val="20"/>
              </w:rPr>
            </w:pPr>
            <w:r w:rsidRPr="006A755F">
              <w:rPr>
                <w:rFonts w:cstheme="minorHAnsi"/>
                <w:sz w:val="20"/>
                <w:szCs w:val="20"/>
              </w:rPr>
              <w:t>4</w:t>
            </w:r>
          </w:p>
        </w:tc>
        <w:tc>
          <w:tcPr>
            <w:tcW w:w="436" w:type="pct"/>
            <w:tcBorders>
              <w:top w:val="single" w:sz="4" w:space="0" w:color="auto"/>
              <w:left w:val="single" w:sz="4" w:space="0" w:color="auto"/>
              <w:bottom w:val="single" w:sz="4" w:space="0" w:color="auto"/>
              <w:right w:val="single" w:sz="4" w:space="0" w:color="auto"/>
            </w:tcBorders>
          </w:tcPr>
          <w:p w14:paraId="4D403178" w14:textId="77777777" w:rsidR="004D28B6" w:rsidRPr="006A755F" w:rsidRDefault="004D28B6" w:rsidP="00136A61">
            <w:pPr>
              <w:spacing w:after="0"/>
              <w:jc w:val="center"/>
              <w:rPr>
                <w:rFonts w:cstheme="minorHAnsi"/>
                <w:sz w:val="20"/>
                <w:szCs w:val="20"/>
              </w:rPr>
            </w:pPr>
            <w:r w:rsidRPr="006A755F">
              <w:rPr>
                <w:rFonts w:cstheme="minorHAnsi"/>
                <w:sz w:val="20"/>
                <w:szCs w:val="20"/>
              </w:rPr>
              <w:t>4/3</w:t>
            </w:r>
          </w:p>
        </w:tc>
        <w:tc>
          <w:tcPr>
            <w:tcW w:w="433" w:type="pct"/>
            <w:tcBorders>
              <w:top w:val="single" w:sz="4" w:space="0" w:color="auto"/>
              <w:left w:val="single" w:sz="4" w:space="0" w:color="auto"/>
              <w:bottom w:val="single" w:sz="4" w:space="0" w:color="auto"/>
              <w:right w:val="single" w:sz="4" w:space="0" w:color="auto"/>
            </w:tcBorders>
          </w:tcPr>
          <w:p w14:paraId="32B6AA27" w14:textId="77777777" w:rsidR="004D28B6" w:rsidRPr="006A755F" w:rsidRDefault="004D28B6" w:rsidP="00136A61">
            <w:pPr>
              <w:spacing w:after="0"/>
              <w:jc w:val="center"/>
              <w:rPr>
                <w:rFonts w:cstheme="minorHAnsi"/>
                <w:sz w:val="20"/>
                <w:szCs w:val="20"/>
              </w:rPr>
            </w:pPr>
            <w:r w:rsidRPr="006A755F">
              <w:rPr>
                <w:rFonts w:cstheme="minorHAnsi"/>
                <w:sz w:val="20"/>
                <w:szCs w:val="20"/>
              </w:rPr>
              <w:t>4/1</w:t>
            </w:r>
          </w:p>
        </w:tc>
      </w:tr>
      <w:tr w:rsidR="001B33F7" w:rsidRPr="006A755F" w14:paraId="61738094" w14:textId="77777777" w:rsidTr="001B33F7">
        <w:trPr>
          <w:trHeight w:val="388"/>
          <w:tblHeader/>
        </w:trPr>
        <w:tc>
          <w:tcPr>
            <w:tcW w:w="1595" w:type="pct"/>
            <w:tcBorders>
              <w:top w:val="single" w:sz="4" w:space="0" w:color="auto"/>
              <w:left w:val="single" w:sz="4" w:space="0" w:color="auto"/>
              <w:bottom w:val="single" w:sz="4" w:space="0" w:color="auto"/>
              <w:right w:val="single" w:sz="4" w:space="0" w:color="auto"/>
            </w:tcBorders>
            <w:shd w:val="pct12" w:color="auto" w:fill="auto"/>
          </w:tcPr>
          <w:p w14:paraId="374BA3C4" w14:textId="77777777" w:rsidR="004D28B6" w:rsidRPr="006A755F" w:rsidRDefault="004D28B6" w:rsidP="00136A61">
            <w:pPr>
              <w:spacing w:before="60" w:after="60"/>
              <w:rPr>
                <w:rFonts w:cstheme="minorHAnsi"/>
                <w:b/>
                <w:bCs/>
                <w:sz w:val="20"/>
                <w:szCs w:val="20"/>
              </w:rPr>
            </w:pPr>
            <w:r w:rsidRPr="006A755F">
              <w:rPr>
                <w:rFonts w:cstheme="minorHAnsi"/>
                <w:b/>
                <w:bCs/>
                <w:sz w:val="20"/>
                <w:szCs w:val="20"/>
              </w:rPr>
              <w:t xml:space="preserve">Kapitálové výdaje celkem </w:t>
            </w:r>
            <w:r w:rsidRPr="006A755F">
              <w:rPr>
                <w:rFonts w:cstheme="minorHAnsi"/>
                <w:bCs/>
                <w:sz w:val="20"/>
                <w:szCs w:val="20"/>
              </w:rPr>
              <w:t>(v tom:)</w:t>
            </w:r>
          </w:p>
        </w:tc>
        <w:tc>
          <w:tcPr>
            <w:tcW w:w="651" w:type="pct"/>
            <w:tcBorders>
              <w:top w:val="single" w:sz="4" w:space="0" w:color="auto"/>
              <w:left w:val="single" w:sz="4" w:space="0" w:color="auto"/>
              <w:bottom w:val="single" w:sz="4" w:space="0" w:color="auto"/>
              <w:right w:val="single" w:sz="4" w:space="0" w:color="auto"/>
            </w:tcBorders>
            <w:shd w:val="pct12" w:color="auto" w:fill="auto"/>
            <w:vAlign w:val="center"/>
          </w:tcPr>
          <w:p w14:paraId="6BD664A7" w14:textId="77777777" w:rsidR="004D28B6" w:rsidRPr="006A755F" w:rsidRDefault="004D28B6" w:rsidP="00136A61">
            <w:pPr>
              <w:spacing w:before="60" w:after="60"/>
              <w:jc w:val="right"/>
              <w:rPr>
                <w:rFonts w:cstheme="minorHAnsi"/>
                <w:b/>
                <w:bCs/>
                <w:sz w:val="20"/>
                <w:szCs w:val="20"/>
              </w:rPr>
            </w:pPr>
            <w:r w:rsidRPr="006A755F">
              <w:rPr>
                <w:rFonts w:cstheme="minorHAnsi"/>
                <w:b/>
                <w:bCs/>
                <w:sz w:val="20"/>
                <w:szCs w:val="20"/>
              </w:rPr>
              <w:t>77 689 163</w:t>
            </w:r>
          </w:p>
        </w:tc>
        <w:tc>
          <w:tcPr>
            <w:tcW w:w="577" w:type="pct"/>
            <w:tcBorders>
              <w:top w:val="single" w:sz="4" w:space="0" w:color="auto"/>
              <w:left w:val="single" w:sz="4" w:space="0" w:color="auto"/>
              <w:bottom w:val="single" w:sz="4" w:space="0" w:color="auto"/>
              <w:right w:val="single" w:sz="4" w:space="0" w:color="auto"/>
            </w:tcBorders>
            <w:shd w:val="pct12" w:color="auto" w:fill="auto"/>
            <w:vAlign w:val="center"/>
          </w:tcPr>
          <w:p w14:paraId="1AE03B54" w14:textId="77777777" w:rsidR="004D28B6" w:rsidRPr="006A755F" w:rsidRDefault="004D28B6" w:rsidP="00136A61">
            <w:pPr>
              <w:spacing w:before="60" w:after="60"/>
              <w:jc w:val="right"/>
              <w:rPr>
                <w:rFonts w:cstheme="minorHAnsi"/>
                <w:b/>
                <w:bCs/>
                <w:sz w:val="20"/>
                <w:szCs w:val="20"/>
              </w:rPr>
            </w:pPr>
            <w:r>
              <w:rPr>
                <w:rFonts w:cstheme="minorHAnsi"/>
                <w:b/>
                <w:bCs/>
                <w:sz w:val="20"/>
                <w:szCs w:val="20"/>
              </w:rPr>
              <w:t>76 676 264</w:t>
            </w:r>
          </w:p>
        </w:tc>
        <w:tc>
          <w:tcPr>
            <w:tcW w:w="581" w:type="pct"/>
            <w:tcBorders>
              <w:top w:val="single" w:sz="4" w:space="0" w:color="auto"/>
              <w:left w:val="single" w:sz="4" w:space="0" w:color="auto"/>
              <w:bottom w:val="single" w:sz="4" w:space="0" w:color="auto"/>
              <w:right w:val="single" w:sz="4" w:space="0" w:color="auto"/>
            </w:tcBorders>
            <w:shd w:val="pct12" w:color="auto" w:fill="auto"/>
            <w:vAlign w:val="center"/>
          </w:tcPr>
          <w:p w14:paraId="2750C548" w14:textId="77777777" w:rsidR="004D28B6" w:rsidRPr="006A755F" w:rsidRDefault="004D28B6" w:rsidP="00136A61">
            <w:pPr>
              <w:spacing w:before="60" w:after="60"/>
              <w:jc w:val="right"/>
              <w:rPr>
                <w:rFonts w:cstheme="minorHAnsi"/>
                <w:b/>
                <w:bCs/>
                <w:sz w:val="20"/>
                <w:szCs w:val="20"/>
              </w:rPr>
            </w:pPr>
            <w:r>
              <w:rPr>
                <w:rFonts w:cstheme="minorHAnsi"/>
                <w:b/>
                <w:bCs/>
                <w:sz w:val="20"/>
                <w:szCs w:val="20"/>
              </w:rPr>
              <w:t>71 350 986</w:t>
            </w:r>
          </w:p>
        </w:tc>
        <w:tc>
          <w:tcPr>
            <w:tcW w:w="726" w:type="pct"/>
            <w:tcBorders>
              <w:top w:val="single" w:sz="4" w:space="0" w:color="auto"/>
              <w:left w:val="single" w:sz="4" w:space="0" w:color="auto"/>
              <w:bottom w:val="single" w:sz="4" w:space="0" w:color="auto"/>
              <w:right w:val="single" w:sz="4" w:space="0" w:color="auto"/>
            </w:tcBorders>
            <w:shd w:val="pct12" w:color="auto" w:fill="auto"/>
            <w:vAlign w:val="center"/>
          </w:tcPr>
          <w:p w14:paraId="60AD24BC" w14:textId="77777777" w:rsidR="004D28B6" w:rsidRPr="006A755F" w:rsidRDefault="004D28B6" w:rsidP="00136A61">
            <w:pPr>
              <w:spacing w:before="60" w:after="60"/>
              <w:jc w:val="right"/>
              <w:rPr>
                <w:rFonts w:cstheme="minorHAnsi"/>
                <w:b/>
                <w:bCs/>
                <w:sz w:val="20"/>
                <w:szCs w:val="20"/>
              </w:rPr>
            </w:pPr>
            <w:r>
              <w:rPr>
                <w:rFonts w:cstheme="minorHAnsi"/>
                <w:b/>
                <w:bCs/>
                <w:sz w:val="20"/>
                <w:szCs w:val="20"/>
              </w:rPr>
              <w:t>71 292 552</w:t>
            </w:r>
          </w:p>
        </w:tc>
        <w:tc>
          <w:tcPr>
            <w:tcW w:w="436" w:type="pct"/>
            <w:tcBorders>
              <w:top w:val="single" w:sz="4" w:space="0" w:color="auto"/>
              <w:left w:val="single" w:sz="4" w:space="0" w:color="auto"/>
              <w:bottom w:val="single" w:sz="4" w:space="0" w:color="auto"/>
              <w:right w:val="single" w:sz="4" w:space="0" w:color="auto"/>
            </w:tcBorders>
            <w:shd w:val="pct12" w:color="auto" w:fill="auto"/>
          </w:tcPr>
          <w:p w14:paraId="6D67285F" w14:textId="77777777" w:rsidR="004D28B6" w:rsidRPr="0008468B" w:rsidRDefault="004D28B6" w:rsidP="00136A61">
            <w:pPr>
              <w:spacing w:before="60" w:after="60"/>
              <w:jc w:val="right"/>
              <w:rPr>
                <w:rFonts w:cstheme="minorHAnsi"/>
                <w:b/>
                <w:bCs/>
                <w:sz w:val="20"/>
                <w:szCs w:val="20"/>
              </w:rPr>
            </w:pPr>
            <w:r w:rsidRPr="0008468B">
              <w:rPr>
                <w:rFonts w:cstheme="minorHAnsi"/>
                <w:b/>
                <w:bCs/>
                <w:sz w:val="20"/>
                <w:szCs w:val="20"/>
              </w:rPr>
              <w:t>99,9</w:t>
            </w:r>
          </w:p>
        </w:tc>
        <w:tc>
          <w:tcPr>
            <w:tcW w:w="433" w:type="pct"/>
            <w:tcBorders>
              <w:top w:val="single" w:sz="4" w:space="0" w:color="auto"/>
              <w:left w:val="single" w:sz="4" w:space="0" w:color="auto"/>
              <w:bottom w:val="single" w:sz="4" w:space="0" w:color="auto"/>
              <w:right w:val="single" w:sz="4" w:space="0" w:color="auto"/>
            </w:tcBorders>
            <w:shd w:val="pct12" w:color="auto" w:fill="auto"/>
            <w:vAlign w:val="center"/>
          </w:tcPr>
          <w:p w14:paraId="2984A9D1" w14:textId="77777777" w:rsidR="004D28B6" w:rsidRPr="001C7FF6" w:rsidRDefault="004D28B6" w:rsidP="00136A61">
            <w:pPr>
              <w:spacing w:before="60" w:after="60"/>
              <w:jc w:val="right"/>
              <w:rPr>
                <w:rFonts w:cstheme="minorHAnsi"/>
                <w:b/>
                <w:bCs/>
                <w:sz w:val="20"/>
                <w:szCs w:val="20"/>
              </w:rPr>
            </w:pPr>
            <w:r w:rsidRPr="001C7FF6">
              <w:rPr>
                <w:rFonts w:cstheme="minorHAnsi"/>
                <w:b/>
                <w:bCs/>
                <w:sz w:val="20"/>
                <w:szCs w:val="20"/>
              </w:rPr>
              <w:t>91,8</w:t>
            </w:r>
          </w:p>
        </w:tc>
      </w:tr>
      <w:tr w:rsidR="001B4A99" w:rsidRPr="006A755F" w14:paraId="182D1F25" w14:textId="77777777" w:rsidTr="001B33F7">
        <w:trPr>
          <w:trHeight w:val="388"/>
          <w:tblHeader/>
        </w:trPr>
        <w:tc>
          <w:tcPr>
            <w:tcW w:w="1595" w:type="pct"/>
            <w:tcBorders>
              <w:top w:val="single" w:sz="4" w:space="0" w:color="auto"/>
              <w:left w:val="single" w:sz="4" w:space="0" w:color="auto"/>
              <w:bottom w:val="nil"/>
              <w:right w:val="single" w:sz="4" w:space="0" w:color="auto"/>
            </w:tcBorders>
          </w:tcPr>
          <w:p w14:paraId="27189CD0" w14:textId="77777777" w:rsidR="004D28B6" w:rsidRPr="006A755F" w:rsidRDefault="004D28B6" w:rsidP="00B10BB7">
            <w:pPr>
              <w:spacing w:before="60" w:after="60"/>
              <w:rPr>
                <w:rFonts w:cstheme="minorHAnsi"/>
                <w:bCs/>
                <w:sz w:val="20"/>
                <w:szCs w:val="20"/>
              </w:rPr>
            </w:pPr>
            <w:r w:rsidRPr="006A755F">
              <w:rPr>
                <w:rFonts w:cstheme="minorHAnsi"/>
                <w:bCs/>
                <w:sz w:val="20"/>
                <w:szCs w:val="20"/>
              </w:rPr>
              <w:t>prostředky SR</w:t>
            </w:r>
          </w:p>
        </w:tc>
        <w:tc>
          <w:tcPr>
            <w:tcW w:w="651" w:type="pct"/>
            <w:tcBorders>
              <w:top w:val="single" w:sz="4" w:space="0" w:color="auto"/>
              <w:left w:val="single" w:sz="4" w:space="0" w:color="auto"/>
              <w:bottom w:val="nil"/>
              <w:right w:val="single" w:sz="4" w:space="0" w:color="auto"/>
            </w:tcBorders>
            <w:vAlign w:val="center"/>
          </w:tcPr>
          <w:p w14:paraId="76449261" w14:textId="77777777" w:rsidR="004D28B6" w:rsidRPr="006A755F" w:rsidRDefault="004D28B6" w:rsidP="00136A61">
            <w:pPr>
              <w:spacing w:before="60" w:after="60"/>
              <w:jc w:val="right"/>
              <w:rPr>
                <w:rFonts w:cstheme="minorHAnsi"/>
                <w:bCs/>
                <w:sz w:val="20"/>
                <w:szCs w:val="20"/>
              </w:rPr>
            </w:pPr>
            <w:r w:rsidRPr="006A755F">
              <w:rPr>
                <w:rFonts w:cstheme="minorHAnsi"/>
                <w:bCs/>
                <w:sz w:val="20"/>
                <w:szCs w:val="20"/>
              </w:rPr>
              <w:t>33 979 186</w:t>
            </w:r>
          </w:p>
        </w:tc>
        <w:tc>
          <w:tcPr>
            <w:tcW w:w="577" w:type="pct"/>
            <w:tcBorders>
              <w:top w:val="single" w:sz="4" w:space="0" w:color="auto"/>
              <w:left w:val="single" w:sz="4" w:space="0" w:color="auto"/>
              <w:bottom w:val="nil"/>
              <w:right w:val="single" w:sz="4" w:space="0" w:color="auto"/>
            </w:tcBorders>
            <w:vAlign w:val="center"/>
          </w:tcPr>
          <w:p w14:paraId="3FB083A2" w14:textId="77777777" w:rsidR="004D28B6" w:rsidRPr="006A755F" w:rsidRDefault="004D28B6" w:rsidP="00136A61">
            <w:pPr>
              <w:spacing w:before="60" w:after="60"/>
              <w:jc w:val="right"/>
              <w:rPr>
                <w:rFonts w:cstheme="minorHAnsi"/>
                <w:bCs/>
                <w:sz w:val="20"/>
                <w:szCs w:val="20"/>
              </w:rPr>
            </w:pPr>
            <w:r>
              <w:rPr>
                <w:rFonts w:cstheme="minorHAnsi"/>
                <w:bCs/>
                <w:sz w:val="20"/>
                <w:szCs w:val="20"/>
              </w:rPr>
              <w:t>48 529 534</w:t>
            </w:r>
          </w:p>
        </w:tc>
        <w:tc>
          <w:tcPr>
            <w:tcW w:w="581" w:type="pct"/>
            <w:tcBorders>
              <w:top w:val="single" w:sz="4" w:space="0" w:color="auto"/>
              <w:left w:val="single" w:sz="4" w:space="0" w:color="auto"/>
              <w:bottom w:val="nil"/>
              <w:right w:val="single" w:sz="4" w:space="0" w:color="auto"/>
            </w:tcBorders>
            <w:vAlign w:val="center"/>
          </w:tcPr>
          <w:p w14:paraId="71B6A302" w14:textId="77777777" w:rsidR="004D28B6" w:rsidRPr="006A755F" w:rsidRDefault="004D28B6" w:rsidP="00136A61">
            <w:pPr>
              <w:spacing w:before="60" w:after="60"/>
              <w:jc w:val="right"/>
              <w:rPr>
                <w:rFonts w:cstheme="minorHAnsi"/>
                <w:bCs/>
                <w:sz w:val="20"/>
                <w:szCs w:val="20"/>
              </w:rPr>
            </w:pPr>
            <w:r>
              <w:rPr>
                <w:rFonts w:cstheme="minorHAnsi"/>
                <w:bCs/>
                <w:sz w:val="20"/>
                <w:szCs w:val="20"/>
              </w:rPr>
              <w:t>42 687 513</w:t>
            </w:r>
          </w:p>
        </w:tc>
        <w:tc>
          <w:tcPr>
            <w:tcW w:w="726" w:type="pct"/>
            <w:tcBorders>
              <w:top w:val="single" w:sz="4" w:space="0" w:color="auto"/>
              <w:left w:val="single" w:sz="4" w:space="0" w:color="auto"/>
              <w:bottom w:val="nil"/>
              <w:right w:val="single" w:sz="4" w:space="0" w:color="auto"/>
            </w:tcBorders>
            <w:vAlign w:val="center"/>
          </w:tcPr>
          <w:p w14:paraId="069876AC" w14:textId="77777777" w:rsidR="004D28B6" w:rsidRPr="006A755F" w:rsidRDefault="004D28B6" w:rsidP="00136A61">
            <w:pPr>
              <w:spacing w:before="60" w:after="60"/>
              <w:jc w:val="right"/>
              <w:rPr>
                <w:rFonts w:cstheme="minorHAnsi"/>
                <w:bCs/>
                <w:sz w:val="20"/>
                <w:szCs w:val="20"/>
              </w:rPr>
            </w:pPr>
            <w:r>
              <w:rPr>
                <w:rFonts w:cstheme="minorHAnsi"/>
                <w:bCs/>
                <w:sz w:val="20"/>
                <w:szCs w:val="20"/>
              </w:rPr>
              <w:t>43 120 120</w:t>
            </w:r>
          </w:p>
        </w:tc>
        <w:tc>
          <w:tcPr>
            <w:tcW w:w="436" w:type="pct"/>
            <w:tcBorders>
              <w:top w:val="single" w:sz="4" w:space="0" w:color="auto"/>
              <w:left w:val="single" w:sz="4" w:space="0" w:color="auto"/>
              <w:bottom w:val="nil"/>
              <w:right w:val="single" w:sz="4" w:space="0" w:color="auto"/>
            </w:tcBorders>
          </w:tcPr>
          <w:p w14:paraId="220D4A2D" w14:textId="77777777" w:rsidR="004D28B6" w:rsidRPr="0008468B" w:rsidRDefault="004D28B6" w:rsidP="00136A61">
            <w:pPr>
              <w:spacing w:before="60" w:after="60"/>
              <w:jc w:val="right"/>
              <w:rPr>
                <w:rFonts w:cstheme="minorHAnsi"/>
                <w:bCs/>
                <w:sz w:val="20"/>
                <w:szCs w:val="20"/>
              </w:rPr>
            </w:pPr>
            <w:r w:rsidRPr="0008468B">
              <w:rPr>
                <w:rFonts w:cstheme="minorHAnsi"/>
                <w:bCs/>
                <w:sz w:val="20"/>
                <w:szCs w:val="20"/>
              </w:rPr>
              <w:t>101,0</w:t>
            </w:r>
          </w:p>
        </w:tc>
        <w:tc>
          <w:tcPr>
            <w:tcW w:w="433" w:type="pct"/>
            <w:tcBorders>
              <w:top w:val="single" w:sz="4" w:space="0" w:color="auto"/>
              <w:left w:val="single" w:sz="4" w:space="0" w:color="auto"/>
              <w:bottom w:val="nil"/>
              <w:right w:val="single" w:sz="4" w:space="0" w:color="auto"/>
            </w:tcBorders>
            <w:vAlign w:val="center"/>
          </w:tcPr>
          <w:p w14:paraId="72E361D5" w14:textId="77777777" w:rsidR="004D28B6" w:rsidRPr="001C7FF6" w:rsidRDefault="004D28B6" w:rsidP="00136A61">
            <w:pPr>
              <w:spacing w:before="60" w:after="60"/>
              <w:jc w:val="right"/>
              <w:rPr>
                <w:rFonts w:cstheme="minorHAnsi"/>
                <w:bCs/>
                <w:sz w:val="20"/>
                <w:szCs w:val="20"/>
              </w:rPr>
            </w:pPr>
            <w:r w:rsidRPr="001C7FF6">
              <w:rPr>
                <w:rFonts w:cstheme="minorHAnsi"/>
                <w:bCs/>
                <w:sz w:val="20"/>
                <w:szCs w:val="20"/>
              </w:rPr>
              <w:t>126,9</w:t>
            </w:r>
          </w:p>
        </w:tc>
      </w:tr>
      <w:tr w:rsidR="001B4A99" w:rsidRPr="006A755F" w14:paraId="30D29487" w14:textId="77777777" w:rsidTr="001B33F7">
        <w:trPr>
          <w:tblHeader/>
        </w:trPr>
        <w:tc>
          <w:tcPr>
            <w:tcW w:w="1595" w:type="pct"/>
            <w:tcBorders>
              <w:top w:val="nil"/>
              <w:left w:val="single" w:sz="4" w:space="0" w:color="auto"/>
              <w:bottom w:val="nil"/>
              <w:right w:val="single" w:sz="4" w:space="0" w:color="auto"/>
            </w:tcBorders>
          </w:tcPr>
          <w:p w14:paraId="16107E2C" w14:textId="77777777" w:rsidR="004D28B6" w:rsidRPr="006A755F" w:rsidRDefault="004D28B6" w:rsidP="006B6D61">
            <w:pPr>
              <w:spacing w:before="60" w:after="60"/>
              <w:ind w:firstLine="4"/>
              <w:rPr>
                <w:rFonts w:cstheme="minorHAnsi"/>
                <w:sz w:val="20"/>
                <w:szCs w:val="20"/>
              </w:rPr>
            </w:pPr>
            <w:r w:rsidRPr="006A755F">
              <w:rPr>
                <w:rFonts w:cstheme="minorHAnsi"/>
                <w:sz w:val="20"/>
                <w:szCs w:val="20"/>
              </w:rPr>
              <w:t>z toho: výzkum, vývoj a inovace</w:t>
            </w:r>
          </w:p>
        </w:tc>
        <w:tc>
          <w:tcPr>
            <w:tcW w:w="651" w:type="pct"/>
            <w:tcBorders>
              <w:top w:val="nil"/>
              <w:left w:val="single" w:sz="4" w:space="0" w:color="auto"/>
              <w:bottom w:val="nil"/>
              <w:right w:val="single" w:sz="4" w:space="0" w:color="auto"/>
            </w:tcBorders>
            <w:vAlign w:val="center"/>
          </w:tcPr>
          <w:p w14:paraId="11C52C83"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30 000</w:t>
            </w:r>
          </w:p>
        </w:tc>
        <w:tc>
          <w:tcPr>
            <w:tcW w:w="577" w:type="pct"/>
            <w:tcBorders>
              <w:top w:val="nil"/>
              <w:left w:val="single" w:sz="4" w:space="0" w:color="auto"/>
              <w:bottom w:val="nil"/>
              <w:right w:val="single" w:sz="4" w:space="0" w:color="auto"/>
            </w:tcBorders>
            <w:vAlign w:val="center"/>
          </w:tcPr>
          <w:p w14:paraId="54495EDA" w14:textId="77777777" w:rsidR="004D28B6" w:rsidRPr="006A755F" w:rsidRDefault="004D28B6" w:rsidP="00136A61">
            <w:pPr>
              <w:spacing w:before="60" w:after="60"/>
              <w:jc w:val="right"/>
              <w:rPr>
                <w:rFonts w:cstheme="minorHAnsi"/>
                <w:sz w:val="20"/>
                <w:szCs w:val="20"/>
              </w:rPr>
            </w:pPr>
            <w:r>
              <w:rPr>
                <w:rFonts w:cstheme="minorHAnsi"/>
                <w:sz w:val="20"/>
                <w:szCs w:val="20"/>
              </w:rPr>
              <w:t>30 000</w:t>
            </w:r>
          </w:p>
        </w:tc>
        <w:tc>
          <w:tcPr>
            <w:tcW w:w="581" w:type="pct"/>
            <w:tcBorders>
              <w:top w:val="nil"/>
              <w:left w:val="single" w:sz="4" w:space="0" w:color="auto"/>
              <w:bottom w:val="nil"/>
              <w:right w:val="single" w:sz="4" w:space="0" w:color="auto"/>
            </w:tcBorders>
            <w:vAlign w:val="center"/>
          </w:tcPr>
          <w:p w14:paraId="1DC8B30E" w14:textId="77777777" w:rsidR="004D28B6" w:rsidRPr="006A755F" w:rsidRDefault="004D28B6" w:rsidP="00136A61">
            <w:pPr>
              <w:spacing w:before="60" w:after="60"/>
              <w:jc w:val="right"/>
              <w:rPr>
                <w:rFonts w:cstheme="minorHAnsi"/>
                <w:sz w:val="20"/>
                <w:szCs w:val="20"/>
              </w:rPr>
            </w:pPr>
            <w:r>
              <w:rPr>
                <w:rFonts w:cstheme="minorHAnsi"/>
                <w:sz w:val="20"/>
                <w:szCs w:val="20"/>
              </w:rPr>
              <w:t>8 593</w:t>
            </w:r>
          </w:p>
        </w:tc>
        <w:tc>
          <w:tcPr>
            <w:tcW w:w="726" w:type="pct"/>
            <w:tcBorders>
              <w:top w:val="nil"/>
              <w:left w:val="single" w:sz="4" w:space="0" w:color="auto"/>
              <w:bottom w:val="nil"/>
              <w:right w:val="single" w:sz="4" w:space="0" w:color="auto"/>
            </w:tcBorders>
            <w:vAlign w:val="center"/>
          </w:tcPr>
          <w:p w14:paraId="3789DC1B" w14:textId="77777777" w:rsidR="004D28B6" w:rsidRPr="006A755F" w:rsidRDefault="004D28B6" w:rsidP="00136A61">
            <w:pPr>
              <w:spacing w:before="60" w:after="60"/>
              <w:jc w:val="right"/>
              <w:rPr>
                <w:rFonts w:cstheme="minorHAnsi"/>
                <w:sz w:val="20"/>
                <w:szCs w:val="20"/>
              </w:rPr>
            </w:pPr>
            <w:r>
              <w:rPr>
                <w:rFonts w:cstheme="minorHAnsi"/>
                <w:sz w:val="20"/>
                <w:szCs w:val="20"/>
              </w:rPr>
              <w:t>8 593</w:t>
            </w:r>
          </w:p>
        </w:tc>
        <w:tc>
          <w:tcPr>
            <w:tcW w:w="436" w:type="pct"/>
            <w:tcBorders>
              <w:top w:val="nil"/>
              <w:left w:val="single" w:sz="4" w:space="0" w:color="auto"/>
              <w:bottom w:val="nil"/>
              <w:right w:val="single" w:sz="4" w:space="0" w:color="auto"/>
            </w:tcBorders>
          </w:tcPr>
          <w:p w14:paraId="3ECDBE3E" w14:textId="77777777" w:rsidR="004D28B6" w:rsidRPr="0008468B" w:rsidRDefault="004D28B6" w:rsidP="00136A61">
            <w:pPr>
              <w:spacing w:before="60" w:after="60"/>
              <w:jc w:val="right"/>
              <w:rPr>
                <w:rFonts w:cstheme="minorHAnsi"/>
                <w:sz w:val="20"/>
                <w:szCs w:val="20"/>
              </w:rPr>
            </w:pPr>
            <w:r w:rsidRPr="0008468B">
              <w:rPr>
                <w:rFonts w:cstheme="minorHAnsi"/>
                <w:sz w:val="20"/>
                <w:szCs w:val="20"/>
              </w:rPr>
              <w:t>100,0</w:t>
            </w:r>
          </w:p>
        </w:tc>
        <w:tc>
          <w:tcPr>
            <w:tcW w:w="433" w:type="pct"/>
            <w:tcBorders>
              <w:top w:val="nil"/>
              <w:left w:val="single" w:sz="4" w:space="0" w:color="auto"/>
              <w:bottom w:val="nil"/>
              <w:right w:val="single" w:sz="4" w:space="0" w:color="auto"/>
            </w:tcBorders>
            <w:vAlign w:val="center"/>
          </w:tcPr>
          <w:p w14:paraId="76082078" w14:textId="77777777" w:rsidR="004D28B6" w:rsidRPr="001C7FF6" w:rsidRDefault="004D28B6" w:rsidP="00136A61">
            <w:pPr>
              <w:spacing w:before="60" w:after="60"/>
              <w:jc w:val="right"/>
              <w:rPr>
                <w:rFonts w:cstheme="minorHAnsi"/>
                <w:sz w:val="20"/>
                <w:szCs w:val="20"/>
              </w:rPr>
            </w:pPr>
            <w:r w:rsidRPr="001C7FF6">
              <w:rPr>
                <w:rFonts w:cstheme="minorHAnsi"/>
                <w:sz w:val="20"/>
                <w:szCs w:val="20"/>
              </w:rPr>
              <w:t>28,6</w:t>
            </w:r>
          </w:p>
        </w:tc>
      </w:tr>
      <w:tr w:rsidR="001B4A99" w:rsidRPr="006A755F" w14:paraId="0ECB2742" w14:textId="77777777" w:rsidTr="001B33F7">
        <w:trPr>
          <w:tblHeader/>
        </w:trPr>
        <w:tc>
          <w:tcPr>
            <w:tcW w:w="1595" w:type="pct"/>
            <w:tcBorders>
              <w:top w:val="nil"/>
              <w:left w:val="single" w:sz="4" w:space="0" w:color="auto"/>
              <w:bottom w:val="nil"/>
              <w:right w:val="single" w:sz="4" w:space="0" w:color="auto"/>
            </w:tcBorders>
          </w:tcPr>
          <w:p w14:paraId="1998DF7A" w14:textId="77777777" w:rsidR="004D28B6" w:rsidRPr="006A755F" w:rsidRDefault="004D28B6" w:rsidP="006B6D61">
            <w:pPr>
              <w:spacing w:before="60" w:after="60"/>
              <w:ind w:firstLine="4"/>
              <w:rPr>
                <w:rFonts w:cstheme="minorHAnsi"/>
                <w:sz w:val="20"/>
                <w:szCs w:val="20"/>
              </w:rPr>
            </w:pPr>
            <w:r w:rsidRPr="006A755F">
              <w:rPr>
                <w:rFonts w:cstheme="minorHAnsi"/>
                <w:sz w:val="20"/>
                <w:szCs w:val="20"/>
              </w:rPr>
              <w:t>prostředky EU</w:t>
            </w:r>
          </w:p>
        </w:tc>
        <w:tc>
          <w:tcPr>
            <w:tcW w:w="651" w:type="pct"/>
            <w:tcBorders>
              <w:top w:val="nil"/>
              <w:left w:val="single" w:sz="4" w:space="0" w:color="auto"/>
              <w:bottom w:val="nil"/>
              <w:right w:val="single" w:sz="4" w:space="0" w:color="auto"/>
            </w:tcBorders>
            <w:shd w:val="clear" w:color="auto" w:fill="auto"/>
            <w:vAlign w:val="center"/>
          </w:tcPr>
          <w:p w14:paraId="18C21C65"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43 709 977</w:t>
            </w:r>
          </w:p>
        </w:tc>
        <w:tc>
          <w:tcPr>
            <w:tcW w:w="577" w:type="pct"/>
            <w:tcBorders>
              <w:top w:val="nil"/>
              <w:left w:val="single" w:sz="4" w:space="0" w:color="auto"/>
              <w:bottom w:val="nil"/>
              <w:right w:val="single" w:sz="4" w:space="0" w:color="auto"/>
            </w:tcBorders>
            <w:vAlign w:val="center"/>
          </w:tcPr>
          <w:p w14:paraId="69C816B2" w14:textId="77777777" w:rsidR="004D28B6" w:rsidRPr="006A755F" w:rsidRDefault="004D28B6" w:rsidP="00136A61">
            <w:pPr>
              <w:spacing w:before="60" w:after="60"/>
              <w:jc w:val="right"/>
              <w:rPr>
                <w:rFonts w:cstheme="minorHAnsi"/>
                <w:sz w:val="20"/>
                <w:szCs w:val="20"/>
              </w:rPr>
            </w:pPr>
            <w:r>
              <w:rPr>
                <w:rFonts w:cstheme="minorHAnsi"/>
                <w:sz w:val="20"/>
                <w:szCs w:val="20"/>
              </w:rPr>
              <w:t>28 146 730</w:t>
            </w:r>
          </w:p>
        </w:tc>
        <w:tc>
          <w:tcPr>
            <w:tcW w:w="581" w:type="pct"/>
            <w:tcBorders>
              <w:top w:val="nil"/>
              <w:left w:val="single" w:sz="4" w:space="0" w:color="auto"/>
              <w:bottom w:val="nil"/>
              <w:right w:val="single" w:sz="4" w:space="0" w:color="auto"/>
            </w:tcBorders>
            <w:vAlign w:val="center"/>
          </w:tcPr>
          <w:p w14:paraId="3C1B99DC" w14:textId="77777777" w:rsidR="004D28B6" w:rsidRPr="006A755F" w:rsidRDefault="004D28B6" w:rsidP="00136A61">
            <w:pPr>
              <w:spacing w:before="60" w:after="60"/>
              <w:jc w:val="right"/>
              <w:rPr>
                <w:rFonts w:cstheme="minorHAnsi"/>
                <w:sz w:val="20"/>
                <w:szCs w:val="20"/>
              </w:rPr>
            </w:pPr>
            <w:r>
              <w:rPr>
                <w:rFonts w:cstheme="minorHAnsi"/>
                <w:sz w:val="20"/>
                <w:szCs w:val="20"/>
              </w:rPr>
              <w:t>28 663 473</w:t>
            </w:r>
          </w:p>
        </w:tc>
        <w:tc>
          <w:tcPr>
            <w:tcW w:w="726" w:type="pct"/>
            <w:tcBorders>
              <w:top w:val="nil"/>
              <w:left w:val="single" w:sz="4" w:space="0" w:color="auto"/>
              <w:bottom w:val="nil"/>
              <w:right w:val="single" w:sz="4" w:space="0" w:color="auto"/>
            </w:tcBorders>
            <w:shd w:val="clear" w:color="auto" w:fill="auto"/>
            <w:vAlign w:val="center"/>
          </w:tcPr>
          <w:p w14:paraId="09EA55AE" w14:textId="77777777" w:rsidR="004D28B6" w:rsidRPr="006A755F" w:rsidRDefault="004D28B6" w:rsidP="00136A61">
            <w:pPr>
              <w:spacing w:before="60" w:after="60"/>
              <w:jc w:val="right"/>
              <w:rPr>
                <w:rFonts w:cstheme="minorHAnsi"/>
                <w:sz w:val="20"/>
                <w:szCs w:val="20"/>
              </w:rPr>
            </w:pPr>
            <w:r>
              <w:rPr>
                <w:rFonts w:cstheme="minorHAnsi"/>
                <w:sz w:val="20"/>
                <w:szCs w:val="20"/>
              </w:rPr>
              <w:t>28 172 432</w:t>
            </w:r>
          </w:p>
        </w:tc>
        <w:tc>
          <w:tcPr>
            <w:tcW w:w="436" w:type="pct"/>
            <w:tcBorders>
              <w:top w:val="nil"/>
              <w:left w:val="single" w:sz="4" w:space="0" w:color="auto"/>
              <w:bottom w:val="nil"/>
              <w:right w:val="single" w:sz="4" w:space="0" w:color="auto"/>
            </w:tcBorders>
          </w:tcPr>
          <w:p w14:paraId="7DE5B5FF" w14:textId="77777777" w:rsidR="004D28B6" w:rsidRPr="0008468B" w:rsidRDefault="004D28B6" w:rsidP="00136A61">
            <w:pPr>
              <w:spacing w:before="60" w:after="60"/>
              <w:jc w:val="right"/>
              <w:rPr>
                <w:rFonts w:cstheme="minorHAnsi"/>
                <w:sz w:val="20"/>
                <w:szCs w:val="20"/>
              </w:rPr>
            </w:pPr>
            <w:r w:rsidRPr="0008468B">
              <w:rPr>
                <w:rFonts w:cstheme="minorHAnsi"/>
                <w:sz w:val="20"/>
                <w:szCs w:val="20"/>
              </w:rPr>
              <w:t>98,3</w:t>
            </w:r>
          </w:p>
        </w:tc>
        <w:tc>
          <w:tcPr>
            <w:tcW w:w="433" w:type="pct"/>
            <w:tcBorders>
              <w:top w:val="nil"/>
              <w:left w:val="single" w:sz="4" w:space="0" w:color="auto"/>
              <w:bottom w:val="nil"/>
              <w:right w:val="single" w:sz="4" w:space="0" w:color="auto"/>
            </w:tcBorders>
            <w:vAlign w:val="center"/>
          </w:tcPr>
          <w:p w14:paraId="7083E3E8" w14:textId="77777777" w:rsidR="004D28B6" w:rsidRPr="001C7FF6" w:rsidRDefault="004D28B6" w:rsidP="00136A61">
            <w:pPr>
              <w:spacing w:before="60" w:after="60"/>
              <w:jc w:val="right"/>
              <w:rPr>
                <w:rFonts w:cstheme="minorHAnsi"/>
                <w:sz w:val="20"/>
                <w:szCs w:val="20"/>
              </w:rPr>
            </w:pPr>
            <w:r w:rsidRPr="001C7FF6">
              <w:rPr>
                <w:rFonts w:cstheme="minorHAnsi"/>
                <w:sz w:val="20"/>
                <w:szCs w:val="20"/>
              </w:rPr>
              <w:t>64,5</w:t>
            </w:r>
          </w:p>
        </w:tc>
      </w:tr>
      <w:tr w:rsidR="001B4A99" w:rsidRPr="006A755F" w14:paraId="07DDF44A" w14:textId="77777777" w:rsidTr="001B33F7">
        <w:trPr>
          <w:tblHeader/>
        </w:trPr>
        <w:tc>
          <w:tcPr>
            <w:tcW w:w="1595" w:type="pct"/>
            <w:tcBorders>
              <w:top w:val="single" w:sz="4" w:space="0" w:color="auto"/>
              <w:left w:val="single" w:sz="4" w:space="0" w:color="auto"/>
              <w:bottom w:val="nil"/>
              <w:right w:val="single" w:sz="4" w:space="0" w:color="auto"/>
            </w:tcBorders>
          </w:tcPr>
          <w:p w14:paraId="22ADB8B7" w14:textId="77777777" w:rsidR="004D28B6" w:rsidRPr="006A755F" w:rsidRDefault="004D28B6"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 xml:space="preserve">Investiční nákupy a související výdaje OSS </w:t>
            </w:r>
            <w:r w:rsidRPr="006A755F">
              <w:rPr>
                <w:rFonts w:cstheme="minorHAnsi"/>
                <w:color w:val="2E74B5" w:themeColor="accent1" w:themeShade="BF"/>
                <w:sz w:val="20"/>
                <w:szCs w:val="20"/>
              </w:rPr>
              <w:t>(v tom:)</w:t>
            </w:r>
          </w:p>
        </w:tc>
        <w:tc>
          <w:tcPr>
            <w:tcW w:w="651" w:type="pct"/>
            <w:tcBorders>
              <w:top w:val="single" w:sz="4" w:space="0" w:color="auto"/>
              <w:left w:val="single" w:sz="4" w:space="0" w:color="auto"/>
              <w:bottom w:val="nil"/>
              <w:right w:val="single" w:sz="4" w:space="0" w:color="auto"/>
            </w:tcBorders>
            <w:vAlign w:val="center"/>
          </w:tcPr>
          <w:p w14:paraId="7D93FE9F" w14:textId="77777777" w:rsidR="004D28B6" w:rsidRPr="006A755F" w:rsidRDefault="004D28B6" w:rsidP="00136A6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104 823</w:t>
            </w:r>
          </w:p>
        </w:tc>
        <w:tc>
          <w:tcPr>
            <w:tcW w:w="577" w:type="pct"/>
            <w:tcBorders>
              <w:top w:val="single" w:sz="4" w:space="0" w:color="auto"/>
              <w:left w:val="single" w:sz="4" w:space="0" w:color="auto"/>
              <w:bottom w:val="nil"/>
              <w:right w:val="single" w:sz="4" w:space="0" w:color="auto"/>
            </w:tcBorders>
            <w:vAlign w:val="center"/>
          </w:tcPr>
          <w:p w14:paraId="319C182B" w14:textId="77777777" w:rsidR="004D28B6" w:rsidRPr="006A755F"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97 535</w:t>
            </w:r>
          </w:p>
        </w:tc>
        <w:tc>
          <w:tcPr>
            <w:tcW w:w="581" w:type="pct"/>
            <w:tcBorders>
              <w:top w:val="single" w:sz="4" w:space="0" w:color="auto"/>
              <w:left w:val="single" w:sz="4" w:space="0" w:color="auto"/>
              <w:bottom w:val="nil"/>
              <w:right w:val="single" w:sz="4" w:space="0" w:color="auto"/>
            </w:tcBorders>
            <w:vAlign w:val="center"/>
          </w:tcPr>
          <w:p w14:paraId="4C57ED95" w14:textId="77777777" w:rsidR="004D28B6" w:rsidRPr="006A755F"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131 514</w:t>
            </w:r>
          </w:p>
        </w:tc>
        <w:tc>
          <w:tcPr>
            <w:tcW w:w="726" w:type="pct"/>
            <w:tcBorders>
              <w:top w:val="single" w:sz="4" w:space="0" w:color="auto"/>
              <w:left w:val="single" w:sz="4" w:space="0" w:color="auto"/>
              <w:bottom w:val="nil"/>
              <w:right w:val="single" w:sz="4" w:space="0" w:color="auto"/>
            </w:tcBorders>
            <w:vAlign w:val="center"/>
          </w:tcPr>
          <w:p w14:paraId="64423D4D" w14:textId="77777777" w:rsidR="004D28B6" w:rsidRPr="006A755F"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138 660</w:t>
            </w:r>
          </w:p>
        </w:tc>
        <w:tc>
          <w:tcPr>
            <w:tcW w:w="436" w:type="pct"/>
            <w:tcBorders>
              <w:top w:val="single" w:sz="4" w:space="0" w:color="auto"/>
              <w:left w:val="single" w:sz="4" w:space="0" w:color="auto"/>
              <w:bottom w:val="nil"/>
              <w:right w:val="single" w:sz="4" w:space="0" w:color="auto"/>
            </w:tcBorders>
            <w:vAlign w:val="center"/>
          </w:tcPr>
          <w:p w14:paraId="5C369A72" w14:textId="77777777" w:rsidR="004D28B6" w:rsidRPr="00253D92" w:rsidRDefault="004D28B6" w:rsidP="00136A61">
            <w:pPr>
              <w:spacing w:before="60" w:after="60"/>
              <w:jc w:val="right"/>
              <w:rPr>
                <w:rFonts w:cstheme="minorHAnsi"/>
                <w:b/>
                <w:color w:val="2E74B5" w:themeColor="accent1" w:themeShade="BF"/>
                <w:sz w:val="20"/>
                <w:szCs w:val="20"/>
              </w:rPr>
            </w:pPr>
            <w:r w:rsidRPr="00253D92">
              <w:rPr>
                <w:rFonts w:cstheme="minorHAnsi"/>
                <w:b/>
                <w:color w:val="2E74B5" w:themeColor="accent1" w:themeShade="BF"/>
                <w:sz w:val="20"/>
                <w:szCs w:val="20"/>
              </w:rPr>
              <w:t>105,4</w:t>
            </w:r>
          </w:p>
        </w:tc>
        <w:tc>
          <w:tcPr>
            <w:tcW w:w="433" w:type="pct"/>
            <w:tcBorders>
              <w:top w:val="single" w:sz="4" w:space="0" w:color="auto"/>
              <w:left w:val="single" w:sz="4" w:space="0" w:color="auto"/>
              <w:bottom w:val="nil"/>
              <w:right w:val="single" w:sz="4" w:space="0" w:color="auto"/>
            </w:tcBorders>
            <w:vAlign w:val="center"/>
          </w:tcPr>
          <w:p w14:paraId="35D001B3" w14:textId="77777777" w:rsidR="004D28B6" w:rsidRPr="00253D92" w:rsidRDefault="004D28B6" w:rsidP="00136A61">
            <w:pPr>
              <w:spacing w:before="60" w:after="60"/>
              <w:jc w:val="right"/>
              <w:rPr>
                <w:rFonts w:cstheme="minorHAnsi"/>
                <w:b/>
                <w:color w:val="2E74B5" w:themeColor="accent1" w:themeShade="BF"/>
                <w:sz w:val="20"/>
                <w:szCs w:val="20"/>
              </w:rPr>
            </w:pPr>
            <w:r w:rsidRPr="00253D92">
              <w:rPr>
                <w:rFonts w:cstheme="minorHAnsi"/>
                <w:b/>
                <w:color w:val="2E74B5" w:themeColor="accent1" w:themeShade="BF"/>
                <w:sz w:val="20"/>
                <w:szCs w:val="20"/>
              </w:rPr>
              <w:t>132,3</w:t>
            </w:r>
          </w:p>
        </w:tc>
      </w:tr>
      <w:tr w:rsidR="001B4A99" w:rsidRPr="006A755F" w14:paraId="20ADC345" w14:textId="77777777" w:rsidTr="001B33F7">
        <w:trPr>
          <w:tblHeader/>
        </w:trPr>
        <w:tc>
          <w:tcPr>
            <w:tcW w:w="1595" w:type="pct"/>
            <w:tcBorders>
              <w:top w:val="nil"/>
              <w:left w:val="single" w:sz="4" w:space="0" w:color="auto"/>
              <w:bottom w:val="nil"/>
              <w:right w:val="single" w:sz="4" w:space="0" w:color="auto"/>
            </w:tcBorders>
          </w:tcPr>
          <w:p w14:paraId="68F18090" w14:textId="77777777" w:rsidR="004D28B6" w:rsidRPr="006A755F" w:rsidRDefault="004D28B6" w:rsidP="006B6D61">
            <w:pPr>
              <w:spacing w:before="60" w:after="60"/>
              <w:ind w:hanging="6"/>
              <w:rPr>
                <w:rFonts w:cstheme="minorHAnsi"/>
                <w:sz w:val="20"/>
                <w:szCs w:val="20"/>
              </w:rPr>
            </w:pPr>
            <w:r w:rsidRPr="006A755F">
              <w:rPr>
                <w:rFonts w:cstheme="minorHAnsi"/>
                <w:sz w:val="20"/>
                <w:szCs w:val="20"/>
              </w:rPr>
              <w:t>prostředky SR</w:t>
            </w:r>
          </w:p>
        </w:tc>
        <w:tc>
          <w:tcPr>
            <w:tcW w:w="651" w:type="pct"/>
            <w:tcBorders>
              <w:top w:val="nil"/>
              <w:left w:val="single" w:sz="4" w:space="0" w:color="auto"/>
              <w:bottom w:val="nil"/>
              <w:right w:val="single" w:sz="4" w:space="0" w:color="auto"/>
            </w:tcBorders>
            <w:vAlign w:val="center"/>
          </w:tcPr>
          <w:p w14:paraId="13DE11AC"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104 823</w:t>
            </w:r>
          </w:p>
        </w:tc>
        <w:tc>
          <w:tcPr>
            <w:tcW w:w="577" w:type="pct"/>
            <w:tcBorders>
              <w:top w:val="nil"/>
              <w:left w:val="single" w:sz="4" w:space="0" w:color="auto"/>
              <w:bottom w:val="nil"/>
              <w:right w:val="single" w:sz="4" w:space="0" w:color="auto"/>
            </w:tcBorders>
            <w:vAlign w:val="center"/>
          </w:tcPr>
          <w:p w14:paraId="4958A28A" w14:textId="77777777" w:rsidR="004D28B6" w:rsidRPr="006A755F" w:rsidRDefault="004D28B6" w:rsidP="00136A61">
            <w:pPr>
              <w:spacing w:before="60" w:after="60"/>
              <w:jc w:val="right"/>
              <w:rPr>
                <w:rFonts w:cstheme="minorHAnsi"/>
                <w:sz w:val="20"/>
                <w:szCs w:val="20"/>
              </w:rPr>
            </w:pPr>
            <w:r>
              <w:rPr>
                <w:rFonts w:cstheme="minorHAnsi"/>
                <w:sz w:val="20"/>
                <w:szCs w:val="20"/>
              </w:rPr>
              <w:t>97 535</w:t>
            </w:r>
          </w:p>
        </w:tc>
        <w:tc>
          <w:tcPr>
            <w:tcW w:w="581" w:type="pct"/>
            <w:tcBorders>
              <w:top w:val="nil"/>
              <w:left w:val="single" w:sz="4" w:space="0" w:color="auto"/>
              <w:bottom w:val="nil"/>
              <w:right w:val="single" w:sz="4" w:space="0" w:color="auto"/>
            </w:tcBorders>
            <w:vAlign w:val="center"/>
          </w:tcPr>
          <w:p w14:paraId="686064AB" w14:textId="77777777" w:rsidR="004D28B6" w:rsidRPr="006A755F" w:rsidRDefault="004D28B6" w:rsidP="00136A61">
            <w:pPr>
              <w:spacing w:before="60" w:after="60"/>
              <w:jc w:val="right"/>
              <w:rPr>
                <w:rFonts w:cstheme="minorHAnsi"/>
                <w:sz w:val="20"/>
                <w:szCs w:val="20"/>
              </w:rPr>
            </w:pPr>
            <w:r>
              <w:rPr>
                <w:rFonts w:cstheme="minorHAnsi"/>
                <w:sz w:val="20"/>
                <w:szCs w:val="20"/>
              </w:rPr>
              <w:t>131 514</w:t>
            </w:r>
          </w:p>
        </w:tc>
        <w:tc>
          <w:tcPr>
            <w:tcW w:w="726" w:type="pct"/>
            <w:tcBorders>
              <w:top w:val="nil"/>
              <w:left w:val="single" w:sz="4" w:space="0" w:color="auto"/>
              <w:bottom w:val="nil"/>
              <w:right w:val="single" w:sz="4" w:space="0" w:color="auto"/>
            </w:tcBorders>
            <w:vAlign w:val="center"/>
          </w:tcPr>
          <w:p w14:paraId="5502DA79" w14:textId="77777777" w:rsidR="004D28B6" w:rsidRPr="006A755F" w:rsidRDefault="004D28B6" w:rsidP="00136A61">
            <w:pPr>
              <w:spacing w:before="60" w:after="60"/>
              <w:jc w:val="right"/>
              <w:rPr>
                <w:rFonts w:cstheme="minorHAnsi"/>
                <w:sz w:val="20"/>
                <w:szCs w:val="20"/>
              </w:rPr>
            </w:pPr>
            <w:r>
              <w:rPr>
                <w:rFonts w:cstheme="minorHAnsi"/>
                <w:sz w:val="20"/>
                <w:szCs w:val="20"/>
              </w:rPr>
              <w:t>131 388</w:t>
            </w:r>
          </w:p>
        </w:tc>
        <w:tc>
          <w:tcPr>
            <w:tcW w:w="436" w:type="pct"/>
            <w:tcBorders>
              <w:top w:val="nil"/>
              <w:left w:val="single" w:sz="4" w:space="0" w:color="auto"/>
              <w:bottom w:val="nil"/>
              <w:right w:val="single" w:sz="4" w:space="0" w:color="auto"/>
            </w:tcBorders>
          </w:tcPr>
          <w:p w14:paraId="69843270" w14:textId="77777777" w:rsidR="004D28B6" w:rsidRPr="00253D92" w:rsidRDefault="004D28B6" w:rsidP="00136A61">
            <w:pPr>
              <w:spacing w:before="60" w:after="60"/>
              <w:jc w:val="right"/>
              <w:rPr>
                <w:rFonts w:cstheme="minorHAnsi"/>
                <w:sz w:val="20"/>
                <w:szCs w:val="20"/>
              </w:rPr>
            </w:pPr>
            <w:r w:rsidRPr="00253D92">
              <w:rPr>
                <w:rFonts w:cstheme="minorHAnsi"/>
                <w:sz w:val="20"/>
                <w:szCs w:val="20"/>
              </w:rPr>
              <w:t>99,9</w:t>
            </w:r>
          </w:p>
        </w:tc>
        <w:tc>
          <w:tcPr>
            <w:tcW w:w="433" w:type="pct"/>
            <w:tcBorders>
              <w:top w:val="nil"/>
              <w:left w:val="single" w:sz="4" w:space="0" w:color="auto"/>
              <w:bottom w:val="nil"/>
              <w:right w:val="single" w:sz="4" w:space="0" w:color="auto"/>
            </w:tcBorders>
            <w:vAlign w:val="center"/>
          </w:tcPr>
          <w:p w14:paraId="0F8FF4C4" w14:textId="77777777" w:rsidR="004D28B6" w:rsidRPr="00253D92" w:rsidRDefault="004D28B6" w:rsidP="00136A61">
            <w:pPr>
              <w:spacing w:before="60" w:after="60"/>
              <w:jc w:val="right"/>
              <w:rPr>
                <w:rFonts w:cstheme="minorHAnsi"/>
                <w:sz w:val="20"/>
                <w:szCs w:val="20"/>
              </w:rPr>
            </w:pPr>
            <w:r w:rsidRPr="00253D92">
              <w:rPr>
                <w:rFonts w:cstheme="minorHAnsi"/>
                <w:sz w:val="20"/>
                <w:szCs w:val="20"/>
              </w:rPr>
              <w:t>125,3</w:t>
            </w:r>
          </w:p>
        </w:tc>
      </w:tr>
      <w:tr w:rsidR="001B4A99" w:rsidRPr="006A755F" w14:paraId="1EE245E4" w14:textId="77777777" w:rsidTr="001B33F7">
        <w:trPr>
          <w:tblHeader/>
        </w:trPr>
        <w:tc>
          <w:tcPr>
            <w:tcW w:w="1595" w:type="pct"/>
            <w:tcBorders>
              <w:top w:val="nil"/>
              <w:left w:val="single" w:sz="4" w:space="0" w:color="auto"/>
              <w:bottom w:val="single" w:sz="4" w:space="0" w:color="auto"/>
              <w:right w:val="single" w:sz="4" w:space="0" w:color="auto"/>
            </w:tcBorders>
          </w:tcPr>
          <w:p w14:paraId="4528ED28" w14:textId="77777777" w:rsidR="004D28B6" w:rsidRPr="006A755F" w:rsidRDefault="004D28B6" w:rsidP="006B6D61">
            <w:pPr>
              <w:spacing w:before="60" w:after="60"/>
              <w:ind w:hanging="6"/>
              <w:rPr>
                <w:rFonts w:cstheme="minorHAnsi"/>
                <w:sz w:val="20"/>
                <w:szCs w:val="20"/>
              </w:rPr>
            </w:pPr>
            <w:r w:rsidRPr="006A755F">
              <w:rPr>
                <w:rFonts w:cstheme="minorHAnsi"/>
                <w:sz w:val="20"/>
                <w:szCs w:val="20"/>
              </w:rPr>
              <w:t>prostředky EU</w:t>
            </w:r>
          </w:p>
        </w:tc>
        <w:tc>
          <w:tcPr>
            <w:tcW w:w="651" w:type="pct"/>
            <w:tcBorders>
              <w:top w:val="nil"/>
              <w:left w:val="single" w:sz="4" w:space="0" w:color="auto"/>
              <w:bottom w:val="single" w:sz="4" w:space="0" w:color="auto"/>
              <w:right w:val="single" w:sz="4" w:space="0" w:color="auto"/>
            </w:tcBorders>
            <w:vAlign w:val="center"/>
          </w:tcPr>
          <w:p w14:paraId="4E1EEF1F"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0</w:t>
            </w:r>
          </w:p>
        </w:tc>
        <w:tc>
          <w:tcPr>
            <w:tcW w:w="577" w:type="pct"/>
            <w:tcBorders>
              <w:top w:val="nil"/>
              <w:left w:val="single" w:sz="4" w:space="0" w:color="auto"/>
              <w:bottom w:val="single" w:sz="4" w:space="0" w:color="auto"/>
              <w:right w:val="single" w:sz="4" w:space="0" w:color="auto"/>
            </w:tcBorders>
            <w:vAlign w:val="center"/>
          </w:tcPr>
          <w:p w14:paraId="13C85F11" w14:textId="77777777" w:rsidR="004D28B6" w:rsidRPr="006A755F" w:rsidRDefault="004D28B6" w:rsidP="00136A61">
            <w:pPr>
              <w:spacing w:before="60" w:after="60"/>
              <w:jc w:val="right"/>
              <w:rPr>
                <w:rFonts w:cstheme="minorHAnsi"/>
                <w:sz w:val="20"/>
                <w:szCs w:val="20"/>
              </w:rPr>
            </w:pPr>
            <w:r>
              <w:rPr>
                <w:rFonts w:cstheme="minorHAnsi"/>
                <w:sz w:val="20"/>
                <w:szCs w:val="20"/>
              </w:rPr>
              <w:t>0</w:t>
            </w:r>
          </w:p>
        </w:tc>
        <w:tc>
          <w:tcPr>
            <w:tcW w:w="581" w:type="pct"/>
            <w:tcBorders>
              <w:top w:val="nil"/>
              <w:left w:val="single" w:sz="4" w:space="0" w:color="auto"/>
              <w:bottom w:val="single" w:sz="4" w:space="0" w:color="auto"/>
              <w:right w:val="single" w:sz="4" w:space="0" w:color="auto"/>
            </w:tcBorders>
            <w:vAlign w:val="center"/>
          </w:tcPr>
          <w:p w14:paraId="08F3CABF" w14:textId="77777777" w:rsidR="004D28B6" w:rsidRPr="006A755F" w:rsidRDefault="004D28B6" w:rsidP="00136A61">
            <w:pPr>
              <w:spacing w:before="60" w:after="60"/>
              <w:jc w:val="right"/>
              <w:rPr>
                <w:rFonts w:cstheme="minorHAnsi"/>
                <w:sz w:val="20"/>
                <w:szCs w:val="20"/>
              </w:rPr>
            </w:pPr>
            <w:r>
              <w:rPr>
                <w:rFonts w:cstheme="minorHAnsi"/>
                <w:sz w:val="20"/>
                <w:szCs w:val="20"/>
              </w:rPr>
              <w:t>0</w:t>
            </w:r>
          </w:p>
        </w:tc>
        <w:tc>
          <w:tcPr>
            <w:tcW w:w="726" w:type="pct"/>
            <w:tcBorders>
              <w:top w:val="nil"/>
              <w:left w:val="single" w:sz="4" w:space="0" w:color="auto"/>
              <w:bottom w:val="single" w:sz="4" w:space="0" w:color="auto"/>
              <w:right w:val="single" w:sz="4" w:space="0" w:color="auto"/>
            </w:tcBorders>
            <w:vAlign w:val="center"/>
          </w:tcPr>
          <w:p w14:paraId="0BB5C460" w14:textId="77777777" w:rsidR="004D28B6" w:rsidRPr="00FD4483" w:rsidRDefault="004D28B6" w:rsidP="00136A61">
            <w:pPr>
              <w:spacing w:before="60" w:after="60"/>
              <w:jc w:val="right"/>
              <w:rPr>
                <w:rFonts w:cstheme="minorHAnsi"/>
                <w:sz w:val="20"/>
                <w:szCs w:val="20"/>
              </w:rPr>
            </w:pPr>
            <w:r w:rsidRPr="00FD4483">
              <w:rPr>
                <w:rFonts w:cstheme="minorHAnsi"/>
                <w:sz w:val="20"/>
                <w:szCs w:val="20"/>
              </w:rPr>
              <w:t>7 272</w:t>
            </w:r>
          </w:p>
        </w:tc>
        <w:tc>
          <w:tcPr>
            <w:tcW w:w="436" w:type="pct"/>
            <w:tcBorders>
              <w:top w:val="nil"/>
              <w:left w:val="single" w:sz="4" w:space="0" w:color="auto"/>
              <w:bottom w:val="single" w:sz="4" w:space="0" w:color="auto"/>
              <w:right w:val="single" w:sz="4" w:space="0" w:color="auto"/>
            </w:tcBorders>
          </w:tcPr>
          <w:p w14:paraId="573B592F" w14:textId="77777777" w:rsidR="004D28B6" w:rsidRPr="00253D92" w:rsidRDefault="004D28B6" w:rsidP="00136A61">
            <w:pPr>
              <w:spacing w:before="60" w:after="60"/>
              <w:jc w:val="right"/>
              <w:rPr>
                <w:rFonts w:cstheme="minorHAnsi"/>
                <w:sz w:val="20"/>
                <w:szCs w:val="20"/>
              </w:rPr>
            </w:pPr>
            <w:r w:rsidRPr="00253D92">
              <w:rPr>
                <w:rFonts w:cstheme="minorHAnsi"/>
                <w:sz w:val="20"/>
                <w:szCs w:val="20"/>
              </w:rPr>
              <w:t>x</w:t>
            </w:r>
          </w:p>
        </w:tc>
        <w:tc>
          <w:tcPr>
            <w:tcW w:w="433" w:type="pct"/>
            <w:tcBorders>
              <w:top w:val="nil"/>
              <w:left w:val="single" w:sz="4" w:space="0" w:color="auto"/>
              <w:bottom w:val="single" w:sz="4" w:space="0" w:color="auto"/>
              <w:right w:val="single" w:sz="4" w:space="0" w:color="auto"/>
            </w:tcBorders>
            <w:vAlign w:val="center"/>
          </w:tcPr>
          <w:p w14:paraId="1AD956C3" w14:textId="77777777" w:rsidR="004D28B6" w:rsidRPr="00253D92" w:rsidRDefault="004D28B6" w:rsidP="00136A61">
            <w:pPr>
              <w:spacing w:before="60" w:after="60"/>
              <w:jc w:val="right"/>
              <w:rPr>
                <w:rFonts w:cstheme="minorHAnsi"/>
                <w:sz w:val="20"/>
                <w:szCs w:val="20"/>
              </w:rPr>
            </w:pPr>
            <w:r w:rsidRPr="00253D92">
              <w:rPr>
                <w:rFonts w:cstheme="minorHAnsi"/>
                <w:sz w:val="20"/>
                <w:szCs w:val="20"/>
              </w:rPr>
              <w:t>x</w:t>
            </w:r>
          </w:p>
        </w:tc>
      </w:tr>
      <w:tr w:rsidR="001B4A99" w:rsidRPr="006A755F" w14:paraId="1D246F12" w14:textId="77777777" w:rsidTr="001B33F7">
        <w:trPr>
          <w:tblHeader/>
        </w:trPr>
        <w:tc>
          <w:tcPr>
            <w:tcW w:w="1595" w:type="pct"/>
            <w:tcBorders>
              <w:top w:val="single" w:sz="4" w:space="0" w:color="auto"/>
              <w:left w:val="single" w:sz="4" w:space="0" w:color="auto"/>
              <w:bottom w:val="nil"/>
              <w:right w:val="single" w:sz="4" w:space="0" w:color="auto"/>
            </w:tcBorders>
          </w:tcPr>
          <w:p w14:paraId="69A00781" w14:textId="77777777" w:rsidR="004D28B6" w:rsidRPr="006A755F" w:rsidRDefault="004D28B6"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 xml:space="preserve">Investiční transfery příspěvkovým </w:t>
            </w:r>
          </w:p>
          <w:p w14:paraId="3B4CCB3C" w14:textId="77777777" w:rsidR="004D28B6" w:rsidRPr="006A755F" w:rsidRDefault="004D28B6"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a podobným organizacím</w:t>
            </w:r>
            <w:r w:rsidRPr="006A755F">
              <w:rPr>
                <w:rFonts w:cstheme="minorHAnsi"/>
                <w:color w:val="2E74B5" w:themeColor="accent1" w:themeShade="BF"/>
                <w:sz w:val="20"/>
                <w:szCs w:val="20"/>
              </w:rPr>
              <w:t xml:space="preserve"> (v tom:)</w:t>
            </w:r>
          </w:p>
        </w:tc>
        <w:tc>
          <w:tcPr>
            <w:tcW w:w="651" w:type="pct"/>
            <w:tcBorders>
              <w:top w:val="single" w:sz="4" w:space="0" w:color="auto"/>
              <w:left w:val="single" w:sz="4" w:space="0" w:color="auto"/>
              <w:bottom w:val="nil"/>
              <w:right w:val="single" w:sz="4" w:space="0" w:color="auto"/>
            </w:tcBorders>
            <w:vAlign w:val="center"/>
          </w:tcPr>
          <w:p w14:paraId="0C1DA1CE" w14:textId="77777777" w:rsidR="004D28B6" w:rsidRPr="006A755F" w:rsidRDefault="004D28B6" w:rsidP="00136A6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35 838</w:t>
            </w:r>
          </w:p>
        </w:tc>
        <w:tc>
          <w:tcPr>
            <w:tcW w:w="577" w:type="pct"/>
            <w:tcBorders>
              <w:top w:val="single" w:sz="4" w:space="0" w:color="auto"/>
              <w:left w:val="single" w:sz="4" w:space="0" w:color="auto"/>
              <w:bottom w:val="nil"/>
              <w:right w:val="single" w:sz="4" w:space="0" w:color="auto"/>
            </w:tcBorders>
            <w:vAlign w:val="center"/>
          </w:tcPr>
          <w:p w14:paraId="67D5099D" w14:textId="77777777" w:rsidR="004D28B6" w:rsidRPr="006A755F"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322 241</w:t>
            </w:r>
          </w:p>
        </w:tc>
        <w:tc>
          <w:tcPr>
            <w:tcW w:w="581" w:type="pct"/>
            <w:tcBorders>
              <w:top w:val="single" w:sz="4" w:space="0" w:color="auto"/>
              <w:left w:val="single" w:sz="4" w:space="0" w:color="auto"/>
              <w:bottom w:val="nil"/>
              <w:right w:val="single" w:sz="4" w:space="0" w:color="auto"/>
            </w:tcBorders>
            <w:vAlign w:val="center"/>
          </w:tcPr>
          <w:p w14:paraId="72DECB8F" w14:textId="77777777" w:rsidR="004D28B6" w:rsidRPr="006A755F"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300 834</w:t>
            </w:r>
          </w:p>
        </w:tc>
        <w:tc>
          <w:tcPr>
            <w:tcW w:w="726" w:type="pct"/>
            <w:tcBorders>
              <w:top w:val="single" w:sz="4" w:space="0" w:color="auto"/>
              <w:left w:val="single" w:sz="4" w:space="0" w:color="auto"/>
              <w:bottom w:val="nil"/>
              <w:right w:val="single" w:sz="4" w:space="0" w:color="auto"/>
            </w:tcBorders>
            <w:vAlign w:val="center"/>
          </w:tcPr>
          <w:p w14:paraId="683432FE" w14:textId="77777777" w:rsidR="004D28B6" w:rsidRPr="006A755F"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442 130</w:t>
            </w:r>
          </w:p>
        </w:tc>
        <w:tc>
          <w:tcPr>
            <w:tcW w:w="436" w:type="pct"/>
            <w:tcBorders>
              <w:top w:val="single" w:sz="4" w:space="0" w:color="auto"/>
              <w:left w:val="single" w:sz="4" w:space="0" w:color="auto"/>
              <w:bottom w:val="nil"/>
              <w:right w:val="single" w:sz="4" w:space="0" w:color="auto"/>
            </w:tcBorders>
            <w:vAlign w:val="center"/>
          </w:tcPr>
          <w:p w14:paraId="359538D4" w14:textId="77777777" w:rsidR="004D28B6" w:rsidRPr="00253D92"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147,0</w:t>
            </w:r>
          </w:p>
        </w:tc>
        <w:tc>
          <w:tcPr>
            <w:tcW w:w="433" w:type="pct"/>
            <w:tcBorders>
              <w:top w:val="single" w:sz="4" w:space="0" w:color="auto"/>
              <w:left w:val="single" w:sz="4" w:space="0" w:color="auto"/>
              <w:bottom w:val="nil"/>
              <w:right w:val="single" w:sz="4" w:space="0" w:color="auto"/>
            </w:tcBorders>
            <w:vAlign w:val="center"/>
          </w:tcPr>
          <w:p w14:paraId="38B1EED7" w14:textId="77777777" w:rsidR="004D28B6" w:rsidRPr="00253D92" w:rsidRDefault="004D28B6"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1 233,7</w:t>
            </w:r>
          </w:p>
        </w:tc>
      </w:tr>
      <w:tr w:rsidR="001B4A99" w:rsidRPr="006A755F" w14:paraId="0D606EBE" w14:textId="77777777" w:rsidTr="001B33F7">
        <w:trPr>
          <w:tblHeader/>
        </w:trPr>
        <w:tc>
          <w:tcPr>
            <w:tcW w:w="1595" w:type="pct"/>
            <w:tcBorders>
              <w:top w:val="nil"/>
              <w:left w:val="single" w:sz="4" w:space="0" w:color="auto"/>
              <w:bottom w:val="nil"/>
              <w:right w:val="single" w:sz="4" w:space="0" w:color="auto"/>
            </w:tcBorders>
          </w:tcPr>
          <w:p w14:paraId="19C5CB86" w14:textId="77777777" w:rsidR="004D28B6" w:rsidRPr="006A755F" w:rsidRDefault="004D28B6" w:rsidP="006B6D61">
            <w:pPr>
              <w:spacing w:before="60" w:after="60"/>
              <w:ind w:hanging="6"/>
              <w:rPr>
                <w:rFonts w:cstheme="minorHAnsi"/>
                <w:sz w:val="20"/>
                <w:szCs w:val="20"/>
              </w:rPr>
            </w:pPr>
            <w:r w:rsidRPr="006A755F">
              <w:rPr>
                <w:rFonts w:cstheme="minorHAnsi"/>
                <w:sz w:val="20"/>
                <w:szCs w:val="20"/>
              </w:rPr>
              <w:t>prostředky SR</w:t>
            </w:r>
          </w:p>
        </w:tc>
        <w:tc>
          <w:tcPr>
            <w:tcW w:w="651" w:type="pct"/>
            <w:tcBorders>
              <w:top w:val="nil"/>
              <w:left w:val="single" w:sz="4" w:space="0" w:color="auto"/>
              <w:bottom w:val="nil"/>
              <w:right w:val="single" w:sz="4" w:space="0" w:color="auto"/>
            </w:tcBorders>
            <w:vAlign w:val="center"/>
          </w:tcPr>
          <w:p w14:paraId="541DA02E"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34 676</w:t>
            </w:r>
          </w:p>
        </w:tc>
        <w:tc>
          <w:tcPr>
            <w:tcW w:w="577" w:type="pct"/>
            <w:tcBorders>
              <w:top w:val="nil"/>
              <w:left w:val="single" w:sz="4" w:space="0" w:color="auto"/>
              <w:bottom w:val="nil"/>
              <w:right w:val="single" w:sz="4" w:space="0" w:color="auto"/>
            </w:tcBorders>
            <w:vAlign w:val="center"/>
          </w:tcPr>
          <w:p w14:paraId="0F96F003" w14:textId="77777777" w:rsidR="004D28B6" w:rsidRPr="006A755F" w:rsidRDefault="004D28B6" w:rsidP="00136A61">
            <w:pPr>
              <w:spacing w:before="60" w:after="60"/>
              <w:jc w:val="right"/>
              <w:rPr>
                <w:rFonts w:cstheme="minorHAnsi"/>
                <w:sz w:val="20"/>
                <w:szCs w:val="20"/>
              </w:rPr>
            </w:pPr>
            <w:r>
              <w:rPr>
                <w:rFonts w:cstheme="minorHAnsi"/>
                <w:sz w:val="20"/>
                <w:szCs w:val="20"/>
              </w:rPr>
              <w:t>30 000</w:t>
            </w:r>
          </w:p>
        </w:tc>
        <w:tc>
          <w:tcPr>
            <w:tcW w:w="581" w:type="pct"/>
            <w:tcBorders>
              <w:top w:val="nil"/>
              <w:left w:val="single" w:sz="4" w:space="0" w:color="auto"/>
              <w:bottom w:val="nil"/>
              <w:right w:val="single" w:sz="4" w:space="0" w:color="auto"/>
            </w:tcBorders>
            <w:vAlign w:val="center"/>
          </w:tcPr>
          <w:p w14:paraId="2C825AC3" w14:textId="77777777" w:rsidR="004D28B6" w:rsidRPr="006A755F" w:rsidRDefault="004D28B6" w:rsidP="00136A61">
            <w:pPr>
              <w:spacing w:before="60" w:after="60"/>
              <w:jc w:val="right"/>
              <w:rPr>
                <w:rFonts w:cstheme="minorHAnsi"/>
                <w:sz w:val="20"/>
                <w:szCs w:val="20"/>
              </w:rPr>
            </w:pPr>
            <w:r>
              <w:rPr>
                <w:rFonts w:cstheme="minorHAnsi"/>
                <w:sz w:val="20"/>
                <w:szCs w:val="20"/>
              </w:rPr>
              <w:t>8 593</w:t>
            </w:r>
          </w:p>
        </w:tc>
        <w:tc>
          <w:tcPr>
            <w:tcW w:w="726" w:type="pct"/>
            <w:tcBorders>
              <w:top w:val="nil"/>
              <w:left w:val="single" w:sz="4" w:space="0" w:color="auto"/>
              <w:bottom w:val="nil"/>
              <w:right w:val="single" w:sz="4" w:space="0" w:color="auto"/>
            </w:tcBorders>
            <w:vAlign w:val="center"/>
          </w:tcPr>
          <w:p w14:paraId="1FE0C31C" w14:textId="77777777" w:rsidR="004D28B6" w:rsidRPr="006A755F" w:rsidRDefault="004D28B6" w:rsidP="00136A61">
            <w:pPr>
              <w:spacing w:before="60" w:after="60"/>
              <w:jc w:val="right"/>
              <w:rPr>
                <w:rFonts w:cstheme="minorHAnsi"/>
                <w:sz w:val="20"/>
                <w:szCs w:val="20"/>
              </w:rPr>
            </w:pPr>
            <w:r>
              <w:rPr>
                <w:rFonts w:cstheme="minorHAnsi"/>
                <w:sz w:val="20"/>
                <w:szCs w:val="20"/>
              </w:rPr>
              <w:t>13 320</w:t>
            </w:r>
          </w:p>
        </w:tc>
        <w:tc>
          <w:tcPr>
            <w:tcW w:w="436" w:type="pct"/>
            <w:tcBorders>
              <w:top w:val="nil"/>
              <w:left w:val="single" w:sz="4" w:space="0" w:color="auto"/>
              <w:bottom w:val="nil"/>
              <w:right w:val="single" w:sz="4" w:space="0" w:color="auto"/>
            </w:tcBorders>
          </w:tcPr>
          <w:p w14:paraId="0CA9BB9A" w14:textId="77777777" w:rsidR="004D28B6" w:rsidRPr="00706602" w:rsidRDefault="004D28B6" w:rsidP="00136A61">
            <w:pPr>
              <w:spacing w:before="60" w:after="60"/>
              <w:jc w:val="right"/>
              <w:rPr>
                <w:rFonts w:cstheme="minorHAnsi"/>
                <w:sz w:val="20"/>
                <w:szCs w:val="20"/>
              </w:rPr>
            </w:pPr>
            <w:r w:rsidRPr="00706602">
              <w:rPr>
                <w:rFonts w:cstheme="minorHAnsi"/>
                <w:sz w:val="20"/>
                <w:szCs w:val="20"/>
              </w:rPr>
              <w:t>155,0</w:t>
            </w:r>
          </w:p>
        </w:tc>
        <w:tc>
          <w:tcPr>
            <w:tcW w:w="433" w:type="pct"/>
            <w:tcBorders>
              <w:top w:val="nil"/>
              <w:left w:val="single" w:sz="4" w:space="0" w:color="auto"/>
              <w:bottom w:val="nil"/>
              <w:right w:val="single" w:sz="4" w:space="0" w:color="auto"/>
            </w:tcBorders>
            <w:vAlign w:val="center"/>
          </w:tcPr>
          <w:p w14:paraId="668EBFC9" w14:textId="77777777" w:rsidR="004D28B6" w:rsidRPr="00352494" w:rsidRDefault="004D28B6" w:rsidP="00136A61">
            <w:pPr>
              <w:spacing w:before="60" w:after="60"/>
              <w:jc w:val="right"/>
              <w:rPr>
                <w:rFonts w:cstheme="minorHAnsi"/>
                <w:sz w:val="20"/>
                <w:szCs w:val="20"/>
              </w:rPr>
            </w:pPr>
            <w:r w:rsidRPr="00352494">
              <w:rPr>
                <w:rFonts w:cstheme="minorHAnsi"/>
                <w:sz w:val="20"/>
                <w:szCs w:val="20"/>
              </w:rPr>
              <w:t>38,4</w:t>
            </w:r>
          </w:p>
        </w:tc>
      </w:tr>
      <w:tr w:rsidR="001B4A99" w:rsidRPr="006A755F" w14:paraId="34145ED6" w14:textId="77777777" w:rsidTr="001B33F7">
        <w:trPr>
          <w:tblHeader/>
        </w:trPr>
        <w:tc>
          <w:tcPr>
            <w:tcW w:w="1595" w:type="pct"/>
            <w:tcBorders>
              <w:top w:val="nil"/>
              <w:left w:val="single" w:sz="4" w:space="0" w:color="auto"/>
              <w:bottom w:val="nil"/>
              <w:right w:val="single" w:sz="4" w:space="0" w:color="auto"/>
            </w:tcBorders>
          </w:tcPr>
          <w:p w14:paraId="47853801" w14:textId="77777777" w:rsidR="004D28B6" w:rsidRPr="006A755F" w:rsidRDefault="004D28B6" w:rsidP="006B6D61">
            <w:pPr>
              <w:spacing w:before="60" w:after="60"/>
              <w:ind w:hanging="6"/>
              <w:rPr>
                <w:rFonts w:cstheme="minorHAnsi"/>
                <w:sz w:val="20"/>
                <w:szCs w:val="20"/>
              </w:rPr>
            </w:pPr>
            <w:r w:rsidRPr="006A755F">
              <w:rPr>
                <w:rFonts w:cstheme="minorHAnsi"/>
                <w:sz w:val="20"/>
                <w:szCs w:val="20"/>
              </w:rPr>
              <w:t>z toho: výzkum, vývoj a inovace</w:t>
            </w:r>
          </w:p>
        </w:tc>
        <w:tc>
          <w:tcPr>
            <w:tcW w:w="651" w:type="pct"/>
            <w:tcBorders>
              <w:top w:val="nil"/>
              <w:left w:val="single" w:sz="4" w:space="0" w:color="auto"/>
              <w:bottom w:val="nil"/>
              <w:right w:val="single" w:sz="4" w:space="0" w:color="auto"/>
            </w:tcBorders>
            <w:vAlign w:val="center"/>
          </w:tcPr>
          <w:p w14:paraId="5CC2550E"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30 000</w:t>
            </w:r>
          </w:p>
        </w:tc>
        <w:tc>
          <w:tcPr>
            <w:tcW w:w="577" w:type="pct"/>
            <w:tcBorders>
              <w:top w:val="nil"/>
              <w:left w:val="single" w:sz="4" w:space="0" w:color="auto"/>
              <w:bottom w:val="nil"/>
              <w:right w:val="single" w:sz="4" w:space="0" w:color="auto"/>
            </w:tcBorders>
            <w:vAlign w:val="center"/>
          </w:tcPr>
          <w:p w14:paraId="2645D9FF" w14:textId="77777777" w:rsidR="004D28B6" w:rsidRPr="006A755F" w:rsidRDefault="004D28B6" w:rsidP="00136A61">
            <w:pPr>
              <w:spacing w:before="60" w:after="60"/>
              <w:jc w:val="right"/>
              <w:rPr>
                <w:rFonts w:cstheme="minorHAnsi"/>
                <w:sz w:val="20"/>
                <w:szCs w:val="20"/>
              </w:rPr>
            </w:pPr>
            <w:r>
              <w:rPr>
                <w:rFonts w:cstheme="minorHAnsi"/>
                <w:sz w:val="20"/>
                <w:szCs w:val="20"/>
              </w:rPr>
              <w:t>30 000</w:t>
            </w:r>
          </w:p>
        </w:tc>
        <w:tc>
          <w:tcPr>
            <w:tcW w:w="581" w:type="pct"/>
            <w:tcBorders>
              <w:top w:val="nil"/>
              <w:left w:val="single" w:sz="4" w:space="0" w:color="auto"/>
              <w:bottom w:val="nil"/>
              <w:right w:val="single" w:sz="4" w:space="0" w:color="auto"/>
            </w:tcBorders>
            <w:vAlign w:val="center"/>
          </w:tcPr>
          <w:p w14:paraId="60C8D24B" w14:textId="77777777" w:rsidR="004D28B6" w:rsidRPr="006A755F" w:rsidRDefault="004D28B6" w:rsidP="00136A61">
            <w:pPr>
              <w:spacing w:before="60" w:after="60"/>
              <w:jc w:val="right"/>
              <w:rPr>
                <w:rFonts w:cstheme="minorHAnsi"/>
                <w:sz w:val="20"/>
                <w:szCs w:val="20"/>
              </w:rPr>
            </w:pPr>
            <w:r>
              <w:rPr>
                <w:rFonts w:cstheme="minorHAnsi"/>
                <w:sz w:val="20"/>
                <w:szCs w:val="20"/>
              </w:rPr>
              <w:t>8 593</w:t>
            </w:r>
          </w:p>
        </w:tc>
        <w:tc>
          <w:tcPr>
            <w:tcW w:w="726" w:type="pct"/>
            <w:tcBorders>
              <w:top w:val="nil"/>
              <w:left w:val="single" w:sz="4" w:space="0" w:color="auto"/>
              <w:bottom w:val="nil"/>
              <w:right w:val="single" w:sz="4" w:space="0" w:color="auto"/>
            </w:tcBorders>
            <w:vAlign w:val="center"/>
          </w:tcPr>
          <w:p w14:paraId="13386C1A" w14:textId="77777777" w:rsidR="004D28B6" w:rsidRPr="006A755F" w:rsidRDefault="004D28B6" w:rsidP="00136A61">
            <w:pPr>
              <w:spacing w:before="60" w:after="60"/>
              <w:jc w:val="right"/>
              <w:rPr>
                <w:rFonts w:cstheme="minorHAnsi"/>
                <w:sz w:val="20"/>
                <w:szCs w:val="20"/>
              </w:rPr>
            </w:pPr>
            <w:r>
              <w:rPr>
                <w:rFonts w:cstheme="minorHAnsi"/>
                <w:sz w:val="20"/>
                <w:szCs w:val="20"/>
              </w:rPr>
              <w:t>8 593</w:t>
            </w:r>
          </w:p>
        </w:tc>
        <w:tc>
          <w:tcPr>
            <w:tcW w:w="436" w:type="pct"/>
            <w:tcBorders>
              <w:top w:val="nil"/>
              <w:left w:val="single" w:sz="4" w:space="0" w:color="auto"/>
              <w:bottom w:val="nil"/>
              <w:right w:val="single" w:sz="4" w:space="0" w:color="auto"/>
            </w:tcBorders>
          </w:tcPr>
          <w:p w14:paraId="7697E7A6" w14:textId="77777777" w:rsidR="004D28B6" w:rsidRPr="00706602" w:rsidRDefault="004D28B6" w:rsidP="00136A61">
            <w:pPr>
              <w:spacing w:before="60" w:after="60"/>
              <w:jc w:val="right"/>
              <w:rPr>
                <w:rFonts w:cstheme="minorHAnsi"/>
                <w:sz w:val="20"/>
                <w:szCs w:val="20"/>
              </w:rPr>
            </w:pPr>
            <w:r w:rsidRPr="00706602">
              <w:rPr>
                <w:rFonts w:cstheme="minorHAnsi"/>
                <w:sz w:val="20"/>
                <w:szCs w:val="20"/>
              </w:rPr>
              <w:t>100,0</w:t>
            </w:r>
          </w:p>
        </w:tc>
        <w:tc>
          <w:tcPr>
            <w:tcW w:w="433" w:type="pct"/>
            <w:tcBorders>
              <w:top w:val="nil"/>
              <w:left w:val="single" w:sz="4" w:space="0" w:color="auto"/>
              <w:bottom w:val="nil"/>
              <w:right w:val="single" w:sz="4" w:space="0" w:color="auto"/>
            </w:tcBorders>
            <w:vAlign w:val="center"/>
          </w:tcPr>
          <w:p w14:paraId="3C9ED313" w14:textId="77777777" w:rsidR="004D28B6" w:rsidRPr="00352494" w:rsidRDefault="004D28B6" w:rsidP="00136A61">
            <w:pPr>
              <w:spacing w:before="60" w:after="60"/>
              <w:jc w:val="right"/>
              <w:rPr>
                <w:rFonts w:cstheme="minorHAnsi"/>
                <w:sz w:val="20"/>
                <w:szCs w:val="20"/>
              </w:rPr>
            </w:pPr>
            <w:r w:rsidRPr="00352494">
              <w:rPr>
                <w:rFonts w:cstheme="minorHAnsi"/>
                <w:sz w:val="20"/>
                <w:szCs w:val="20"/>
              </w:rPr>
              <w:t>28,6</w:t>
            </w:r>
          </w:p>
        </w:tc>
      </w:tr>
      <w:tr w:rsidR="001B33F7" w:rsidRPr="006A755F" w14:paraId="5EA92233" w14:textId="77777777" w:rsidTr="001B33F7">
        <w:trPr>
          <w:tblHeader/>
        </w:trPr>
        <w:tc>
          <w:tcPr>
            <w:tcW w:w="1595" w:type="pct"/>
            <w:tcBorders>
              <w:top w:val="nil"/>
              <w:left w:val="single" w:sz="4" w:space="0" w:color="auto"/>
              <w:bottom w:val="single" w:sz="2" w:space="0" w:color="auto"/>
              <w:right w:val="single" w:sz="4" w:space="0" w:color="auto"/>
            </w:tcBorders>
          </w:tcPr>
          <w:p w14:paraId="0C8716E8" w14:textId="77777777" w:rsidR="004D28B6" w:rsidRPr="006A755F" w:rsidRDefault="004D28B6" w:rsidP="006B6D61">
            <w:pPr>
              <w:spacing w:before="60" w:after="60"/>
              <w:ind w:hanging="6"/>
              <w:rPr>
                <w:rFonts w:cstheme="minorHAnsi"/>
                <w:sz w:val="20"/>
                <w:szCs w:val="20"/>
              </w:rPr>
            </w:pPr>
            <w:r w:rsidRPr="006A755F">
              <w:rPr>
                <w:rFonts w:cstheme="minorHAnsi"/>
                <w:sz w:val="20"/>
                <w:szCs w:val="20"/>
              </w:rPr>
              <w:t>prostředky EU</w:t>
            </w:r>
          </w:p>
        </w:tc>
        <w:tc>
          <w:tcPr>
            <w:tcW w:w="651" w:type="pct"/>
            <w:tcBorders>
              <w:top w:val="nil"/>
              <w:left w:val="single" w:sz="4" w:space="0" w:color="auto"/>
              <w:bottom w:val="single" w:sz="2" w:space="0" w:color="auto"/>
              <w:right w:val="single" w:sz="4" w:space="0" w:color="auto"/>
            </w:tcBorders>
            <w:vAlign w:val="center"/>
          </w:tcPr>
          <w:p w14:paraId="3586699F" w14:textId="77777777" w:rsidR="004D28B6" w:rsidRPr="006A755F" w:rsidRDefault="004D28B6" w:rsidP="00136A61">
            <w:pPr>
              <w:spacing w:before="60" w:after="60"/>
              <w:jc w:val="right"/>
              <w:rPr>
                <w:rFonts w:cstheme="minorHAnsi"/>
                <w:sz w:val="20"/>
                <w:szCs w:val="20"/>
              </w:rPr>
            </w:pPr>
            <w:r w:rsidRPr="006A755F">
              <w:rPr>
                <w:rFonts w:cstheme="minorHAnsi"/>
                <w:sz w:val="20"/>
                <w:szCs w:val="20"/>
              </w:rPr>
              <w:t>1 162</w:t>
            </w:r>
          </w:p>
        </w:tc>
        <w:tc>
          <w:tcPr>
            <w:tcW w:w="577" w:type="pct"/>
            <w:tcBorders>
              <w:top w:val="nil"/>
              <w:left w:val="single" w:sz="4" w:space="0" w:color="auto"/>
              <w:bottom w:val="single" w:sz="2" w:space="0" w:color="auto"/>
              <w:right w:val="single" w:sz="4" w:space="0" w:color="auto"/>
            </w:tcBorders>
            <w:vAlign w:val="center"/>
          </w:tcPr>
          <w:p w14:paraId="008EBA1A" w14:textId="77777777" w:rsidR="004D28B6" w:rsidRPr="006A755F" w:rsidRDefault="004D28B6" w:rsidP="00136A61">
            <w:pPr>
              <w:spacing w:before="60" w:after="60"/>
              <w:jc w:val="right"/>
              <w:rPr>
                <w:rFonts w:cstheme="minorHAnsi"/>
                <w:sz w:val="20"/>
                <w:szCs w:val="20"/>
              </w:rPr>
            </w:pPr>
            <w:r>
              <w:rPr>
                <w:rFonts w:cstheme="minorHAnsi"/>
                <w:sz w:val="20"/>
                <w:szCs w:val="20"/>
              </w:rPr>
              <w:t>292 241</w:t>
            </w:r>
          </w:p>
        </w:tc>
        <w:tc>
          <w:tcPr>
            <w:tcW w:w="581" w:type="pct"/>
            <w:tcBorders>
              <w:top w:val="nil"/>
              <w:left w:val="single" w:sz="4" w:space="0" w:color="auto"/>
              <w:bottom w:val="single" w:sz="2" w:space="0" w:color="auto"/>
              <w:right w:val="single" w:sz="4" w:space="0" w:color="auto"/>
            </w:tcBorders>
            <w:vAlign w:val="center"/>
          </w:tcPr>
          <w:p w14:paraId="7E8639E7" w14:textId="77777777" w:rsidR="004D28B6" w:rsidRPr="006A755F" w:rsidRDefault="004D28B6" w:rsidP="00136A61">
            <w:pPr>
              <w:spacing w:before="60" w:after="60"/>
              <w:jc w:val="right"/>
              <w:rPr>
                <w:rFonts w:cstheme="minorHAnsi"/>
                <w:sz w:val="20"/>
                <w:szCs w:val="20"/>
              </w:rPr>
            </w:pPr>
            <w:r>
              <w:rPr>
                <w:rFonts w:cstheme="minorHAnsi"/>
                <w:sz w:val="20"/>
                <w:szCs w:val="20"/>
              </w:rPr>
              <w:t>292 241</w:t>
            </w:r>
          </w:p>
        </w:tc>
        <w:tc>
          <w:tcPr>
            <w:tcW w:w="726" w:type="pct"/>
            <w:tcBorders>
              <w:top w:val="nil"/>
              <w:left w:val="single" w:sz="4" w:space="0" w:color="auto"/>
              <w:bottom w:val="single" w:sz="2" w:space="0" w:color="auto"/>
              <w:right w:val="single" w:sz="4" w:space="0" w:color="auto"/>
            </w:tcBorders>
            <w:vAlign w:val="center"/>
          </w:tcPr>
          <w:p w14:paraId="7E68578A" w14:textId="77777777" w:rsidR="004D28B6" w:rsidRPr="006A755F" w:rsidRDefault="004D28B6" w:rsidP="00136A61">
            <w:pPr>
              <w:spacing w:before="60" w:after="60"/>
              <w:jc w:val="right"/>
              <w:rPr>
                <w:rFonts w:cstheme="minorHAnsi"/>
                <w:sz w:val="20"/>
                <w:szCs w:val="20"/>
              </w:rPr>
            </w:pPr>
            <w:r>
              <w:rPr>
                <w:rFonts w:cstheme="minorHAnsi"/>
                <w:sz w:val="20"/>
                <w:szCs w:val="20"/>
              </w:rPr>
              <w:t>428 810</w:t>
            </w:r>
          </w:p>
        </w:tc>
        <w:tc>
          <w:tcPr>
            <w:tcW w:w="436" w:type="pct"/>
            <w:tcBorders>
              <w:top w:val="nil"/>
              <w:left w:val="single" w:sz="4" w:space="0" w:color="auto"/>
              <w:bottom w:val="single" w:sz="2" w:space="0" w:color="auto"/>
              <w:right w:val="single" w:sz="4" w:space="0" w:color="auto"/>
            </w:tcBorders>
          </w:tcPr>
          <w:p w14:paraId="03F341D9" w14:textId="77777777" w:rsidR="004D28B6" w:rsidRPr="00706602" w:rsidRDefault="004D28B6" w:rsidP="00136A61">
            <w:pPr>
              <w:spacing w:before="60" w:after="60"/>
              <w:jc w:val="right"/>
              <w:rPr>
                <w:rFonts w:cstheme="minorHAnsi"/>
                <w:sz w:val="20"/>
                <w:szCs w:val="20"/>
              </w:rPr>
            </w:pPr>
            <w:r w:rsidRPr="00706602">
              <w:rPr>
                <w:rFonts w:cstheme="minorHAnsi"/>
                <w:sz w:val="20"/>
                <w:szCs w:val="20"/>
              </w:rPr>
              <w:t>146,7</w:t>
            </w:r>
          </w:p>
        </w:tc>
        <w:tc>
          <w:tcPr>
            <w:tcW w:w="433" w:type="pct"/>
            <w:tcBorders>
              <w:top w:val="nil"/>
              <w:left w:val="single" w:sz="4" w:space="0" w:color="auto"/>
              <w:bottom w:val="single" w:sz="2" w:space="0" w:color="auto"/>
              <w:right w:val="single" w:sz="4" w:space="0" w:color="auto"/>
            </w:tcBorders>
            <w:vAlign w:val="center"/>
          </w:tcPr>
          <w:p w14:paraId="2631C6EC" w14:textId="77777777" w:rsidR="004D28B6" w:rsidRPr="00352494" w:rsidRDefault="004D28B6" w:rsidP="00136A61">
            <w:pPr>
              <w:spacing w:before="60" w:after="60"/>
              <w:jc w:val="right"/>
              <w:rPr>
                <w:rFonts w:cstheme="minorHAnsi"/>
                <w:sz w:val="20"/>
                <w:szCs w:val="20"/>
              </w:rPr>
            </w:pPr>
            <w:r w:rsidRPr="00352494">
              <w:rPr>
                <w:rFonts w:cstheme="minorHAnsi"/>
                <w:sz w:val="20"/>
                <w:szCs w:val="20"/>
              </w:rPr>
              <w:t>36 902,8</w:t>
            </w:r>
          </w:p>
        </w:tc>
      </w:tr>
      <w:tr w:rsidR="006B6D61" w:rsidRPr="006A755F" w14:paraId="3EF55798" w14:textId="77777777" w:rsidTr="001B33F7">
        <w:trPr>
          <w:tblHeader/>
        </w:trPr>
        <w:tc>
          <w:tcPr>
            <w:tcW w:w="1595" w:type="pct"/>
            <w:tcBorders>
              <w:top w:val="single" w:sz="4" w:space="0" w:color="auto"/>
              <w:left w:val="single" w:sz="4" w:space="0" w:color="auto"/>
              <w:bottom w:val="nil"/>
              <w:right w:val="single" w:sz="4" w:space="0" w:color="auto"/>
            </w:tcBorders>
          </w:tcPr>
          <w:p w14:paraId="0EACF737"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Investiční transfery podnikatelským</w:t>
            </w:r>
          </w:p>
          <w:p w14:paraId="1C94B659"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 xml:space="preserve">subjektům </w:t>
            </w:r>
            <w:r w:rsidRPr="006A755F">
              <w:rPr>
                <w:rFonts w:cstheme="minorHAnsi"/>
                <w:color w:val="2E74B5" w:themeColor="accent1" w:themeShade="BF"/>
                <w:sz w:val="20"/>
                <w:szCs w:val="20"/>
              </w:rPr>
              <w:t>(v tom:)</w:t>
            </w:r>
          </w:p>
        </w:tc>
        <w:tc>
          <w:tcPr>
            <w:tcW w:w="651" w:type="pct"/>
            <w:tcBorders>
              <w:top w:val="single" w:sz="4" w:space="0" w:color="auto"/>
              <w:left w:val="single" w:sz="4" w:space="0" w:color="auto"/>
              <w:bottom w:val="nil"/>
              <w:right w:val="single" w:sz="4" w:space="0" w:color="auto"/>
            </w:tcBorders>
            <w:vAlign w:val="center"/>
          </w:tcPr>
          <w:p w14:paraId="1024451C"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837 834</w:t>
            </w:r>
          </w:p>
        </w:tc>
        <w:tc>
          <w:tcPr>
            <w:tcW w:w="577" w:type="pct"/>
            <w:tcBorders>
              <w:top w:val="single" w:sz="4" w:space="0" w:color="auto"/>
              <w:left w:val="single" w:sz="4" w:space="0" w:color="auto"/>
              <w:bottom w:val="nil"/>
              <w:right w:val="single" w:sz="4" w:space="0" w:color="auto"/>
            </w:tcBorders>
            <w:vAlign w:val="center"/>
          </w:tcPr>
          <w:p w14:paraId="5A7BEF4E"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310 000</w:t>
            </w:r>
          </w:p>
        </w:tc>
        <w:tc>
          <w:tcPr>
            <w:tcW w:w="581" w:type="pct"/>
            <w:tcBorders>
              <w:top w:val="single" w:sz="4" w:space="0" w:color="auto"/>
              <w:left w:val="single" w:sz="4" w:space="0" w:color="auto"/>
              <w:bottom w:val="nil"/>
              <w:right w:val="single" w:sz="4" w:space="0" w:color="auto"/>
            </w:tcBorders>
            <w:vAlign w:val="center"/>
          </w:tcPr>
          <w:p w14:paraId="5F985CA6"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310 000</w:t>
            </w:r>
          </w:p>
        </w:tc>
        <w:tc>
          <w:tcPr>
            <w:tcW w:w="726" w:type="pct"/>
            <w:tcBorders>
              <w:top w:val="single" w:sz="4" w:space="0" w:color="auto"/>
              <w:left w:val="single" w:sz="4" w:space="0" w:color="auto"/>
              <w:bottom w:val="nil"/>
              <w:right w:val="single" w:sz="4" w:space="0" w:color="auto"/>
            </w:tcBorders>
            <w:vAlign w:val="center"/>
          </w:tcPr>
          <w:p w14:paraId="732739EC"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974 364</w:t>
            </w:r>
          </w:p>
        </w:tc>
        <w:tc>
          <w:tcPr>
            <w:tcW w:w="436" w:type="pct"/>
            <w:tcBorders>
              <w:top w:val="single" w:sz="4" w:space="0" w:color="auto"/>
              <w:left w:val="single" w:sz="4" w:space="0" w:color="auto"/>
              <w:bottom w:val="nil"/>
              <w:right w:val="single" w:sz="4" w:space="0" w:color="auto"/>
            </w:tcBorders>
            <w:vAlign w:val="center"/>
          </w:tcPr>
          <w:p w14:paraId="42E608F9" w14:textId="77777777" w:rsidR="009C73AB" w:rsidRPr="00607702" w:rsidRDefault="009C73AB" w:rsidP="00190991">
            <w:pPr>
              <w:spacing w:before="60" w:after="60"/>
              <w:jc w:val="right"/>
              <w:rPr>
                <w:rFonts w:cstheme="minorHAnsi"/>
                <w:b/>
                <w:color w:val="2E74B5" w:themeColor="accent1" w:themeShade="BF"/>
                <w:sz w:val="20"/>
                <w:szCs w:val="20"/>
              </w:rPr>
            </w:pPr>
            <w:r w:rsidRPr="00607702">
              <w:rPr>
                <w:rFonts w:cstheme="minorHAnsi"/>
                <w:b/>
                <w:color w:val="2E74B5" w:themeColor="accent1" w:themeShade="BF"/>
                <w:sz w:val="20"/>
                <w:szCs w:val="20"/>
              </w:rPr>
              <w:t>314,3</w:t>
            </w:r>
          </w:p>
        </w:tc>
        <w:tc>
          <w:tcPr>
            <w:tcW w:w="433" w:type="pct"/>
            <w:tcBorders>
              <w:top w:val="single" w:sz="4" w:space="0" w:color="auto"/>
              <w:left w:val="single" w:sz="4" w:space="0" w:color="auto"/>
              <w:bottom w:val="nil"/>
              <w:right w:val="single" w:sz="4" w:space="0" w:color="auto"/>
            </w:tcBorders>
            <w:vAlign w:val="center"/>
          </w:tcPr>
          <w:p w14:paraId="0DF30437" w14:textId="77777777" w:rsidR="009C73AB" w:rsidRPr="00607702" w:rsidRDefault="009C73AB" w:rsidP="00190991">
            <w:pPr>
              <w:spacing w:before="60" w:after="60"/>
              <w:jc w:val="right"/>
              <w:rPr>
                <w:rFonts w:cstheme="minorHAnsi"/>
                <w:b/>
                <w:color w:val="2E74B5" w:themeColor="accent1" w:themeShade="BF"/>
                <w:sz w:val="20"/>
                <w:szCs w:val="20"/>
              </w:rPr>
            </w:pPr>
            <w:r w:rsidRPr="00607702">
              <w:rPr>
                <w:rFonts w:cstheme="minorHAnsi"/>
                <w:b/>
                <w:color w:val="2E74B5" w:themeColor="accent1" w:themeShade="BF"/>
                <w:sz w:val="20"/>
                <w:szCs w:val="20"/>
              </w:rPr>
              <w:t>116,3</w:t>
            </w:r>
          </w:p>
        </w:tc>
      </w:tr>
      <w:tr w:rsidR="006B6D61" w:rsidRPr="006A755F" w14:paraId="519A83AE" w14:textId="77777777" w:rsidTr="001B33F7">
        <w:trPr>
          <w:tblHeader/>
        </w:trPr>
        <w:tc>
          <w:tcPr>
            <w:tcW w:w="1595" w:type="pct"/>
            <w:tcBorders>
              <w:top w:val="nil"/>
              <w:left w:val="single" w:sz="4" w:space="0" w:color="auto"/>
              <w:bottom w:val="nil"/>
              <w:right w:val="single" w:sz="4" w:space="0" w:color="auto"/>
            </w:tcBorders>
          </w:tcPr>
          <w:p w14:paraId="652E4319" w14:textId="77777777" w:rsidR="009C73AB" w:rsidRPr="006A755F" w:rsidRDefault="009C73AB" w:rsidP="006B6D61">
            <w:pPr>
              <w:spacing w:before="60" w:after="60"/>
              <w:ind w:hanging="6"/>
              <w:rPr>
                <w:rFonts w:cstheme="minorHAnsi"/>
                <w:sz w:val="20"/>
                <w:szCs w:val="20"/>
              </w:rPr>
            </w:pPr>
            <w:r w:rsidRPr="006A755F">
              <w:rPr>
                <w:rFonts w:cstheme="minorHAnsi"/>
                <w:sz w:val="20"/>
                <w:szCs w:val="20"/>
              </w:rPr>
              <w:t>prostředky SR</w:t>
            </w:r>
          </w:p>
        </w:tc>
        <w:tc>
          <w:tcPr>
            <w:tcW w:w="651" w:type="pct"/>
            <w:tcBorders>
              <w:top w:val="nil"/>
              <w:left w:val="single" w:sz="4" w:space="0" w:color="auto"/>
              <w:bottom w:val="nil"/>
              <w:right w:val="single" w:sz="4" w:space="0" w:color="auto"/>
            </w:tcBorders>
            <w:vAlign w:val="center"/>
          </w:tcPr>
          <w:p w14:paraId="3AD110F7" w14:textId="77777777" w:rsidR="009C73AB" w:rsidRPr="006A755F" w:rsidRDefault="009C73AB" w:rsidP="00190991">
            <w:pPr>
              <w:spacing w:before="60" w:after="60"/>
              <w:jc w:val="right"/>
              <w:rPr>
                <w:rFonts w:cstheme="minorHAnsi"/>
                <w:sz w:val="20"/>
                <w:szCs w:val="20"/>
              </w:rPr>
            </w:pPr>
            <w:r w:rsidRPr="006A755F">
              <w:rPr>
                <w:rFonts w:cstheme="minorHAnsi"/>
                <w:sz w:val="20"/>
                <w:szCs w:val="20"/>
              </w:rPr>
              <w:t>0</w:t>
            </w:r>
          </w:p>
        </w:tc>
        <w:tc>
          <w:tcPr>
            <w:tcW w:w="577" w:type="pct"/>
            <w:tcBorders>
              <w:top w:val="nil"/>
              <w:left w:val="single" w:sz="4" w:space="0" w:color="auto"/>
              <w:bottom w:val="nil"/>
              <w:right w:val="single" w:sz="4" w:space="0" w:color="auto"/>
            </w:tcBorders>
            <w:vAlign w:val="center"/>
          </w:tcPr>
          <w:p w14:paraId="0184A961" w14:textId="77777777" w:rsidR="009C73AB" w:rsidRPr="006A755F" w:rsidRDefault="009C73AB" w:rsidP="00190991">
            <w:pPr>
              <w:spacing w:before="60" w:after="60"/>
              <w:jc w:val="right"/>
              <w:rPr>
                <w:rFonts w:cstheme="minorHAnsi"/>
                <w:sz w:val="20"/>
                <w:szCs w:val="20"/>
              </w:rPr>
            </w:pPr>
            <w:r w:rsidRPr="006A755F">
              <w:rPr>
                <w:rFonts w:cstheme="minorHAnsi"/>
                <w:sz w:val="20"/>
                <w:szCs w:val="20"/>
              </w:rPr>
              <w:t>0</w:t>
            </w:r>
          </w:p>
        </w:tc>
        <w:tc>
          <w:tcPr>
            <w:tcW w:w="581" w:type="pct"/>
            <w:tcBorders>
              <w:top w:val="nil"/>
              <w:left w:val="single" w:sz="4" w:space="0" w:color="auto"/>
              <w:bottom w:val="nil"/>
              <w:right w:val="single" w:sz="4" w:space="0" w:color="auto"/>
            </w:tcBorders>
            <w:vAlign w:val="center"/>
          </w:tcPr>
          <w:p w14:paraId="596292F4" w14:textId="77777777" w:rsidR="009C73AB" w:rsidRPr="006A755F" w:rsidRDefault="009C73AB" w:rsidP="00190991">
            <w:pPr>
              <w:spacing w:before="60" w:after="60"/>
              <w:jc w:val="right"/>
              <w:rPr>
                <w:rFonts w:cstheme="minorHAnsi"/>
                <w:sz w:val="20"/>
                <w:szCs w:val="20"/>
              </w:rPr>
            </w:pPr>
            <w:r w:rsidRPr="006A755F">
              <w:rPr>
                <w:rFonts w:cstheme="minorHAnsi"/>
                <w:sz w:val="20"/>
                <w:szCs w:val="20"/>
              </w:rPr>
              <w:t>0</w:t>
            </w:r>
          </w:p>
        </w:tc>
        <w:tc>
          <w:tcPr>
            <w:tcW w:w="726" w:type="pct"/>
            <w:tcBorders>
              <w:top w:val="nil"/>
              <w:left w:val="single" w:sz="4" w:space="0" w:color="auto"/>
              <w:bottom w:val="nil"/>
              <w:right w:val="single" w:sz="4" w:space="0" w:color="auto"/>
            </w:tcBorders>
            <w:vAlign w:val="center"/>
          </w:tcPr>
          <w:p w14:paraId="35AC74A2" w14:textId="77777777" w:rsidR="009C73AB" w:rsidRPr="006A755F" w:rsidRDefault="009C73AB" w:rsidP="00190991">
            <w:pPr>
              <w:spacing w:before="60" w:after="60"/>
              <w:jc w:val="right"/>
              <w:rPr>
                <w:rFonts w:cstheme="minorHAnsi"/>
                <w:sz w:val="20"/>
                <w:szCs w:val="20"/>
              </w:rPr>
            </w:pPr>
            <w:r w:rsidRPr="006A755F">
              <w:rPr>
                <w:rFonts w:cstheme="minorHAnsi"/>
                <w:sz w:val="20"/>
                <w:szCs w:val="20"/>
              </w:rPr>
              <w:t>0</w:t>
            </w:r>
          </w:p>
        </w:tc>
        <w:tc>
          <w:tcPr>
            <w:tcW w:w="436" w:type="pct"/>
            <w:tcBorders>
              <w:top w:val="nil"/>
              <w:left w:val="single" w:sz="4" w:space="0" w:color="auto"/>
              <w:bottom w:val="nil"/>
              <w:right w:val="single" w:sz="4" w:space="0" w:color="auto"/>
            </w:tcBorders>
          </w:tcPr>
          <w:p w14:paraId="34032F90" w14:textId="77777777" w:rsidR="009C73AB" w:rsidRPr="00607702" w:rsidRDefault="009C73AB" w:rsidP="00190991">
            <w:pPr>
              <w:spacing w:before="60" w:after="60"/>
              <w:jc w:val="right"/>
              <w:rPr>
                <w:rFonts w:cstheme="minorHAnsi"/>
                <w:sz w:val="20"/>
                <w:szCs w:val="20"/>
              </w:rPr>
            </w:pPr>
            <w:r w:rsidRPr="00607702">
              <w:rPr>
                <w:rFonts w:cstheme="minorHAnsi"/>
                <w:sz w:val="20"/>
                <w:szCs w:val="20"/>
              </w:rPr>
              <w:t>x</w:t>
            </w:r>
          </w:p>
        </w:tc>
        <w:tc>
          <w:tcPr>
            <w:tcW w:w="433" w:type="pct"/>
            <w:tcBorders>
              <w:top w:val="nil"/>
              <w:left w:val="single" w:sz="4" w:space="0" w:color="auto"/>
              <w:bottom w:val="nil"/>
              <w:right w:val="single" w:sz="4" w:space="0" w:color="auto"/>
            </w:tcBorders>
            <w:vAlign w:val="center"/>
          </w:tcPr>
          <w:p w14:paraId="79447070" w14:textId="77777777" w:rsidR="009C73AB" w:rsidRPr="00607702" w:rsidRDefault="009C73AB" w:rsidP="00190991">
            <w:pPr>
              <w:spacing w:before="60" w:after="60"/>
              <w:jc w:val="right"/>
              <w:rPr>
                <w:rFonts w:cstheme="minorHAnsi"/>
                <w:sz w:val="20"/>
                <w:szCs w:val="20"/>
              </w:rPr>
            </w:pPr>
            <w:r w:rsidRPr="00607702">
              <w:rPr>
                <w:rFonts w:cstheme="minorHAnsi"/>
                <w:sz w:val="20"/>
                <w:szCs w:val="20"/>
              </w:rPr>
              <w:t>x</w:t>
            </w:r>
          </w:p>
        </w:tc>
      </w:tr>
      <w:tr w:rsidR="006B6D61" w:rsidRPr="006A755F" w14:paraId="38C61BA0" w14:textId="77777777" w:rsidTr="001B33F7">
        <w:trPr>
          <w:tblHeader/>
        </w:trPr>
        <w:tc>
          <w:tcPr>
            <w:tcW w:w="1595" w:type="pct"/>
            <w:tcBorders>
              <w:top w:val="nil"/>
              <w:left w:val="single" w:sz="4" w:space="0" w:color="auto"/>
              <w:bottom w:val="single" w:sz="4" w:space="0" w:color="auto"/>
              <w:right w:val="single" w:sz="4" w:space="0" w:color="auto"/>
            </w:tcBorders>
          </w:tcPr>
          <w:p w14:paraId="2FBA81F4" w14:textId="77777777" w:rsidR="009C73AB" w:rsidRPr="006A755F" w:rsidRDefault="009C73AB" w:rsidP="006B6D61">
            <w:pPr>
              <w:spacing w:before="60" w:after="60"/>
              <w:ind w:hanging="6"/>
              <w:rPr>
                <w:rFonts w:cstheme="minorHAnsi"/>
                <w:sz w:val="20"/>
                <w:szCs w:val="20"/>
              </w:rPr>
            </w:pPr>
            <w:r w:rsidRPr="006A755F">
              <w:rPr>
                <w:rFonts w:cstheme="minorHAnsi"/>
                <w:sz w:val="20"/>
                <w:szCs w:val="20"/>
              </w:rPr>
              <w:t>prostředky EU</w:t>
            </w:r>
          </w:p>
        </w:tc>
        <w:tc>
          <w:tcPr>
            <w:tcW w:w="651" w:type="pct"/>
            <w:tcBorders>
              <w:top w:val="nil"/>
              <w:left w:val="single" w:sz="4" w:space="0" w:color="auto"/>
              <w:bottom w:val="single" w:sz="4" w:space="0" w:color="auto"/>
              <w:right w:val="single" w:sz="4" w:space="0" w:color="auto"/>
            </w:tcBorders>
            <w:vAlign w:val="center"/>
          </w:tcPr>
          <w:p w14:paraId="21183C05" w14:textId="77777777" w:rsidR="009C73AB" w:rsidRPr="006A755F" w:rsidRDefault="009C73AB" w:rsidP="00190991">
            <w:pPr>
              <w:spacing w:before="60" w:after="60"/>
              <w:jc w:val="right"/>
              <w:rPr>
                <w:rFonts w:cstheme="minorHAnsi"/>
                <w:sz w:val="20"/>
                <w:szCs w:val="20"/>
              </w:rPr>
            </w:pPr>
            <w:r>
              <w:rPr>
                <w:rFonts w:cstheme="minorHAnsi"/>
                <w:sz w:val="20"/>
                <w:szCs w:val="20"/>
              </w:rPr>
              <w:t>837 834</w:t>
            </w:r>
          </w:p>
        </w:tc>
        <w:tc>
          <w:tcPr>
            <w:tcW w:w="577" w:type="pct"/>
            <w:tcBorders>
              <w:top w:val="nil"/>
              <w:left w:val="single" w:sz="4" w:space="0" w:color="auto"/>
              <w:bottom w:val="single" w:sz="4" w:space="0" w:color="auto"/>
              <w:right w:val="single" w:sz="4" w:space="0" w:color="auto"/>
            </w:tcBorders>
            <w:vAlign w:val="center"/>
          </w:tcPr>
          <w:p w14:paraId="39C33F25" w14:textId="77777777" w:rsidR="009C73AB" w:rsidRPr="006A755F" w:rsidRDefault="009C73AB" w:rsidP="00190991">
            <w:pPr>
              <w:spacing w:before="60" w:after="60"/>
              <w:jc w:val="right"/>
              <w:rPr>
                <w:rFonts w:cstheme="minorHAnsi"/>
                <w:sz w:val="20"/>
                <w:szCs w:val="20"/>
              </w:rPr>
            </w:pPr>
            <w:r>
              <w:rPr>
                <w:rFonts w:cstheme="minorHAnsi"/>
                <w:sz w:val="20"/>
                <w:szCs w:val="20"/>
              </w:rPr>
              <w:t>310 000</w:t>
            </w:r>
          </w:p>
        </w:tc>
        <w:tc>
          <w:tcPr>
            <w:tcW w:w="581" w:type="pct"/>
            <w:tcBorders>
              <w:top w:val="nil"/>
              <w:left w:val="single" w:sz="4" w:space="0" w:color="auto"/>
              <w:bottom w:val="single" w:sz="4" w:space="0" w:color="auto"/>
              <w:right w:val="single" w:sz="4" w:space="0" w:color="auto"/>
            </w:tcBorders>
            <w:vAlign w:val="center"/>
          </w:tcPr>
          <w:p w14:paraId="125A322E" w14:textId="77777777" w:rsidR="009C73AB" w:rsidRPr="006A755F" w:rsidRDefault="009C73AB" w:rsidP="00190991">
            <w:pPr>
              <w:spacing w:before="60" w:after="60"/>
              <w:jc w:val="right"/>
              <w:rPr>
                <w:rFonts w:cstheme="minorHAnsi"/>
                <w:sz w:val="20"/>
                <w:szCs w:val="20"/>
              </w:rPr>
            </w:pPr>
            <w:r>
              <w:rPr>
                <w:rFonts w:cstheme="minorHAnsi"/>
                <w:sz w:val="20"/>
                <w:szCs w:val="20"/>
              </w:rPr>
              <w:t>310 000</w:t>
            </w:r>
          </w:p>
        </w:tc>
        <w:tc>
          <w:tcPr>
            <w:tcW w:w="726" w:type="pct"/>
            <w:tcBorders>
              <w:top w:val="nil"/>
              <w:left w:val="single" w:sz="4" w:space="0" w:color="auto"/>
              <w:bottom w:val="single" w:sz="4" w:space="0" w:color="auto"/>
              <w:right w:val="single" w:sz="4" w:space="0" w:color="auto"/>
            </w:tcBorders>
            <w:vAlign w:val="center"/>
          </w:tcPr>
          <w:p w14:paraId="2943C9FB" w14:textId="77777777" w:rsidR="009C73AB" w:rsidRPr="006A755F" w:rsidRDefault="009C73AB" w:rsidP="00190991">
            <w:pPr>
              <w:spacing w:before="60" w:after="60"/>
              <w:jc w:val="right"/>
              <w:rPr>
                <w:rFonts w:cstheme="minorHAnsi"/>
                <w:sz w:val="20"/>
                <w:szCs w:val="20"/>
              </w:rPr>
            </w:pPr>
            <w:r>
              <w:rPr>
                <w:rFonts w:cstheme="minorHAnsi"/>
                <w:sz w:val="20"/>
                <w:szCs w:val="20"/>
              </w:rPr>
              <w:t>974 364</w:t>
            </w:r>
          </w:p>
        </w:tc>
        <w:tc>
          <w:tcPr>
            <w:tcW w:w="436" w:type="pct"/>
            <w:tcBorders>
              <w:top w:val="nil"/>
              <w:left w:val="single" w:sz="4" w:space="0" w:color="auto"/>
              <w:bottom w:val="single" w:sz="4" w:space="0" w:color="auto"/>
              <w:right w:val="single" w:sz="4" w:space="0" w:color="auto"/>
            </w:tcBorders>
          </w:tcPr>
          <w:p w14:paraId="28A86FA9" w14:textId="77777777" w:rsidR="009C73AB" w:rsidRPr="00607702" w:rsidRDefault="009C73AB" w:rsidP="00190991">
            <w:pPr>
              <w:spacing w:before="60" w:after="60"/>
              <w:jc w:val="right"/>
              <w:rPr>
                <w:rFonts w:cstheme="minorHAnsi"/>
                <w:sz w:val="20"/>
                <w:szCs w:val="20"/>
              </w:rPr>
            </w:pPr>
            <w:r w:rsidRPr="00607702">
              <w:rPr>
                <w:rFonts w:cstheme="minorHAnsi"/>
                <w:sz w:val="20"/>
                <w:szCs w:val="20"/>
              </w:rPr>
              <w:t>314,3</w:t>
            </w:r>
          </w:p>
        </w:tc>
        <w:tc>
          <w:tcPr>
            <w:tcW w:w="433" w:type="pct"/>
            <w:tcBorders>
              <w:top w:val="nil"/>
              <w:left w:val="single" w:sz="4" w:space="0" w:color="auto"/>
              <w:bottom w:val="single" w:sz="4" w:space="0" w:color="auto"/>
              <w:right w:val="single" w:sz="4" w:space="0" w:color="auto"/>
            </w:tcBorders>
            <w:vAlign w:val="center"/>
          </w:tcPr>
          <w:p w14:paraId="60D07930" w14:textId="77777777" w:rsidR="009C73AB" w:rsidRPr="00607702" w:rsidRDefault="009C73AB" w:rsidP="00190991">
            <w:pPr>
              <w:spacing w:before="60" w:after="60"/>
              <w:jc w:val="right"/>
              <w:rPr>
                <w:rFonts w:cstheme="minorHAnsi"/>
                <w:sz w:val="20"/>
                <w:szCs w:val="20"/>
              </w:rPr>
            </w:pPr>
            <w:r w:rsidRPr="00607702">
              <w:rPr>
                <w:rFonts w:cstheme="minorHAnsi"/>
                <w:sz w:val="20"/>
                <w:szCs w:val="20"/>
              </w:rPr>
              <w:t>116,3</w:t>
            </w:r>
          </w:p>
        </w:tc>
      </w:tr>
      <w:tr w:rsidR="006B6D61" w:rsidRPr="006A755F" w14:paraId="0F35E72E" w14:textId="77777777" w:rsidTr="001B33F7">
        <w:trPr>
          <w:tblHeader/>
        </w:trPr>
        <w:tc>
          <w:tcPr>
            <w:tcW w:w="1595" w:type="pct"/>
            <w:tcBorders>
              <w:top w:val="single" w:sz="4" w:space="0" w:color="auto"/>
              <w:left w:val="single" w:sz="4" w:space="0" w:color="auto"/>
              <w:bottom w:val="nil"/>
              <w:right w:val="single" w:sz="4" w:space="0" w:color="auto"/>
            </w:tcBorders>
          </w:tcPr>
          <w:p w14:paraId="231EA643"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 xml:space="preserve">Investiční transfery </w:t>
            </w:r>
            <w:r>
              <w:rPr>
                <w:rFonts w:cstheme="minorHAnsi"/>
                <w:b/>
                <w:color w:val="2E74B5" w:themeColor="accent1" w:themeShade="BF"/>
                <w:sz w:val="20"/>
                <w:szCs w:val="20"/>
              </w:rPr>
              <w:t xml:space="preserve">územním </w:t>
            </w:r>
            <w:proofErr w:type="gramStart"/>
            <w:r>
              <w:rPr>
                <w:rFonts w:cstheme="minorHAnsi"/>
                <w:b/>
                <w:color w:val="2E74B5" w:themeColor="accent1" w:themeShade="BF"/>
                <w:sz w:val="20"/>
                <w:szCs w:val="20"/>
              </w:rPr>
              <w:t xml:space="preserve">rozpočtům </w:t>
            </w:r>
            <w:r w:rsidRPr="006A755F">
              <w:rPr>
                <w:rFonts w:cstheme="minorHAnsi"/>
                <w:b/>
                <w:color w:val="2E74B5" w:themeColor="accent1" w:themeShade="BF"/>
                <w:sz w:val="20"/>
                <w:szCs w:val="20"/>
              </w:rPr>
              <w:t xml:space="preserve"> </w:t>
            </w:r>
            <w:r w:rsidRPr="006A755F">
              <w:rPr>
                <w:rFonts w:cstheme="minorHAnsi"/>
                <w:color w:val="2E74B5" w:themeColor="accent1" w:themeShade="BF"/>
                <w:sz w:val="20"/>
                <w:szCs w:val="20"/>
              </w:rPr>
              <w:t>(</w:t>
            </w:r>
            <w:proofErr w:type="gramEnd"/>
            <w:r w:rsidRPr="006A755F">
              <w:rPr>
                <w:rFonts w:cstheme="minorHAnsi"/>
                <w:color w:val="2E74B5" w:themeColor="accent1" w:themeShade="BF"/>
                <w:sz w:val="20"/>
                <w:szCs w:val="20"/>
              </w:rPr>
              <w:t>v tom:)</w:t>
            </w:r>
          </w:p>
        </w:tc>
        <w:tc>
          <w:tcPr>
            <w:tcW w:w="651" w:type="pct"/>
            <w:tcBorders>
              <w:top w:val="single" w:sz="4" w:space="0" w:color="auto"/>
              <w:left w:val="single" w:sz="4" w:space="0" w:color="auto"/>
              <w:bottom w:val="nil"/>
              <w:right w:val="single" w:sz="4" w:space="0" w:color="auto"/>
            </w:tcBorders>
            <w:vAlign w:val="center"/>
          </w:tcPr>
          <w:p w14:paraId="69DD29B6"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0</w:t>
            </w:r>
          </w:p>
        </w:tc>
        <w:tc>
          <w:tcPr>
            <w:tcW w:w="577" w:type="pct"/>
            <w:tcBorders>
              <w:top w:val="single" w:sz="4" w:space="0" w:color="auto"/>
              <w:left w:val="single" w:sz="4" w:space="0" w:color="auto"/>
              <w:bottom w:val="nil"/>
              <w:right w:val="single" w:sz="4" w:space="0" w:color="auto"/>
            </w:tcBorders>
            <w:vAlign w:val="center"/>
          </w:tcPr>
          <w:p w14:paraId="64960EFF"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0</w:t>
            </w:r>
          </w:p>
        </w:tc>
        <w:tc>
          <w:tcPr>
            <w:tcW w:w="581" w:type="pct"/>
            <w:tcBorders>
              <w:top w:val="single" w:sz="4" w:space="0" w:color="auto"/>
              <w:left w:val="single" w:sz="4" w:space="0" w:color="auto"/>
              <w:bottom w:val="nil"/>
              <w:right w:val="single" w:sz="4" w:space="0" w:color="auto"/>
            </w:tcBorders>
            <w:vAlign w:val="center"/>
          </w:tcPr>
          <w:p w14:paraId="6BCA2B58"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0</w:t>
            </w:r>
          </w:p>
        </w:tc>
        <w:tc>
          <w:tcPr>
            <w:tcW w:w="726" w:type="pct"/>
            <w:tcBorders>
              <w:top w:val="single" w:sz="4" w:space="0" w:color="auto"/>
              <w:left w:val="single" w:sz="4" w:space="0" w:color="auto"/>
              <w:bottom w:val="nil"/>
              <w:right w:val="single" w:sz="4" w:space="0" w:color="auto"/>
            </w:tcBorders>
            <w:vAlign w:val="center"/>
          </w:tcPr>
          <w:p w14:paraId="45EDBF96"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3 009 515</w:t>
            </w:r>
          </w:p>
        </w:tc>
        <w:tc>
          <w:tcPr>
            <w:tcW w:w="436" w:type="pct"/>
            <w:tcBorders>
              <w:top w:val="single" w:sz="4" w:space="0" w:color="auto"/>
              <w:left w:val="single" w:sz="4" w:space="0" w:color="auto"/>
              <w:bottom w:val="nil"/>
              <w:right w:val="single" w:sz="4" w:space="0" w:color="auto"/>
            </w:tcBorders>
            <w:vAlign w:val="center"/>
          </w:tcPr>
          <w:p w14:paraId="4CDBB7A1" w14:textId="77777777" w:rsidR="009C73AB" w:rsidRPr="00607702"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x</w:t>
            </w:r>
          </w:p>
        </w:tc>
        <w:tc>
          <w:tcPr>
            <w:tcW w:w="433" w:type="pct"/>
            <w:tcBorders>
              <w:top w:val="single" w:sz="4" w:space="0" w:color="auto"/>
              <w:left w:val="single" w:sz="4" w:space="0" w:color="auto"/>
              <w:bottom w:val="nil"/>
              <w:right w:val="single" w:sz="4" w:space="0" w:color="auto"/>
            </w:tcBorders>
            <w:vAlign w:val="center"/>
          </w:tcPr>
          <w:p w14:paraId="24208909" w14:textId="77777777" w:rsidR="009C73AB" w:rsidRPr="00607702"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x</w:t>
            </w:r>
          </w:p>
        </w:tc>
      </w:tr>
      <w:tr w:rsidR="006B6D61" w:rsidRPr="006A755F" w14:paraId="394E3E77" w14:textId="77777777" w:rsidTr="001B33F7">
        <w:trPr>
          <w:tblHeader/>
        </w:trPr>
        <w:tc>
          <w:tcPr>
            <w:tcW w:w="1595" w:type="pct"/>
            <w:tcBorders>
              <w:top w:val="nil"/>
              <w:left w:val="single" w:sz="4" w:space="0" w:color="auto"/>
              <w:bottom w:val="nil"/>
              <w:right w:val="single" w:sz="4" w:space="0" w:color="auto"/>
            </w:tcBorders>
          </w:tcPr>
          <w:p w14:paraId="21F27913"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sz w:val="20"/>
                <w:szCs w:val="20"/>
              </w:rPr>
              <w:t>prostředky SR</w:t>
            </w:r>
          </w:p>
        </w:tc>
        <w:tc>
          <w:tcPr>
            <w:tcW w:w="651" w:type="pct"/>
            <w:tcBorders>
              <w:top w:val="nil"/>
              <w:left w:val="single" w:sz="4" w:space="0" w:color="auto"/>
              <w:bottom w:val="nil"/>
              <w:right w:val="single" w:sz="4" w:space="0" w:color="auto"/>
            </w:tcBorders>
            <w:vAlign w:val="center"/>
          </w:tcPr>
          <w:p w14:paraId="6E1B8B91"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sz w:val="20"/>
                <w:szCs w:val="20"/>
              </w:rPr>
              <w:t>0</w:t>
            </w:r>
          </w:p>
        </w:tc>
        <w:tc>
          <w:tcPr>
            <w:tcW w:w="577" w:type="pct"/>
            <w:tcBorders>
              <w:top w:val="nil"/>
              <w:left w:val="single" w:sz="4" w:space="0" w:color="auto"/>
              <w:bottom w:val="nil"/>
              <w:right w:val="single" w:sz="4" w:space="0" w:color="auto"/>
            </w:tcBorders>
            <w:vAlign w:val="center"/>
          </w:tcPr>
          <w:p w14:paraId="31C62653"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sz w:val="20"/>
                <w:szCs w:val="20"/>
              </w:rPr>
              <w:t>0</w:t>
            </w:r>
          </w:p>
        </w:tc>
        <w:tc>
          <w:tcPr>
            <w:tcW w:w="581" w:type="pct"/>
            <w:tcBorders>
              <w:top w:val="nil"/>
              <w:left w:val="single" w:sz="4" w:space="0" w:color="auto"/>
              <w:bottom w:val="nil"/>
              <w:right w:val="single" w:sz="4" w:space="0" w:color="auto"/>
            </w:tcBorders>
            <w:vAlign w:val="center"/>
          </w:tcPr>
          <w:p w14:paraId="19B90051"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sz w:val="20"/>
                <w:szCs w:val="20"/>
              </w:rPr>
              <w:t>0</w:t>
            </w:r>
          </w:p>
        </w:tc>
        <w:tc>
          <w:tcPr>
            <w:tcW w:w="726" w:type="pct"/>
            <w:tcBorders>
              <w:top w:val="nil"/>
              <w:left w:val="single" w:sz="4" w:space="0" w:color="auto"/>
              <w:bottom w:val="nil"/>
              <w:right w:val="single" w:sz="4" w:space="0" w:color="auto"/>
            </w:tcBorders>
            <w:vAlign w:val="center"/>
          </w:tcPr>
          <w:p w14:paraId="694DE5CF" w14:textId="77777777" w:rsidR="009C73AB" w:rsidRPr="00607702" w:rsidRDefault="009C73AB" w:rsidP="00190991">
            <w:pPr>
              <w:spacing w:before="60" w:after="60"/>
              <w:jc w:val="right"/>
              <w:rPr>
                <w:rFonts w:cstheme="minorHAnsi"/>
                <w:b/>
                <w:sz w:val="20"/>
                <w:szCs w:val="20"/>
              </w:rPr>
            </w:pPr>
            <w:r w:rsidRPr="00607702">
              <w:rPr>
                <w:rFonts w:cstheme="minorHAnsi"/>
                <w:sz w:val="20"/>
                <w:szCs w:val="20"/>
              </w:rPr>
              <w:t>0</w:t>
            </w:r>
          </w:p>
        </w:tc>
        <w:tc>
          <w:tcPr>
            <w:tcW w:w="436" w:type="pct"/>
            <w:tcBorders>
              <w:top w:val="nil"/>
              <w:left w:val="single" w:sz="4" w:space="0" w:color="auto"/>
              <w:bottom w:val="nil"/>
              <w:right w:val="single" w:sz="4" w:space="0" w:color="auto"/>
            </w:tcBorders>
          </w:tcPr>
          <w:p w14:paraId="6C7633DA" w14:textId="77777777" w:rsidR="009C73AB" w:rsidRPr="00607702" w:rsidRDefault="009C73AB" w:rsidP="00190991">
            <w:pPr>
              <w:spacing w:before="60" w:after="60"/>
              <w:jc w:val="right"/>
              <w:rPr>
                <w:rFonts w:cstheme="minorHAnsi"/>
                <w:b/>
                <w:sz w:val="20"/>
                <w:szCs w:val="20"/>
              </w:rPr>
            </w:pPr>
            <w:r w:rsidRPr="00607702">
              <w:rPr>
                <w:rFonts w:cstheme="minorHAnsi"/>
                <w:sz w:val="20"/>
                <w:szCs w:val="20"/>
              </w:rPr>
              <w:t>x</w:t>
            </w:r>
          </w:p>
        </w:tc>
        <w:tc>
          <w:tcPr>
            <w:tcW w:w="433" w:type="pct"/>
            <w:tcBorders>
              <w:top w:val="nil"/>
              <w:left w:val="single" w:sz="4" w:space="0" w:color="auto"/>
              <w:bottom w:val="nil"/>
              <w:right w:val="single" w:sz="4" w:space="0" w:color="auto"/>
            </w:tcBorders>
            <w:vAlign w:val="center"/>
          </w:tcPr>
          <w:p w14:paraId="0DB0237E" w14:textId="77777777" w:rsidR="009C73AB" w:rsidRPr="00607702" w:rsidRDefault="009C73AB" w:rsidP="00190991">
            <w:pPr>
              <w:spacing w:before="60" w:after="60"/>
              <w:jc w:val="right"/>
              <w:rPr>
                <w:rFonts w:cstheme="minorHAnsi"/>
                <w:b/>
                <w:sz w:val="20"/>
                <w:szCs w:val="20"/>
              </w:rPr>
            </w:pPr>
            <w:r w:rsidRPr="00607702">
              <w:rPr>
                <w:rFonts w:cstheme="minorHAnsi"/>
                <w:sz w:val="20"/>
                <w:szCs w:val="20"/>
              </w:rPr>
              <w:t>x</w:t>
            </w:r>
          </w:p>
        </w:tc>
      </w:tr>
      <w:tr w:rsidR="006B6D61" w:rsidRPr="006A755F" w14:paraId="481C6DBF" w14:textId="77777777" w:rsidTr="001B33F7">
        <w:trPr>
          <w:tblHeader/>
        </w:trPr>
        <w:tc>
          <w:tcPr>
            <w:tcW w:w="1595" w:type="pct"/>
            <w:tcBorders>
              <w:top w:val="nil"/>
              <w:left w:val="single" w:sz="4" w:space="0" w:color="auto"/>
              <w:bottom w:val="single" w:sz="4" w:space="0" w:color="auto"/>
              <w:right w:val="single" w:sz="4" w:space="0" w:color="auto"/>
            </w:tcBorders>
          </w:tcPr>
          <w:p w14:paraId="09BF1CB9"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sz w:val="20"/>
                <w:szCs w:val="20"/>
              </w:rPr>
              <w:t>prostředky EU</w:t>
            </w:r>
          </w:p>
        </w:tc>
        <w:tc>
          <w:tcPr>
            <w:tcW w:w="651" w:type="pct"/>
            <w:tcBorders>
              <w:top w:val="nil"/>
              <w:left w:val="single" w:sz="4" w:space="0" w:color="auto"/>
              <w:bottom w:val="single" w:sz="4" w:space="0" w:color="auto"/>
              <w:right w:val="single" w:sz="4" w:space="0" w:color="auto"/>
            </w:tcBorders>
            <w:vAlign w:val="center"/>
          </w:tcPr>
          <w:p w14:paraId="03BD8F3F"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sz w:val="20"/>
                <w:szCs w:val="20"/>
              </w:rPr>
              <w:t>0</w:t>
            </w:r>
          </w:p>
        </w:tc>
        <w:tc>
          <w:tcPr>
            <w:tcW w:w="577" w:type="pct"/>
            <w:tcBorders>
              <w:top w:val="nil"/>
              <w:left w:val="single" w:sz="4" w:space="0" w:color="auto"/>
              <w:bottom w:val="single" w:sz="4" w:space="0" w:color="auto"/>
              <w:right w:val="single" w:sz="4" w:space="0" w:color="auto"/>
            </w:tcBorders>
            <w:vAlign w:val="center"/>
          </w:tcPr>
          <w:p w14:paraId="1A2D138B"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sz w:val="20"/>
                <w:szCs w:val="20"/>
              </w:rPr>
              <w:t>0</w:t>
            </w:r>
          </w:p>
        </w:tc>
        <w:tc>
          <w:tcPr>
            <w:tcW w:w="581" w:type="pct"/>
            <w:tcBorders>
              <w:top w:val="nil"/>
              <w:left w:val="single" w:sz="4" w:space="0" w:color="auto"/>
              <w:bottom w:val="single" w:sz="4" w:space="0" w:color="auto"/>
              <w:right w:val="single" w:sz="4" w:space="0" w:color="auto"/>
            </w:tcBorders>
            <w:vAlign w:val="center"/>
          </w:tcPr>
          <w:p w14:paraId="4E53830D"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sz w:val="20"/>
                <w:szCs w:val="20"/>
              </w:rPr>
              <w:t>0</w:t>
            </w:r>
          </w:p>
        </w:tc>
        <w:tc>
          <w:tcPr>
            <w:tcW w:w="726" w:type="pct"/>
            <w:tcBorders>
              <w:top w:val="nil"/>
              <w:left w:val="single" w:sz="4" w:space="0" w:color="auto"/>
              <w:bottom w:val="single" w:sz="4" w:space="0" w:color="auto"/>
              <w:right w:val="single" w:sz="4" w:space="0" w:color="auto"/>
            </w:tcBorders>
            <w:vAlign w:val="center"/>
          </w:tcPr>
          <w:p w14:paraId="74D77577" w14:textId="77777777" w:rsidR="009C73AB" w:rsidRPr="00607702" w:rsidRDefault="009C73AB" w:rsidP="00190991">
            <w:pPr>
              <w:spacing w:before="60" w:after="60"/>
              <w:jc w:val="right"/>
              <w:rPr>
                <w:rFonts w:cstheme="minorHAnsi"/>
                <w:b/>
                <w:sz w:val="20"/>
                <w:szCs w:val="20"/>
              </w:rPr>
            </w:pPr>
            <w:r w:rsidRPr="00607702">
              <w:rPr>
                <w:rFonts w:cstheme="minorHAnsi"/>
                <w:sz w:val="20"/>
                <w:szCs w:val="20"/>
              </w:rPr>
              <w:t>3 009 515</w:t>
            </w:r>
          </w:p>
        </w:tc>
        <w:tc>
          <w:tcPr>
            <w:tcW w:w="436" w:type="pct"/>
            <w:tcBorders>
              <w:top w:val="nil"/>
              <w:left w:val="single" w:sz="4" w:space="0" w:color="auto"/>
              <w:bottom w:val="single" w:sz="4" w:space="0" w:color="auto"/>
              <w:right w:val="single" w:sz="4" w:space="0" w:color="auto"/>
            </w:tcBorders>
          </w:tcPr>
          <w:p w14:paraId="08C25E14" w14:textId="77777777" w:rsidR="009C73AB" w:rsidRPr="00607702" w:rsidRDefault="009C73AB" w:rsidP="00190991">
            <w:pPr>
              <w:spacing w:before="60" w:after="60"/>
              <w:jc w:val="right"/>
              <w:rPr>
                <w:rFonts w:cstheme="minorHAnsi"/>
                <w:b/>
                <w:sz w:val="20"/>
                <w:szCs w:val="20"/>
              </w:rPr>
            </w:pPr>
            <w:r w:rsidRPr="00607702">
              <w:rPr>
                <w:rFonts w:cstheme="minorHAnsi"/>
                <w:sz w:val="20"/>
                <w:szCs w:val="20"/>
              </w:rPr>
              <w:t>x</w:t>
            </w:r>
          </w:p>
        </w:tc>
        <w:tc>
          <w:tcPr>
            <w:tcW w:w="433" w:type="pct"/>
            <w:tcBorders>
              <w:top w:val="nil"/>
              <w:left w:val="single" w:sz="4" w:space="0" w:color="auto"/>
              <w:bottom w:val="single" w:sz="4" w:space="0" w:color="auto"/>
              <w:right w:val="single" w:sz="4" w:space="0" w:color="auto"/>
            </w:tcBorders>
            <w:vAlign w:val="center"/>
          </w:tcPr>
          <w:p w14:paraId="239FE4E2" w14:textId="77777777" w:rsidR="009C73AB" w:rsidRPr="00607702" w:rsidRDefault="009C73AB" w:rsidP="00190991">
            <w:pPr>
              <w:spacing w:before="60" w:after="60"/>
              <w:jc w:val="right"/>
              <w:rPr>
                <w:rFonts w:cstheme="minorHAnsi"/>
                <w:b/>
                <w:sz w:val="20"/>
                <w:szCs w:val="20"/>
              </w:rPr>
            </w:pPr>
            <w:r w:rsidRPr="00607702">
              <w:rPr>
                <w:rFonts w:cstheme="minorHAnsi"/>
                <w:sz w:val="20"/>
                <w:szCs w:val="20"/>
              </w:rPr>
              <w:t>x</w:t>
            </w:r>
          </w:p>
        </w:tc>
      </w:tr>
      <w:tr w:rsidR="006B6D61" w:rsidRPr="006A755F" w14:paraId="61CAB1B1" w14:textId="77777777" w:rsidTr="001B33F7">
        <w:trPr>
          <w:tblHeader/>
        </w:trPr>
        <w:tc>
          <w:tcPr>
            <w:tcW w:w="1595" w:type="pct"/>
            <w:tcBorders>
              <w:top w:val="single" w:sz="4" w:space="0" w:color="auto"/>
              <w:left w:val="single" w:sz="4" w:space="0" w:color="auto"/>
              <w:bottom w:val="nil"/>
              <w:right w:val="single" w:sz="4" w:space="0" w:color="auto"/>
            </w:tcBorders>
          </w:tcPr>
          <w:p w14:paraId="05AB0258"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Investiční transfery státním fondům</w:t>
            </w:r>
          </w:p>
          <w:p w14:paraId="0C85A82A" w14:textId="77777777" w:rsidR="009C73AB" w:rsidRPr="006A755F" w:rsidRDefault="009C73AB" w:rsidP="006B6D61">
            <w:pPr>
              <w:spacing w:before="60" w:after="60"/>
              <w:rPr>
                <w:rFonts w:cstheme="minorHAnsi"/>
                <w:b/>
                <w:color w:val="2E74B5" w:themeColor="accent1" w:themeShade="BF"/>
                <w:sz w:val="20"/>
                <w:szCs w:val="20"/>
              </w:rPr>
            </w:pPr>
            <w:r w:rsidRPr="006A755F">
              <w:rPr>
                <w:rFonts w:cstheme="minorHAnsi"/>
                <w:b/>
                <w:color w:val="2E74B5" w:themeColor="accent1" w:themeShade="BF"/>
                <w:sz w:val="20"/>
                <w:szCs w:val="20"/>
              </w:rPr>
              <w:t xml:space="preserve"> </w:t>
            </w:r>
            <w:r w:rsidRPr="006A755F">
              <w:rPr>
                <w:rFonts w:cstheme="minorHAnsi"/>
                <w:color w:val="2E74B5" w:themeColor="accent1" w:themeShade="BF"/>
                <w:sz w:val="20"/>
                <w:szCs w:val="20"/>
              </w:rPr>
              <w:t>(v tom:)</w:t>
            </w:r>
          </w:p>
        </w:tc>
        <w:tc>
          <w:tcPr>
            <w:tcW w:w="651" w:type="pct"/>
            <w:tcBorders>
              <w:top w:val="single" w:sz="4" w:space="0" w:color="auto"/>
              <w:left w:val="single" w:sz="4" w:space="0" w:color="auto"/>
              <w:bottom w:val="nil"/>
              <w:right w:val="single" w:sz="4" w:space="0" w:color="auto"/>
            </w:tcBorders>
            <w:vAlign w:val="center"/>
          </w:tcPr>
          <w:p w14:paraId="7E90FD97" w14:textId="77777777" w:rsidR="009C73AB" w:rsidRPr="006A755F" w:rsidRDefault="009C73AB" w:rsidP="0019099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76 710 668</w:t>
            </w:r>
          </w:p>
        </w:tc>
        <w:tc>
          <w:tcPr>
            <w:tcW w:w="577" w:type="pct"/>
            <w:tcBorders>
              <w:top w:val="single" w:sz="4" w:space="0" w:color="auto"/>
              <w:left w:val="single" w:sz="4" w:space="0" w:color="auto"/>
              <w:bottom w:val="nil"/>
              <w:right w:val="single" w:sz="4" w:space="0" w:color="auto"/>
            </w:tcBorders>
            <w:vAlign w:val="center"/>
          </w:tcPr>
          <w:p w14:paraId="1B5D7BC0"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75 946 489</w:t>
            </w:r>
          </w:p>
        </w:tc>
        <w:tc>
          <w:tcPr>
            <w:tcW w:w="581" w:type="pct"/>
            <w:tcBorders>
              <w:top w:val="single" w:sz="4" w:space="0" w:color="auto"/>
              <w:left w:val="single" w:sz="4" w:space="0" w:color="auto"/>
              <w:bottom w:val="nil"/>
              <w:right w:val="single" w:sz="4" w:space="0" w:color="auto"/>
            </w:tcBorders>
            <w:vAlign w:val="center"/>
          </w:tcPr>
          <w:p w14:paraId="6C612BD2"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70 608 638</w:t>
            </w:r>
          </w:p>
        </w:tc>
        <w:tc>
          <w:tcPr>
            <w:tcW w:w="726" w:type="pct"/>
            <w:tcBorders>
              <w:top w:val="single" w:sz="4" w:space="0" w:color="auto"/>
              <w:left w:val="single" w:sz="4" w:space="0" w:color="auto"/>
              <w:bottom w:val="nil"/>
              <w:right w:val="single" w:sz="4" w:space="0" w:color="auto"/>
            </w:tcBorders>
            <w:vAlign w:val="center"/>
          </w:tcPr>
          <w:p w14:paraId="66DB0488" w14:textId="77777777" w:rsidR="009C73AB" w:rsidRPr="006A755F" w:rsidRDefault="009C73AB"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66 727 882</w:t>
            </w:r>
          </w:p>
        </w:tc>
        <w:tc>
          <w:tcPr>
            <w:tcW w:w="436" w:type="pct"/>
            <w:tcBorders>
              <w:top w:val="single" w:sz="4" w:space="0" w:color="auto"/>
              <w:left w:val="single" w:sz="4" w:space="0" w:color="auto"/>
              <w:bottom w:val="nil"/>
              <w:right w:val="single" w:sz="4" w:space="0" w:color="auto"/>
            </w:tcBorders>
            <w:vAlign w:val="center"/>
          </w:tcPr>
          <w:p w14:paraId="7B49CF50" w14:textId="77777777" w:rsidR="009C73AB" w:rsidRPr="00497292" w:rsidRDefault="009C73AB" w:rsidP="00190991">
            <w:pPr>
              <w:spacing w:before="60" w:after="60"/>
              <w:jc w:val="right"/>
              <w:rPr>
                <w:rFonts w:cstheme="minorHAnsi"/>
                <w:b/>
                <w:color w:val="2E74B5" w:themeColor="accent1" w:themeShade="BF"/>
                <w:sz w:val="20"/>
                <w:szCs w:val="20"/>
              </w:rPr>
            </w:pPr>
            <w:r w:rsidRPr="00497292">
              <w:rPr>
                <w:rFonts w:cstheme="minorHAnsi"/>
                <w:b/>
                <w:color w:val="2E74B5" w:themeColor="accent1" w:themeShade="BF"/>
                <w:sz w:val="20"/>
                <w:szCs w:val="20"/>
              </w:rPr>
              <w:t>94,5</w:t>
            </w:r>
          </w:p>
        </w:tc>
        <w:tc>
          <w:tcPr>
            <w:tcW w:w="433" w:type="pct"/>
            <w:tcBorders>
              <w:top w:val="single" w:sz="4" w:space="0" w:color="auto"/>
              <w:left w:val="single" w:sz="4" w:space="0" w:color="auto"/>
              <w:bottom w:val="nil"/>
              <w:right w:val="single" w:sz="4" w:space="0" w:color="auto"/>
            </w:tcBorders>
            <w:vAlign w:val="center"/>
          </w:tcPr>
          <w:p w14:paraId="59A31E35" w14:textId="77777777" w:rsidR="009C73AB" w:rsidRPr="00497292" w:rsidRDefault="009C73AB" w:rsidP="00190991">
            <w:pPr>
              <w:spacing w:before="60" w:after="60"/>
              <w:jc w:val="right"/>
              <w:rPr>
                <w:rFonts w:cstheme="minorHAnsi"/>
                <w:b/>
                <w:color w:val="2E74B5" w:themeColor="accent1" w:themeShade="BF"/>
                <w:sz w:val="20"/>
                <w:szCs w:val="20"/>
              </w:rPr>
            </w:pPr>
            <w:r w:rsidRPr="00497292">
              <w:rPr>
                <w:rFonts w:cstheme="minorHAnsi"/>
                <w:b/>
                <w:color w:val="2E74B5" w:themeColor="accent1" w:themeShade="BF"/>
                <w:sz w:val="20"/>
                <w:szCs w:val="20"/>
              </w:rPr>
              <w:t>87,0</w:t>
            </w:r>
          </w:p>
        </w:tc>
      </w:tr>
      <w:tr w:rsidR="006B6D61" w:rsidRPr="006A755F" w14:paraId="303272C6" w14:textId="77777777" w:rsidTr="001B33F7">
        <w:trPr>
          <w:tblHeader/>
        </w:trPr>
        <w:tc>
          <w:tcPr>
            <w:tcW w:w="1595" w:type="pct"/>
            <w:tcBorders>
              <w:top w:val="nil"/>
              <w:left w:val="single" w:sz="4" w:space="0" w:color="auto"/>
              <w:bottom w:val="nil"/>
              <w:right w:val="single" w:sz="4" w:space="0" w:color="auto"/>
            </w:tcBorders>
          </w:tcPr>
          <w:p w14:paraId="380FB65B" w14:textId="77777777" w:rsidR="009C73AB" w:rsidRPr="006A755F" w:rsidRDefault="009C73AB" w:rsidP="006B6D61">
            <w:pPr>
              <w:spacing w:before="60" w:after="60"/>
              <w:ind w:hanging="6"/>
              <w:rPr>
                <w:rFonts w:cstheme="minorHAnsi"/>
                <w:sz w:val="20"/>
                <w:szCs w:val="20"/>
              </w:rPr>
            </w:pPr>
            <w:r w:rsidRPr="006A755F">
              <w:rPr>
                <w:rFonts w:cstheme="minorHAnsi"/>
                <w:sz w:val="20"/>
                <w:szCs w:val="20"/>
              </w:rPr>
              <w:t>prostředky SR</w:t>
            </w:r>
          </w:p>
        </w:tc>
        <w:tc>
          <w:tcPr>
            <w:tcW w:w="651" w:type="pct"/>
            <w:tcBorders>
              <w:top w:val="nil"/>
              <w:left w:val="single" w:sz="4" w:space="0" w:color="auto"/>
              <w:bottom w:val="nil"/>
              <w:right w:val="single" w:sz="4" w:space="0" w:color="auto"/>
            </w:tcBorders>
            <w:vAlign w:val="center"/>
          </w:tcPr>
          <w:p w14:paraId="4DD39FD8" w14:textId="77777777" w:rsidR="009C73AB" w:rsidRPr="006A755F" w:rsidRDefault="009C73AB" w:rsidP="00190991">
            <w:pPr>
              <w:spacing w:before="60" w:after="60"/>
              <w:jc w:val="right"/>
              <w:rPr>
                <w:rFonts w:cstheme="minorHAnsi"/>
                <w:sz w:val="20"/>
                <w:szCs w:val="20"/>
              </w:rPr>
            </w:pPr>
            <w:r w:rsidRPr="006A755F">
              <w:rPr>
                <w:rFonts w:cstheme="minorHAnsi"/>
                <w:sz w:val="20"/>
                <w:szCs w:val="20"/>
              </w:rPr>
              <w:t>33 839 687</w:t>
            </w:r>
          </w:p>
        </w:tc>
        <w:tc>
          <w:tcPr>
            <w:tcW w:w="577" w:type="pct"/>
            <w:tcBorders>
              <w:top w:val="nil"/>
              <w:left w:val="single" w:sz="4" w:space="0" w:color="auto"/>
              <w:bottom w:val="nil"/>
              <w:right w:val="single" w:sz="4" w:space="0" w:color="auto"/>
            </w:tcBorders>
            <w:vAlign w:val="center"/>
          </w:tcPr>
          <w:p w14:paraId="4AA7F2B1" w14:textId="77777777" w:rsidR="009C73AB" w:rsidRPr="006A755F" w:rsidRDefault="009C73AB" w:rsidP="00190991">
            <w:pPr>
              <w:spacing w:before="60" w:after="60"/>
              <w:jc w:val="right"/>
              <w:rPr>
                <w:rFonts w:cstheme="minorHAnsi"/>
                <w:sz w:val="20"/>
                <w:szCs w:val="20"/>
              </w:rPr>
            </w:pPr>
            <w:r>
              <w:rPr>
                <w:rFonts w:cstheme="minorHAnsi"/>
                <w:sz w:val="20"/>
                <w:szCs w:val="20"/>
              </w:rPr>
              <w:t>48 402 000</w:t>
            </w:r>
          </w:p>
        </w:tc>
        <w:tc>
          <w:tcPr>
            <w:tcW w:w="581" w:type="pct"/>
            <w:tcBorders>
              <w:top w:val="nil"/>
              <w:left w:val="single" w:sz="4" w:space="0" w:color="auto"/>
              <w:bottom w:val="nil"/>
              <w:right w:val="single" w:sz="4" w:space="0" w:color="auto"/>
            </w:tcBorders>
            <w:vAlign w:val="center"/>
          </w:tcPr>
          <w:p w14:paraId="2816463F" w14:textId="77777777" w:rsidR="009C73AB" w:rsidRPr="006A755F" w:rsidRDefault="009C73AB" w:rsidP="00190991">
            <w:pPr>
              <w:spacing w:before="60" w:after="60"/>
              <w:jc w:val="right"/>
              <w:rPr>
                <w:rFonts w:cstheme="minorHAnsi"/>
                <w:sz w:val="20"/>
                <w:szCs w:val="20"/>
              </w:rPr>
            </w:pPr>
            <w:r>
              <w:rPr>
                <w:rFonts w:cstheme="minorHAnsi"/>
                <w:sz w:val="20"/>
                <w:szCs w:val="20"/>
              </w:rPr>
              <w:t>42 547 406</w:t>
            </w:r>
          </w:p>
        </w:tc>
        <w:tc>
          <w:tcPr>
            <w:tcW w:w="726" w:type="pct"/>
            <w:tcBorders>
              <w:top w:val="nil"/>
              <w:left w:val="single" w:sz="4" w:space="0" w:color="auto"/>
              <w:bottom w:val="nil"/>
              <w:right w:val="single" w:sz="4" w:space="0" w:color="auto"/>
            </w:tcBorders>
            <w:vAlign w:val="center"/>
          </w:tcPr>
          <w:p w14:paraId="79919F79" w14:textId="77777777" w:rsidR="009C73AB" w:rsidRPr="006A755F" w:rsidRDefault="009C73AB" w:rsidP="00190991">
            <w:pPr>
              <w:spacing w:before="60" w:after="60"/>
              <w:jc w:val="right"/>
              <w:rPr>
                <w:rFonts w:cstheme="minorHAnsi"/>
                <w:sz w:val="20"/>
                <w:szCs w:val="20"/>
              </w:rPr>
            </w:pPr>
            <w:r>
              <w:rPr>
                <w:rFonts w:cstheme="minorHAnsi"/>
                <w:sz w:val="20"/>
                <w:szCs w:val="20"/>
              </w:rPr>
              <w:t>42 975 411</w:t>
            </w:r>
          </w:p>
        </w:tc>
        <w:tc>
          <w:tcPr>
            <w:tcW w:w="436" w:type="pct"/>
            <w:tcBorders>
              <w:top w:val="nil"/>
              <w:left w:val="single" w:sz="4" w:space="0" w:color="auto"/>
              <w:bottom w:val="nil"/>
              <w:right w:val="single" w:sz="4" w:space="0" w:color="auto"/>
            </w:tcBorders>
          </w:tcPr>
          <w:p w14:paraId="629FD4D3" w14:textId="77777777" w:rsidR="009C73AB" w:rsidRPr="00497292" w:rsidRDefault="009C73AB" w:rsidP="00190991">
            <w:pPr>
              <w:spacing w:before="60" w:after="60"/>
              <w:jc w:val="right"/>
              <w:rPr>
                <w:rFonts w:cstheme="minorHAnsi"/>
                <w:sz w:val="20"/>
                <w:szCs w:val="20"/>
              </w:rPr>
            </w:pPr>
            <w:r w:rsidRPr="00497292">
              <w:rPr>
                <w:rFonts w:cstheme="minorHAnsi"/>
                <w:sz w:val="20"/>
                <w:szCs w:val="20"/>
              </w:rPr>
              <w:t>101,0</w:t>
            </w:r>
          </w:p>
        </w:tc>
        <w:tc>
          <w:tcPr>
            <w:tcW w:w="433" w:type="pct"/>
            <w:tcBorders>
              <w:top w:val="nil"/>
              <w:left w:val="single" w:sz="4" w:space="0" w:color="auto"/>
              <w:bottom w:val="nil"/>
              <w:right w:val="single" w:sz="4" w:space="0" w:color="auto"/>
            </w:tcBorders>
            <w:vAlign w:val="center"/>
          </w:tcPr>
          <w:p w14:paraId="28B483D6" w14:textId="77777777" w:rsidR="009C73AB" w:rsidRPr="00497292" w:rsidRDefault="009C73AB" w:rsidP="00190991">
            <w:pPr>
              <w:spacing w:before="60" w:after="60"/>
              <w:jc w:val="right"/>
              <w:rPr>
                <w:rFonts w:cstheme="minorHAnsi"/>
                <w:sz w:val="20"/>
                <w:szCs w:val="20"/>
              </w:rPr>
            </w:pPr>
            <w:r w:rsidRPr="00497292">
              <w:rPr>
                <w:rFonts w:cstheme="minorHAnsi"/>
                <w:sz w:val="20"/>
                <w:szCs w:val="20"/>
              </w:rPr>
              <w:t>127,0</w:t>
            </w:r>
          </w:p>
        </w:tc>
      </w:tr>
      <w:tr w:rsidR="006B6D61" w:rsidRPr="006A755F" w14:paraId="383DF488" w14:textId="77777777" w:rsidTr="001B33F7">
        <w:trPr>
          <w:tblHeader/>
        </w:trPr>
        <w:tc>
          <w:tcPr>
            <w:tcW w:w="1595" w:type="pct"/>
            <w:tcBorders>
              <w:top w:val="nil"/>
              <w:left w:val="single" w:sz="4" w:space="0" w:color="auto"/>
              <w:bottom w:val="single" w:sz="4" w:space="0" w:color="auto"/>
              <w:right w:val="single" w:sz="4" w:space="0" w:color="auto"/>
            </w:tcBorders>
          </w:tcPr>
          <w:p w14:paraId="1A69DB17" w14:textId="77777777" w:rsidR="009C73AB" w:rsidRPr="006A755F" w:rsidRDefault="009C73AB" w:rsidP="006B6D61">
            <w:pPr>
              <w:spacing w:before="60" w:after="60"/>
              <w:ind w:hanging="6"/>
              <w:rPr>
                <w:rFonts w:cstheme="minorHAnsi"/>
                <w:sz w:val="20"/>
                <w:szCs w:val="20"/>
              </w:rPr>
            </w:pPr>
            <w:r w:rsidRPr="006A755F">
              <w:rPr>
                <w:rFonts w:cstheme="minorHAnsi"/>
                <w:sz w:val="20"/>
                <w:szCs w:val="20"/>
              </w:rPr>
              <w:t>prostředky EU</w:t>
            </w:r>
          </w:p>
        </w:tc>
        <w:tc>
          <w:tcPr>
            <w:tcW w:w="651" w:type="pct"/>
            <w:tcBorders>
              <w:top w:val="nil"/>
              <w:left w:val="single" w:sz="4" w:space="0" w:color="auto"/>
              <w:bottom w:val="single" w:sz="4" w:space="0" w:color="auto"/>
              <w:right w:val="single" w:sz="4" w:space="0" w:color="auto"/>
            </w:tcBorders>
            <w:vAlign w:val="center"/>
          </w:tcPr>
          <w:p w14:paraId="6A06CDEE" w14:textId="77777777" w:rsidR="009C73AB" w:rsidRPr="006A755F" w:rsidRDefault="009C73AB" w:rsidP="00190991">
            <w:pPr>
              <w:spacing w:before="60" w:after="60"/>
              <w:jc w:val="right"/>
              <w:rPr>
                <w:rFonts w:cstheme="minorHAnsi"/>
                <w:sz w:val="20"/>
                <w:szCs w:val="20"/>
              </w:rPr>
            </w:pPr>
            <w:r w:rsidRPr="006A755F">
              <w:rPr>
                <w:rFonts w:cstheme="minorHAnsi"/>
                <w:sz w:val="20"/>
                <w:szCs w:val="20"/>
              </w:rPr>
              <w:t>42 870 981</w:t>
            </w:r>
          </w:p>
        </w:tc>
        <w:tc>
          <w:tcPr>
            <w:tcW w:w="577" w:type="pct"/>
            <w:tcBorders>
              <w:top w:val="nil"/>
              <w:left w:val="single" w:sz="4" w:space="0" w:color="auto"/>
              <w:bottom w:val="single" w:sz="4" w:space="0" w:color="auto"/>
              <w:right w:val="single" w:sz="4" w:space="0" w:color="auto"/>
            </w:tcBorders>
            <w:vAlign w:val="center"/>
          </w:tcPr>
          <w:p w14:paraId="221715BB" w14:textId="77777777" w:rsidR="009C73AB" w:rsidRPr="006A755F" w:rsidRDefault="009C73AB" w:rsidP="00190991">
            <w:pPr>
              <w:spacing w:before="60" w:after="60"/>
              <w:jc w:val="right"/>
              <w:rPr>
                <w:rFonts w:cstheme="minorHAnsi"/>
                <w:sz w:val="20"/>
                <w:szCs w:val="20"/>
              </w:rPr>
            </w:pPr>
            <w:r>
              <w:rPr>
                <w:rFonts w:cstheme="minorHAnsi"/>
                <w:sz w:val="20"/>
                <w:szCs w:val="20"/>
              </w:rPr>
              <w:t>27 544 489</w:t>
            </w:r>
          </w:p>
        </w:tc>
        <w:tc>
          <w:tcPr>
            <w:tcW w:w="581" w:type="pct"/>
            <w:tcBorders>
              <w:top w:val="nil"/>
              <w:left w:val="single" w:sz="4" w:space="0" w:color="auto"/>
              <w:bottom w:val="single" w:sz="4" w:space="0" w:color="auto"/>
              <w:right w:val="single" w:sz="4" w:space="0" w:color="auto"/>
            </w:tcBorders>
            <w:vAlign w:val="center"/>
          </w:tcPr>
          <w:p w14:paraId="6AA95A7B" w14:textId="77777777" w:rsidR="009C73AB" w:rsidRPr="006A755F" w:rsidRDefault="009C73AB" w:rsidP="00190991">
            <w:pPr>
              <w:spacing w:before="60" w:after="60"/>
              <w:jc w:val="right"/>
              <w:rPr>
                <w:rFonts w:cstheme="minorHAnsi"/>
                <w:sz w:val="20"/>
                <w:szCs w:val="20"/>
              </w:rPr>
            </w:pPr>
            <w:r>
              <w:rPr>
                <w:rFonts w:cstheme="minorHAnsi"/>
                <w:sz w:val="20"/>
                <w:szCs w:val="20"/>
              </w:rPr>
              <w:t>28 061 232</w:t>
            </w:r>
          </w:p>
        </w:tc>
        <w:tc>
          <w:tcPr>
            <w:tcW w:w="726" w:type="pct"/>
            <w:tcBorders>
              <w:top w:val="nil"/>
              <w:left w:val="single" w:sz="4" w:space="0" w:color="auto"/>
              <w:bottom w:val="single" w:sz="4" w:space="0" w:color="auto"/>
              <w:right w:val="single" w:sz="4" w:space="0" w:color="auto"/>
            </w:tcBorders>
            <w:vAlign w:val="center"/>
          </w:tcPr>
          <w:p w14:paraId="7E011FAF" w14:textId="77777777" w:rsidR="009C73AB" w:rsidRPr="006A755F" w:rsidRDefault="009C73AB" w:rsidP="00190991">
            <w:pPr>
              <w:spacing w:before="60" w:after="60"/>
              <w:jc w:val="right"/>
              <w:rPr>
                <w:rFonts w:cstheme="minorHAnsi"/>
                <w:sz w:val="20"/>
                <w:szCs w:val="20"/>
              </w:rPr>
            </w:pPr>
            <w:r>
              <w:rPr>
                <w:rFonts w:cstheme="minorHAnsi"/>
                <w:sz w:val="20"/>
                <w:szCs w:val="20"/>
              </w:rPr>
              <w:t>23 752 471</w:t>
            </w:r>
          </w:p>
        </w:tc>
        <w:tc>
          <w:tcPr>
            <w:tcW w:w="436" w:type="pct"/>
            <w:tcBorders>
              <w:top w:val="nil"/>
              <w:left w:val="single" w:sz="4" w:space="0" w:color="auto"/>
              <w:bottom w:val="single" w:sz="4" w:space="0" w:color="auto"/>
              <w:right w:val="single" w:sz="4" w:space="0" w:color="auto"/>
            </w:tcBorders>
          </w:tcPr>
          <w:p w14:paraId="0C297836" w14:textId="77777777" w:rsidR="009C73AB" w:rsidRPr="00497292" w:rsidRDefault="009C73AB" w:rsidP="00190991">
            <w:pPr>
              <w:spacing w:before="60" w:after="60"/>
              <w:jc w:val="right"/>
              <w:rPr>
                <w:rFonts w:cstheme="minorHAnsi"/>
                <w:sz w:val="20"/>
                <w:szCs w:val="20"/>
              </w:rPr>
            </w:pPr>
            <w:r w:rsidRPr="00497292">
              <w:rPr>
                <w:rFonts w:cstheme="minorHAnsi"/>
                <w:sz w:val="20"/>
                <w:szCs w:val="20"/>
              </w:rPr>
              <w:t>84,6</w:t>
            </w:r>
          </w:p>
        </w:tc>
        <w:tc>
          <w:tcPr>
            <w:tcW w:w="433" w:type="pct"/>
            <w:tcBorders>
              <w:top w:val="nil"/>
              <w:left w:val="single" w:sz="4" w:space="0" w:color="auto"/>
              <w:bottom w:val="single" w:sz="4" w:space="0" w:color="auto"/>
              <w:right w:val="single" w:sz="4" w:space="0" w:color="auto"/>
            </w:tcBorders>
            <w:vAlign w:val="center"/>
          </w:tcPr>
          <w:p w14:paraId="2DF55801" w14:textId="77777777" w:rsidR="009C73AB" w:rsidRPr="00497292" w:rsidRDefault="009C73AB" w:rsidP="00190991">
            <w:pPr>
              <w:spacing w:before="60" w:after="60"/>
              <w:jc w:val="right"/>
              <w:rPr>
                <w:rFonts w:cstheme="minorHAnsi"/>
                <w:sz w:val="20"/>
                <w:szCs w:val="20"/>
              </w:rPr>
            </w:pPr>
            <w:r w:rsidRPr="00497292">
              <w:rPr>
                <w:rFonts w:cstheme="minorHAnsi"/>
                <w:sz w:val="20"/>
                <w:szCs w:val="20"/>
              </w:rPr>
              <w:t>55,4</w:t>
            </w:r>
          </w:p>
        </w:tc>
      </w:tr>
    </w:tbl>
    <w:p w14:paraId="1C969D41" w14:textId="1153844A" w:rsidR="002176D0" w:rsidRPr="006B6D61" w:rsidRDefault="001C47A6" w:rsidP="003F0A7C">
      <w:pPr>
        <w:pStyle w:val="KOMtext"/>
      </w:pPr>
      <w:r w:rsidRPr="006B6D61">
        <w:t>Všechny kapitálové výdaje jsou vedeny v RI</w:t>
      </w:r>
      <w:r w:rsidR="00905F37" w:rsidRPr="006B6D61">
        <w:t>SPF</w:t>
      </w:r>
      <w:r w:rsidRPr="006B6D61">
        <w:t xml:space="preserve"> (EDS/SMVS, ZED).</w:t>
      </w:r>
    </w:p>
    <w:p w14:paraId="4AE8E043" w14:textId="7ABD0EAD" w:rsidR="00F72FEC" w:rsidRPr="006B6D61" w:rsidRDefault="00F72FEC" w:rsidP="00F72FEC">
      <w:pPr>
        <w:pStyle w:val="KOMGrafy"/>
      </w:pPr>
      <w:bookmarkStart w:id="60" w:name="_Toc160457123"/>
      <w:r w:rsidRPr="006B6D61">
        <w:rPr>
          <w:rFonts w:cstheme="minorHAnsi"/>
        </w:rPr>
        <w:lastRenderedPageBreak/>
        <w:t xml:space="preserve">Graf č. </w:t>
      </w:r>
      <w:fldSimple w:instr=" SEQ Graf_č. \* ARABIC ">
        <w:r w:rsidR="00013820">
          <w:rPr>
            <w:noProof/>
          </w:rPr>
          <w:t>6</w:t>
        </w:r>
      </w:fldSimple>
      <w:r w:rsidRPr="006B6D61">
        <w:rPr>
          <w:rFonts w:cstheme="minorHAnsi"/>
        </w:rPr>
        <w:t>: Členění kapitálových výdajů kapitoly 327 MD</w:t>
      </w:r>
      <w:bookmarkEnd w:id="60"/>
    </w:p>
    <w:p w14:paraId="389BB0C7" w14:textId="2AE65C4C" w:rsidR="00B873C4" w:rsidRDefault="00B873C4" w:rsidP="003F0A7C">
      <w:pPr>
        <w:pStyle w:val="KOMtext"/>
        <w:rPr>
          <w:color w:val="FF0000"/>
        </w:rPr>
      </w:pPr>
      <w:r w:rsidRPr="004A12C5">
        <w:rPr>
          <w:noProof/>
        </w:rPr>
        <w:drawing>
          <wp:inline distT="0" distB="0" distL="0" distR="0" wp14:anchorId="626F9272" wp14:editId="0A239F5C">
            <wp:extent cx="5760720" cy="1907540"/>
            <wp:effectExtent l="0" t="0" r="11430" b="16510"/>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5DC448B" w14:textId="77777777" w:rsidR="00B435F5" w:rsidRDefault="00B435F5" w:rsidP="00B435F5">
      <w:pPr>
        <w:pStyle w:val="KOMtext"/>
        <w:rPr>
          <w:color w:val="FF0000"/>
        </w:rPr>
      </w:pPr>
      <w:r w:rsidRPr="00B058BE">
        <w:t xml:space="preserve">Rozpočet kapitálových výdajů na rok 2023 byl kapitole 327 Ministerstvo dopravy stanoven </w:t>
      </w:r>
      <w:r w:rsidRPr="000B1C5D">
        <w:t xml:space="preserve">zákonem č. 449/2022 Sb., o státním </w:t>
      </w:r>
      <w:r w:rsidRPr="00B058BE">
        <w:t xml:space="preserve">rozpočtu České </w:t>
      </w:r>
      <w:r w:rsidRPr="001B33F7">
        <w:t xml:space="preserve">republiky na rok 2023. </w:t>
      </w:r>
    </w:p>
    <w:p w14:paraId="1E3E8B8C" w14:textId="3293C94D" w:rsidR="00B435F5" w:rsidRPr="004D048B" w:rsidRDefault="00B435F5" w:rsidP="00B435F5">
      <w:pPr>
        <w:pStyle w:val="KOMtext"/>
        <w:rPr>
          <w:i/>
        </w:rPr>
      </w:pPr>
      <w:r w:rsidRPr="00AA5727">
        <w:rPr>
          <w:bCs/>
        </w:rPr>
        <w:t>V pr</w:t>
      </w:r>
      <w:r w:rsidRPr="00AA5727">
        <w:t>ůběhu roku se v návaznosti na aktuální potřeby kapitoly MD realizovaly převody snižující a navyšují rozpočet</w:t>
      </w:r>
      <w:r>
        <w:t xml:space="preserve"> </w:t>
      </w:r>
      <w:r w:rsidRPr="00AA5727">
        <w:t>kapitálových výdajů. Jednalo</w:t>
      </w:r>
      <w:r>
        <w:t xml:space="preserve"> </w:t>
      </w:r>
      <w:r w:rsidRPr="00AA5727">
        <w:t xml:space="preserve">se </w:t>
      </w:r>
      <w:r>
        <w:t>p</w:t>
      </w:r>
      <w:r w:rsidRPr="00AA5727">
        <w:t>ředevším</w:t>
      </w:r>
      <w:r>
        <w:t xml:space="preserve"> </w:t>
      </w:r>
      <w:r w:rsidRPr="00D12CD9">
        <w:t xml:space="preserve">o převody prostředků mezi kapitálovými výdaji a běžnými </w:t>
      </w:r>
      <w:r w:rsidRPr="004D048B">
        <w:rPr>
          <w:color w:val="000000" w:themeColor="text1"/>
        </w:rPr>
        <w:t>výdaji (např. převod prostředků</w:t>
      </w:r>
      <w:r>
        <w:rPr>
          <w:color w:val="000000" w:themeColor="text1"/>
        </w:rPr>
        <w:t xml:space="preserve"> </w:t>
      </w:r>
      <w:r w:rsidRPr="004D048B">
        <w:t>na krytí deficitu SFDI ve výši 5 854 594 tis. Kč</w:t>
      </w:r>
      <w:r>
        <w:t xml:space="preserve"> (snížený kapitálových výdajů)</w:t>
      </w:r>
      <w:r w:rsidRPr="004D048B">
        <w:t>, převod prostředků určených na BAR na RRF na komponentu 7.6</w:t>
      </w:r>
      <w:r>
        <w:t xml:space="preserve"> Elektrifikace železniční dopravy</w:t>
      </w:r>
      <w:r w:rsidRPr="004D048B">
        <w:t xml:space="preserve"> ve výši </w:t>
      </w:r>
      <w:r>
        <w:t>517 500</w:t>
      </w:r>
      <w:r w:rsidRPr="004D048B">
        <w:t xml:space="preserve"> tis. Kč</w:t>
      </w:r>
      <w:r>
        <w:t xml:space="preserve"> (navýšení kapitálových výdajů)</w:t>
      </w:r>
      <w:r w:rsidRPr="004D048B">
        <w:t>). Rozpočet kapitálových výdajů po změnách činil 71 350 986 tis. Kč.</w:t>
      </w:r>
      <w:r>
        <w:t xml:space="preserve"> </w:t>
      </w:r>
    </w:p>
    <w:p w14:paraId="607C47DC" w14:textId="77777777" w:rsidR="00B435F5" w:rsidRPr="00D12CD9" w:rsidRDefault="00B435F5" w:rsidP="00B435F5">
      <w:pPr>
        <w:pStyle w:val="KOMtext"/>
      </w:pPr>
      <w:r w:rsidRPr="00D12CD9">
        <w:t xml:space="preserve">Kapitálové výdaje byly v roce 2023 čerpány ve výši 71 292 552 tis. Kč, tj. 99,9 % rozpočtu </w:t>
      </w:r>
      <w:r w:rsidRPr="00D12CD9">
        <w:br/>
        <w:t>po změnách, z toho nároky z nespotřebovaných výdajů ve výši 7 859 296 tis. Kč a rezervní fond ve výši 705 tis. Kč. Prostředky EU byly čerpány ve výši 28 172 432 tis. Kč.</w:t>
      </w:r>
    </w:p>
    <w:p w14:paraId="1ADDA023" w14:textId="77777777" w:rsidR="00B435F5" w:rsidRPr="00BA4EBE" w:rsidRDefault="00B435F5" w:rsidP="00B435F5">
      <w:pPr>
        <w:pStyle w:val="KOMtext"/>
        <w:rPr>
          <w:color w:val="FF0000"/>
        </w:rPr>
      </w:pPr>
      <w:r w:rsidRPr="0095592D">
        <w:t>Největší podíl kapitálových výdajů byl vynaložen na krytí deficitu rozpočtu SFDI</w:t>
      </w:r>
      <w:r w:rsidRPr="0054445E">
        <w:t>, v rámci Operačního programu Doprava 2021+, Operačního programu Dopravy 2014+ a Národního plánu obnovy (RRF). Největším příjemcem těchto dotací je Státní fond dopravní infrastruktury</w:t>
      </w:r>
      <w:r w:rsidRPr="0018333C">
        <w:t>.</w:t>
      </w:r>
    </w:p>
    <w:p w14:paraId="435510B1" w14:textId="77777777" w:rsidR="00B435F5" w:rsidRPr="00C23CDC" w:rsidRDefault="00B435F5" w:rsidP="00B435F5">
      <w:pPr>
        <w:pStyle w:val="KOMtext"/>
      </w:pPr>
      <w:r w:rsidRPr="0049411A">
        <w:t xml:space="preserve">Čerpání kapitálových výdajů v roce 2023 se oproti </w:t>
      </w:r>
      <w:r w:rsidRPr="00184509">
        <w:t xml:space="preserve">roku 2022 snížilo o 6 396 611 tis. Kč, </w:t>
      </w:r>
      <w:r w:rsidRPr="00BA4EBE">
        <w:rPr>
          <w:color w:val="FF0000"/>
        </w:rPr>
        <w:br/>
      </w:r>
      <w:r w:rsidRPr="00F90B4E">
        <w:t xml:space="preserve">tj. o 8,2 %. </w:t>
      </w:r>
      <w:r w:rsidRPr="00C23CDC">
        <w:t xml:space="preserve">Důvodem bylo především snížení čerpání investiční dotace SFDI, </w:t>
      </w:r>
      <w:r w:rsidRPr="00C23CDC">
        <w:br/>
        <w:t xml:space="preserve"> a to prostředky EU. </w:t>
      </w:r>
    </w:p>
    <w:p w14:paraId="15FA1028" w14:textId="58AE3563" w:rsidR="002E0141" w:rsidRPr="0077128B" w:rsidRDefault="00B435F5" w:rsidP="003F0A7C">
      <w:pPr>
        <w:pStyle w:val="KOMtext"/>
        <w:rPr>
          <w:iCs/>
          <w:color w:val="FF0000"/>
        </w:rPr>
      </w:pPr>
      <w:r w:rsidRPr="001974A1">
        <w:rPr>
          <w:iCs/>
        </w:rPr>
        <w:t xml:space="preserve">Podrobnější popis čerpání kapitálových výdajů je obsažen především v kapitole 3.3. Čerpání finančních prostředků fondů EU a 3.5 Výdaje kapitoly RISPF (EDS/SMVS a ZED). </w:t>
      </w:r>
    </w:p>
    <w:p w14:paraId="76118D20" w14:textId="53B9BBC1" w:rsidR="00A51307" w:rsidRPr="006B6D61" w:rsidRDefault="00A51307" w:rsidP="00FE67C5">
      <w:pPr>
        <w:pStyle w:val="KOMnadp2"/>
      </w:pPr>
      <w:bookmarkStart w:id="61" w:name="_Toc128397651"/>
      <w:bookmarkStart w:id="62" w:name="_Toc128397784"/>
      <w:bookmarkStart w:id="63" w:name="_Toc128398007"/>
      <w:bookmarkStart w:id="64" w:name="_Toc128398350"/>
      <w:bookmarkStart w:id="65" w:name="_Toc128398476"/>
      <w:bookmarkStart w:id="66" w:name="_Toc128398690"/>
      <w:bookmarkStart w:id="67" w:name="_Toc128400006"/>
      <w:bookmarkStart w:id="68" w:name="_Toc128401246"/>
      <w:bookmarkStart w:id="69" w:name="_Toc128401374"/>
      <w:bookmarkStart w:id="70" w:name="_Toc128401861"/>
      <w:bookmarkStart w:id="71" w:name="_Toc128400007"/>
      <w:bookmarkStart w:id="72" w:name="_Toc162269239"/>
      <w:bookmarkEnd w:id="61"/>
      <w:bookmarkEnd w:id="62"/>
      <w:bookmarkEnd w:id="63"/>
      <w:bookmarkEnd w:id="64"/>
      <w:bookmarkEnd w:id="65"/>
      <w:bookmarkEnd w:id="66"/>
      <w:bookmarkEnd w:id="67"/>
      <w:bookmarkEnd w:id="68"/>
      <w:bookmarkEnd w:id="69"/>
      <w:bookmarkEnd w:id="70"/>
      <w:r w:rsidRPr="006B6D61">
        <w:t>Plnění specifických ukazatelů</w:t>
      </w:r>
      <w:bookmarkEnd w:id="71"/>
      <w:bookmarkEnd w:id="72"/>
    </w:p>
    <w:p w14:paraId="4E5EB917" w14:textId="5D8BCD61" w:rsidR="00623F9A" w:rsidRPr="007A35AB" w:rsidRDefault="00623F9A" w:rsidP="00623F9A">
      <w:pPr>
        <w:pStyle w:val="KOMtext"/>
        <w:rPr>
          <w:szCs w:val="24"/>
        </w:rPr>
      </w:pPr>
      <w:bookmarkStart w:id="73" w:name="_Toc508879839"/>
      <w:bookmarkStart w:id="74" w:name="_Toc508880115"/>
      <w:r w:rsidRPr="00623F9A">
        <w:rPr>
          <w:szCs w:val="24"/>
        </w:rPr>
        <w:t xml:space="preserve"> </w:t>
      </w:r>
      <w:r w:rsidRPr="007A35AB">
        <w:rPr>
          <w:szCs w:val="24"/>
        </w:rPr>
        <w:t xml:space="preserve">Státní rozpočet na rok 2023 sestavený formou specifických ukazatelů vycházel z metodiky výdajových bloků, přičemž specifické ukazatele byly součástí přílohy č. 4 k zákonu o státním rozpočtu České republiky na rok 2023. </w:t>
      </w:r>
    </w:p>
    <w:p w14:paraId="1C371D45" w14:textId="15B3BEBE" w:rsidR="00FE1E42" w:rsidRPr="0077128B" w:rsidRDefault="00623F9A" w:rsidP="008A0E44">
      <w:pPr>
        <w:pStyle w:val="KOMnadp4"/>
        <w:rPr>
          <w:color w:val="FF0000"/>
        </w:rPr>
      </w:pPr>
      <w:r w:rsidRPr="00E603C7">
        <w:lastRenderedPageBreak/>
        <w:t xml:space="preserve">Specifické „výdajové“ ukazatele kapitoly 327-MD rok 2023 </w:t>
      </w:r>
    </w:p>
    <w:tbl>
      <w:tblPr>
        <w:tblW w:w="1009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94"/>
        <w:gridCol w:w="1418"/>
        <w:gridCol w:w="1417"/>
        <w:gridCol w:w="1417"/>
        <w:gridCol w:w="1419"/>
        <w:gridCol w:w="850"/>
        <w:gridCol w:w="880"/>
      </w:tblGrid>
      <w:tr w:rsidR="00F43FC7" w:rsidRPr="00F43FC7" w14:paraId="2CEEC656" w14:textId="77777777" w:rsidTr="00BA4E5A">
        <w:trPr>
          <w:tblHeader/>
        </w:trPr>
        <w:tc>
          <w:tcPr>
            <w:tcW w:w="10095" w:type="dxa"/>
            <w:gridSpan w:val="7"/>
            <w:tcBorders>
              <w:top w:val="nil"/>
              <w:left w:val="nil"/>
              <w:right w:val="nil"/>
            </w:tcBorders>
            <w:shd w:val="clear" w:color="auto" w:fill="FFFFFF" w:themeFill="background1"/>
            <w:vAlign w:val="center"/>
          </w:tcPr>
          <w:p w14:paraId="6B7970F1" w14:textId="004879E4" w:rsidR="00D30922" w:rsidRPr="006B6D61" w:rsidRDefault="00D30922" w:rsidP="00BA4E5A">
            <w:pPr>
              <w:spacing w:after="0"/>
              <w:jc w:val="right"/>
              <w:rPr>
                <w:rFonts w:cstheme="minorHAnsi"/>
              </w:rPr>
            </w:pPr>
            <w:r w:rsidRPr="006B6D61">
              <w:rPr>
                <w:rFonts w:cstheme="minorHAnsi"/>
              </w:rPr>
              <w:t>v tis. Kč</w:t>
            </w:r>
          </w:p>
        </w:tc>
      </w:tr>
      <w:tr w:rsidR="00F43FC7" w:rsidRPr="007A35AB" w14:paraId="41B06284" w14:textId="77777777" w:rsidTr="00136A61">
        <w:trPr>
          <w:trHeight w:val="520"/>
          <w:tblHeader/>
        </w:trPr>
        <w:tc>
          <w:tcPr>
            <w:tcW w:w="2694" w:type="dxa"/>
            <w:vMerge w:val="restart"/>
            <w:shd w:val="pct12" w:color="auto" w:fill="auto"/>
            <w:vAlign w:val="center"/>
          </w:tcPr>
          <w:p w14:paraId="46B0FC4D" w14:textId="77777777" w:rsidR="00F43FC7" w:rsidRPr="007A35AB" w:rsidRDefault="00F43FC7" w:rsidP="00190991">
            <w:pPr>
              <w:spacing w:after="0"/>
              <w:jc w:val="center"/>
              <w:rPr>
                <w:rFonts w:cstheme="minorHAnsi"/>
                <w:b/>
              </w:rPr>
            </w:pPr>
            <w:r w:rsidRPr="007A35AB">
              <w:rPr>
                <w:rFonts w:cstheme="minorHAnsi"/>
                <w:b/>
              </w:rPr>
              <w:t>Ukazatel</w:t>
            </w:r>
          </w:p>
        </w:tc>
        <w:tc>
          <w:tcPr>
            <w:tcW w:w="1418" w:type="dxa"/>
            <w:vMerge w:val="restart"/>
            <w:shd w:val="pct12" w:color="auto" w:fill="auto"/>
            <w:vAlign w:val="center"/>
          </w:tcPr>
          <w:p w14:paraId="0ECBFEBA" w14:textId="77777777" w:rsidR="00F43FC7" w:rsidRPr="007A35AB" w:rsidRDefault="00F43FC7" w:rsidP="00190991">
            <w:pPr>
              <w:spacing w:after="0"/>
              <w:jc w:val="center"/>
              <w:rPr>
                <w:rFonts w:cstheme="minorHAnsi"/>
                <w:b/>
              </w:rPr>
            </w:pPr>
            <w:r w:rsidRPr="007A35AB">
              <w:rPr>
                <w:rFonts w:cstheme="minorHAnsi"/>
                <w:b/>
              </w:rPr>
              <w:t>Skutečnost</w:t>
            </w:r>
          </w:p>
          <w:p w14:paraId="42F7D680" w14:textId="77777777" w:rsidR="00F43FC7" w:rsidRPr="007A35AB" w:rsidRDefault="00F43FC7" w:rsidP="00190991">
            <w:pPr>
              <w:spacing w:after="0"/>
              <w:jc w:val="center"/>
              <w:rPr>
                <w:rFonts w:cstheme="minorHAnsi"/>
                <w:b/>
              </w:rPr>
            </w:pPr>
            <w:r w:rsidRPr="007A35AB">
              <w:rPr>
                <w:rFonts w:cstheme="minorHAnsi"/>
                <w:b/>
              </w:rPr>
              <w:t>2022</w:t>
            </w:r>
          </w:p>
        </w:tc>
        <w:tc>
          <w:tcPr>
            <w:tcW w:w="2834" w:type="dxa"/>
            <w:gridSpan w:val="2"/>
            <w:shd w:val="pct12" w:color="auto" w:fill="auto"/>
            <w:vAlign w:val="center"/>
          </w:tcPr>
          <w:p w14:paraId="38ECB76E" w14:textId="77777777" w:rsidR="00F43FC7" w:rsidRPr="007A35AB" w:rsidRDefault="00F43FC7" w:rsidP="00190991">
            <w:pPr>
              <w:spacing w:after="0"/>
              <w:jc w:val="center"/>
              <w:rPr>
                <w:rFonts w:cstheme="minorHAnsi"/>
                <w:b/>
              </w:rPr>
            </w:pPr>
            <w:r w:rsidRPr="007A35AB">
              <w:rPr>
                <w:rFonts w:cstheme="minorHAnsi"/>
                <w:b/>
              </w:rPr>
              <w:t>Rozpočet 2023</w:t>
            </w:r>
          </w:p>
        </w:tc>
        <w:tc>
          <w:tcPr>
            <w:tcW w:w="1419" w:type="dxa"/>
            <w:vMerge w:val="restart"/>
            <w:shd w:val="pct12" w:color="auto" w:fill="auto"/>
            <w:vAlign w:val="center"/>
          </w:tcPr>
          <w:p w14:paraId="6C45C303" w14:textId="77777777" w:rsidR="00F43FC7" w:rsidRPr="007A35AB" w:rsidRDefault="00F43FC7" w:rsidP="00190991">
            <w:pPr>
              <w:spacing w:after="0"/>
              <w:jc w:val="center"/>
              <w:rPr>
                <w:rFonts w:cstheme="minorHAnsi"/>
                <w:b/>
              </w:rPr>
            </w:pPr>
            <w:r w:rsidRPr="007A35AB">
              <w:rPr>
                <w:rFonts w:cstheme="minorHAnsi"/>
                <w:b/>
              </w:rPr>
              <w:t>Skutečnost</w:t>
            </w:r>
          </w:p>
          <w:p w14:paraId="4B5731F1" w14:textId="77777777" w:rsidR="00F43FC7" w:rsidRPr="007A35AB" w:rsidRDefault="00F43FC7" w:rsidP="00190991">
            <w:pPr>
              <w:spacing w:after="0"/>
              <w:jc w:val="center"/>
              <w:rPr>
                <w:rFonts w:cstheme="minorHAnsi"/>
                <w:b/>
              </w:rPr>
            </w:pPr>
            <w:r w:rsidRPr="007A35AB">
              <w:rPr>
                <w:rFonts w:cstheme="minorHAnsi"/>
                <w:b/>
              </w:rPr>
              <w:t>2023</w:t>
            </w:r>
          </w:p>
        </w:tc>
        <w:tc>
          <w:tcPr>
            <w:tcW w:w="850" w:type="dxa"/>
            <w:vMerge w:val="restart"/>
            <w:shd w:val="pct12" w:color="auto" w:fill="auto"/>
            <w:vAlign w:val="center"/>
          </w:tcPr>
          <w:p w14:paraId="6B23BB19" w14:textId="77777777" w:rsidR="00F43FC7" w:rsidRPr="007A35AB" w:rsidRDefault="00F43FC7" w:rsidP="00190991">
            <w:pPr>
              <w:spacing w:after="0"/>
              <w:jc w:val="center"/>
              <w:rPr>
                <w:rFonts w:cstheme="minorHAnsi"/>
                <w:b/>
              </w:rPr>
            </w:pPr>
            <w:r w:rsidRPr="007A35AB">
              <w:rPr>
                <w:rFonts w:cstheme="minorHAnsi"/>
                <w:b/>
              </w:rPr>
              <w:t>Plnění</w:t>
            </w:r>
          </w:p>
          <w:p w14:paraId="54CD9209" w14:textId="77777777" w:rsidR="00F43FC7" w:rsidRPr="007A35AB" w:rsidRDefault="00F43FC7" w:rsidP="00190991">
            <w:pPr>
              <w:spacing w:after="0"/>
              <w:jc w:val="center"/>
              <w:rPr>
                <w:rFonts w:cstheme="minorHAnsi"/>
                <w:b/>
              </w:rPr>
            </w:pPr>
            <w:r w:rsidRPr="007A35AB">
              <w:rPr>
                <w:rFonts w:cstheme="minorHAnsi"/>
                <w:b/>
              </w:rPr>
              <w:t xml:space="preserve"> (v %)</w:t>
            </w:r>
          </w:p>
        </w:tc>
        <w:tc>
          <w:tcPr>
            <w:tcW w:w="880" w:type="dxa"/>
            <w:vMerge w:val="restart"/>
            <w:shd w:val="pct12" w:color="auto" w:fill="auto"/>
            <w:vAlign w:val="center"/>
          </w:tcPr>
          <w:p w14:paraId="6D684918" w14:textId="77777777" w:rsidR="00F43FC7" w:rsidRPr="007A35AB" w:rsidRDefault="00F43FC7" w:rsidP="00190991">
            <w:pPr>
              <w:spacing w:after="0"/>
              <w:jc w:val="center"/>
              <w:rPr>
                <w:rFonts w:cstheme="minorHAnsi"/>
                <w:b/>
              </w:rPr>
            </w:pPr>
            <w:r w:rsidRPr="007A35AB">
              <w:rPr>
                <w:rFonts w:cstheme="minorHAnsi"/>
                <w:b/>
              </w:rPr>
              <w:t>Index</w:t>
            </w:r>
          </w:p>
          <w:p w14:paraId="54C91827" w14:textId="6A9E515B" w:rsidR="00F43FC7" w:rsidRPr="007A35AB" w:rsidRDefault="00F43FC7" w:rsidP="00190991">
            <w:pPr>
              <w:spacing w:after="0"/>
              <w:jc w:val="center"/>
              <w:rPr>
                <w:rFonts w:cstheme="minorHAnsi"/>
                <w:b/>
              </w:rPr>
            </w:pPr>
            <w:r w:rsidRPr="007A35AB">
              <w:rPr>
                <w:rFonts w:cstheme="minorHAnsi"/>
                <w:b/>
              </w:rPr>
              <w:t>(v %)</w:t>
            </w:r>
          </w:p>
        </w:tc>
      </w:tr>
      <w:tr w:rsidR="00F43FC7" w:rsidRPr="00473066" w14:paraId="2BD772E6" w14:textId="77777777" w:rsidTr="00136A61">
        <w:trPr>
          <w:trHeight w:val="414"/>
          <w:tblHeader/>
        </w:trPr>
        <w:tc>
          <w:tcPr>
            <w:tcW w:w="2694" w:type="dxa"/>
            <w:vMerge/>
            <w:shd w:val="pct12" w:color="auto" w:fill="auto"/>
            <w:vAlign w:val="center"/>
          </w:tcPr>
          <w:p w14:paraId="26C02D55" w14:textId="77777777" w:rsidR="00F43FC7" w:rsidRPr="00473066" w:rsidRDefault="00F43FC7" w:rsidP="00190991">
            <w:pPr>
              <w:spacing w:after="0"/>
              <w:jc w:val="center"/>
              <w:rPr>
                <w:rFonts w:cstheme="minorHAnsi"/>
                <w:b/>
                <w:color w:val="FF0000"/>
              </w:rPr>
            </w:pPr>
          </w:p>
        </w:tc>
        <w:tc>
          <w:tcPr>
            <w:tcW w:w="1418" w:type="dxa"/>
            <w:vMerge/>
            <w:shd w:val="pct12" w:color="auto" w:fill="auto"/>
            <w:vAlign w:val="center"/>
          </w:tcPr>
          <w:p w14:paraId="3597E561" w14:textId="77777777" w:rsidR="00F43FC7" w:rsidRPr="00473066" w:rsidRDefault="00F43FC7" w:rsidP="00190991">
            <w:pPr>
              <w:spacing w:after="0"/>
              <w:jc w:val="center"/>
              <w:rPr>
                <w:rFonts w:cstheme="minorHAnsi"/>
                <w:b/>
                <w:color w:val="FF0000"/>
              </w:rPr>
            </w:pPr>
          </w:p>
        </w:tc>
        <w:tc>
          <w:tcPr>
            <w:tcW w:w="1417" w:type="dxa"/>
            <w:shd w:val="pct12" w:color="auto" w:fill="auto"/>
            <w:vAlign w:val="center"/>
          </w:tcPr>
          <w:p w14:paraId="1F47895D" w14:textId="77777777" w:rsidR="00F43FC7" w:rsidRPr="00C84F09" w:rsidRDefault="00F43FC7" w:rsidP="00190991">
            <w:pPr>
              <w:spacing w:after="0"/>
              <w:jc w:val="center"/>
              <w:rPr>
                <w:rFonts w:cstheme="minorHAnsi"/>
                <w:b/>
              </w:rPr>
            </w:pPr>
            <w:r w:rsidRPr="00C84F09">
              <w:rPr>
                <w:rFonts w:cstheme="minorHAnsi"/>
                <w:b/>
              </w:rPr>
              <w:t>schválený</w:t>
            </w:r>
          </w:p>
        </w:tc>
        <w:tc>
          <w:tcPr>
            <w:tcW w:w="1417" w:type="dxa"/>
            <w:shd w:val="pct12" w:color="auto" w:fill="auto"/>
            <w:vAlign w:val="center"/>
          </w:tcPr>
          <w:p w14:paraId="166D876F" w14:textId="77777777" w:rsidR="00F43FC7" w:rsidRPr="00C84F09" w:rsidRDefault="00F43FC7" w:rsidP="00190991">
            <w:pPr>
              <w:spacing w:after="0"/>
              <w:jc w:val="center"/>
              <w:rPr>
                <w:rFonts w:cstheme="minorHAnsi"/>
                <w:b/>
              </w:rPr>
            </w:pPr>
            <w:r w:rsidRPr="00C84F09">
              <w:rPr>
                <w:rFonts w:cstheme="minorHAnsi"/>
                <w:b/>
              </w:rPr>
              <w:t xml:space="preserve">po </w:t>
            </w:r>
            <w:r w:rsidRPr="00C84F09">
              <w:rPr>
                <w:rFonts w:cstheme="minorHAnsi"/>
                <w:b/>
              </w:rPr>
              <w:br/>
              <w:t>změnách</w:t>
            </w:r>
          </w:p>
        </w:tc>
        <w:tc>
          <w:tcPr>
            <w:tcW w:w="1419" w:type="dxa"/>
            <w:vMerge/>
            <w:shd w:val="pct12" w:color="auto" w:fill="auto"/>
            <w:vAlign w:val="center"/>
          </w:tcPr>
          <w:p w14:paraId="02F16E37" w14:textId="77777777" w:rsidR="00F43FC7" w:rsidRPr="00473066" w:rsidRDefault="00F43FC7" w:rsidP="00190991">
            <w:pPr>
              <w:spacing w:after="0"/>
              <w:jc w:val="center"/>
              <w:rPr>
                <w:rFonts w:cstheme="minorHAnsi"/>
                <w:b/>
                <w:color w:val="FF0000"/>
              </w:rPr>
            </w:pPr>
          </w:p>
        </w:tc>
        <w:tc>
          <w:tcPr>
            <w:tcW w:w="850" w:type="dxa"/>
            <w:vMerge/>
            <w:shd w:val="pct12" w:color="auto" w:fill="auto"/>
            <w:vAlign w:val="center"/>
          </w:tcPr>
          <w:p w14:paraId="031DF300" w14:textId="77777777" w:rsidR="00F43FC7" w:rsidRPr="00473066" w:rsidRDefault="00F43FC7" w:rsidP="00190991">
            <w:pPr>
              <w:spacing w:after="0"/>
              <w:jc w:val="center"/>
              <w:rPr>
                <w:rFonts w:cstheme="minorHAnsi"/>
                <w:b/>
                <w:color w:val="FF0000"/>
              </w:rPr>
            </w:pPr>
          </w:p>
        </w:tc>
        <w:tc>
          <w:tcPr>
            <w:tcW w:w="880" w:type="dxa"/>
            <w:vMerge/>
            <w:shd w:val="pct12" w:color="auto" w:fill="auto"/>
            <w:vAlign w:val="center"/>
          </w:tcPr>
          <w:p w14:paraId="2EFFF143" w14:textId="77777777" w:rsidR="00F43FC7" w:rsidRPr="00473066" w:rsidRDefault="00F43FC7" w:rsidP="00190991">
            <w:pPr>
              <w:spacing w:after="0"/>
              <w:jc w:val="center"/>
              <w:rPr>
                <w:rFonts w:cstheme="minorHAnsi"/>
                <w:b/>
                <w:color w:val="FF0000"/>
              </w:rPr>
            </w:pPr>
          </w:p>
        </w:tc>
      </w:tr>
      <w:tr w:rsidR="00F43FC7" w:rsidRPr="00C84F09" w14:paraId="5BC5A8EB" w14:textId="77777777" w:rsidTr="00136A61">
        <w:trPr>
          <w:trHeight w:val="236"/>
          <w:tblHeader/>
        </w:trPr>
        <w:tc>
          <w:tcPr>
            <w:tcW w:w="2694" w:type="dxa"/>
            <w:vAlign w:val="center"/>
          </w:tcPr>
          <w:p w14:paraId="035FB268" w14:textId="77777777" w:rsidR="00F43FC7" w:rsidRPr="00C84F09" w:rsidRDefault="00F43FC7" w:rsidP="00190991">
            <w:pPr>
              <w:spacing w:after="0"/>
              <w:jc w:val="center"/>
              <w:rPr>
                <w:rFonts w:cstheme="minorHAnsi"/>
                <w:b/>
              </w:rPr>
            </w:pPr>
            <w:r w:rsidRPr="00C84F09">
              <w:rPr>
                <w:rFonts w:cstheme="minorHAnsi"/>
                <w:bCs/>
              </w:rPr>
              <w:t>a</w:t>
            </w:r>
          </w:p>
        </w:tc>
        <w:tc>
          <w:tcPr>
            <w:tcW w:w="1418" w:type="dxa"/>
            <w:vAlign w:val="center"/>
          </w:tcPr>
          <w:p w14:paraId="094BF2E3" w14:textId="77777777" w:rsidR="00F43FC7" w:rsidRPr="00C84F09" w:rsidRDefault="00F43FC7" w:rsidP="00190991">
            <w:pPr>
              <w:spacing w:after="0"/>
              <w:jc w:val="center"/>
              <w:rPr>
                <w:rFonts w:cstheme="minorHAnsi"/>
                <w:b/>
              </w:rPr>
            </w:pPr>
            <w:r w:rsidRPr="00C84F09">
              <w:rPr>
                <w:rFonts w:cstheme="minorHAnsi"/>
                <w:bCs/>
              </w:rPr>
              <w:t>1</w:t>
            </w:r>
          </w:p>
        </w:tc>
        <w:tc>
          <w:tcPr>
            <w:tcW w:w="1417" w:type="dxa"/>
            <w:vAlign w:val="center"/>
          </w:tcPr>
          <w:p w14:paraId="41B19D4C" w14:textId="77777777" w:rsidR="00F43FC7" w:rsidRPr="00C84F09" w:rsidRDefault="00F43FC7" w:rsidP="00190991">
            <w:pPr>
              <w:spacing w:after="0"/>
              <w:ind w:left="-108"/>
              <w:jc w:val="center"/>
              <w:rPr>
                <w:rFonts w:cstheme="minorHAnsi"/>
                <w:b/>
              </w:rPr>
            </w:pPr>
            <w:r w:rsidRPr="00C84F09">
              <w:rPr>
                <w:rFonts w:cstheme="minorHAnsi"/>
                <w:bCs/>
              </w:rPr>
              <w:t>2</w:t>
            </w:r>
          </w:p>
        </w:tc>
        <w:tc>
          <w:tcPr>
            <w:tcW w:w="1417" w:type="dxa"/>
            <w:vAlign w:val="center"/>
          </w:tcPr>
          <w:p w14:paraId="55EC343D" w14:textId="77777777" w:rsidR="00F43FC7" w:rsidRPr="00C84F09" w:rsidRDefault="00F43FC7" w:rsidP="00190991">
            <w:pPr>
              <w:spacing w:after="0"/>
              <w:ind w:left="-108"/>
              <w:jc w:val="center"/>
              <w:rPr>
                <w:rFonts w:cstheme="minorHAnsi"/>
                <w:b/>
              </w:rPr>
            </w:pPr>
            <w:r w:rsidRPr="00C84F09">
              <w:rPr>
                <w:rFonts w:cstheme="minorHAnsi"/>
                <w:bCs/>
              </w:rPr>
              <w:t>3</w:t>
            </w:r>
          </w:p>
        </w:tc>
        <w:tc>
          <w:tcPr>
            <w:tcW w:w="1419" w:type="dxa"/>
            <w:vAlign w:val="center"/>
          </w:tcPr>
          <w:p w14:paraId="619CFAE0" w14:textId="77777777" w:rsidR="00F43FC7" w:rsidRPr="00C84F09" w:rsidRDefault="00F43FC7" w:rsidP="00190991">
            <w:pPr>
              <w:spacing w:after="0"/>
              <w:jc w:val="center"/>
              <w:rPr>
                <w:rFonts w:cstheme="minorHAnsi"/>
                <w:b/>
              </w:rPr>
            </w:pPr>
            <w:r w:rsidRPr="00C84F09">
              <w:rPr>
                <w:rFonts w:cstheme="minorHAnsi"/>
                <w:bCs/>
              </w:rPr>
              <w:t>4</w:t>
            </w:r>
          </w:p>
        </w:tc>
        <w:tc>
          <w:tcPr>
            <w:tcW w:w="850" w:type="dxa"/>
            <w:vAlign w:val="center"/>
          </w:tcPr>
          <w:p w14:paraId="5E5140BC" w14:textId="77777777" w:rsidR="00F43FC7" w:rsidRPr="00C84F09" w:rsidRDefault="00F43FC7" w:rsidP="00190991">
            <w:pPr>
              <w:spacing w:after="0"/>
              <w:jc w:val="center"/>
              <w:rPr>
                <w:rFonts w:cstheme="minorHAnsi"/>
                <w:b/>
              </w:rPr>
            </w:pPr>
            <w:r w:rsidRPr="00C84F09">
              <w:rPr>
                <w:rFonts w:cstheme="minorHAnsi"/>
                <w:bCs/>
              </w:rPr>
              <w:t>4/3</w:t>
            </w:r>
          </w:p>
        </w:tc>
        <w:tc>
          <w:tcPr>
            <w:tcW w:w="880" w:type="dxa"/>
            <w:vAlign w:val="center"/>
          </w:tcPr>
          <w:p w14:paraId="6E2D5292" w14:textId="77777777" w:rsidR="00F43FC7" w:rsidRPr="00C84F09" w:rsidRDefault="00F43FC7" w:rsidP="00190991">
            <w:pPr>
              <w:spacing w:after="0"/>
              <w:jc w:val="center"/>
              <w:rPr>
                <w:rFonts w:cstheme="minorHAnsi"/>
                <w:b/>
              </w:rPr>
            </w:pPr>
            <w:r w:rsidRPr="00C84F09">
              <w:rPr>
                <w:rFonts w:cstheme="minorHAnsi"/>
                <w:bCs/>
              </w:rPr>
              <w:t>4/1</w:t>
            </w:r>
          </w:p>
        </w:tc>
      </w:tr>
      <w:tr w:rsidR="00F43FC7" w:rsidRPr="00E603C7" w14:paraId="0BC6CA0E" w14:textId="77777777" w:rsidTr="00136A61">
        <w:trPr>
          <w:trHeight w:val="680"/>
          <w:tblHeader/>
        </w:trPr>
        <w:tc>
          <w:tcPr>
            <w:tcW w:w="2694" w:type="dxa"/>
          </w:tcPr>
          <w:p w14:paraId="48EE1F34" w14:textId="77777777" w:rsidR="00F43FC7" w:rsidRPr="00E603C7" w:rsidRDefault="00F43FC7" w:rsidP="00190991">
            <w:pPr>
              <w:spacing w:before="60" w:after="60"/>
              <w:rPr>
                <w:rFonts w:cstheme="minorHAnsi"/>
                <w:b/>
                <w:color w:val="2E74B5"/>
              </w:rPr>
            </w:pPr>
            <w:r w:rsidRPr="00E603C7">
              <w:rPr>
                <w:rFonts w:cstheme="minorHAnsi"/>
                <w:b/>
                <w:color w:val="2E74B5"/>
              </w:rPr>
              <w:t>Drážní a kombinovaná doprava</w:t>
            </w:r>
          </w:p>
        </w:tc>
        <w:tc>
          <w:tcPr>
            <w:tcW w:w="1418" w:type="dxa"/>
            <w:vAlign w:val="center"/>
          </w:tcPr>
          <w:p w14:paraId="722FF3F1" w14:textId="77777777" w:rsidR="00F43FC7" w:rsidRPr="00E603C7" w:rsidRDefault="00F43FC7" w:rsidP="00190991">
            <w:pPr>
              <w:spacing w:before="60" w:after="60"/>
              <w:jc w:val="right"/>
              <w:rPr>
                <w:rFonts w:cstheme="minorHAnsi"/>
                <w:b/>
                <w:color w:val="2E74B5"/>
              </w:rPr>
            </w:pPr>
            <w:r w:rsidRPr="00E603C7">
              <w:rPr>
                <w:rFonts w:cstheme="minorHAnsi"/>
                <w:b/>
                <w:color w:val="2E74B5"/>
              </w:rPr>
              <w:t>9 656 889</w:t>
            </w:r>
          </w:p>
        </w:tc>
        <w:tc>
          <w:tcPr>
            <w:tcW w:w="1417" w:type="dxa"/>
            <w:vAlign w:val="center"/>
          </w:tcPr>
          <w:p w14:paraId="34AE4D87" w14:textId="77777777" w:rsidR="00F43FC7" w:rsidRPr="00E603C7" w:rsidRDefault="00F43FC7" w:rsidP="00190991">
            <w:pPr>
              <w:spacing w:before="60" w:after="60"/>
              <w:ind w:left="-108"/>
              <w:jc w:val="right"/>
              <w:rPr>
                <w:rFonts w:cstheme="minorHAnsi"/>
                <w:b/>
                <w:color w:val="2E74B5"/>
              </w:rPr>
            </w:pPr>
            <w:r w:rsidRPr="00E603C7">
              <w:rPr>
                <w:rFonts w:cstheme="minorHAnsi"/>
                <w:b/>
                <w:color w:val="2E74B5"/>
              </w:rPr>
              <w:t>10 843 888</w:t>
            </w:r>
          </w:p>
        </w:tc>
        <w:tc>
          <w:tcPr>
            <w:tcW w:w="1417" w:type="dxa"/>
            <w:vAlign w:val="center"/>
          </w:tcPr>
          <w:p w14:paraId="1DE0F9F4" w14:textId="77777777" w:rsidR="00F43FC7" w:rsidRPr="00E603C7" w:rsidRDefault="00F43FC7" w:rsidP="00190991">
            <w:pPr>
              <w:spacing w:before="60" w:after="60"/>
              <w:ind w:left="-108"/>
              <w:jc w:val="right"/>
              <w:rPr>
                <w:rFonts w:cstheme="minorHAnsi"/>
                <w:b/>
                <w:color w:val="2E74B5"/>
              </w:rPr>
            </w:pPr>
            <w:r w:rsidRPr="00E603C7">
              <w:rPr>
                <w:rFonts w:cstheme="minorHAnsi"/>
                <w:b/>
                <w:color w:val="2E74B5"/>
              </w:rPr>
              <w:t>10 843 888</w:t>
            </w:r>
          </w:p>
        </w:tc>
        <w:tc>
          <w:tcPr>
            <w:tcW w:w="1419" w:type="dxa"/>
            <w:vAlign w:val="center"/>
          </w:tcPr>
          <w:p w14:paraId="5AE1CB2C" w14:textId="77777777" w:rsidR="00F43FC7" w:rsidRPr="00E603C7" w:rsidRDefault="00F43FC7" w:rsidP="00190991">
            <w:pPr>
              <w:spacing w:before="60" w:after="60"/>
              <w:jc w:val="right"/>
              <w:rPr>
                <w:rFonts w:cstheme="minorHAnsi"/>
                <w:b/>
                <w:color w:val="2E74B5"/>
              </w:rPr>
            </w:pPr>
            <w:r w:rsidRPr="00E603C7">
              <w:rPr>
                <w:rFonts w:cstheme="minorHAnsi"/>
                <w:b/>
                <w:color w:val="2E74B5"/>
              </w:rPr>
              <w:t>13 422 512</w:t>
            </w:r>
          </w:p>
        </w:tc>
        <w:tc>
          <w:tcPr>
            <w:tcW w:w="850" w:type="dxa"/>
            <w:vAlign w:val="center"/>
          </w:tcPr>
          <w:p w14:paraId="233C4668" w14:textId="77777777" w:rsidR="00F43FC7" w:rsidRPr="00E603C7" w:rsidRDefault="00F43FC7" w:rsidP="00190991">
            <w:pPr>
              <w:spacing w:before="60" w:after="60"/>
              <w:jc w:val="right"/>
              <w:rPr>
                <w:rFonts w:cstheme="minorHAnsi"/>
                <w:b/>
                <w:color w:val="2E74B5"/>
              </w:rPr>
            </w:pPr>
            <w:r w:rsidRPr="00E603C7">
              <w:rPr>
                <w:rFonts w:cstheme="minorHAnsi"/>
                <w:b/>
                <w:color w:val="2E74B5"/>
              </w:rPr>
              <w:t>123,8</w:t>
            </w:r>
          </w:p>
        </w:tc>
        <w:tc>
          <w:tcPr>
            <w:tcW w:w="880" w:type="dxa"/>
            <w:vAlign w:val="center"/>
          </w:tcPr>
          <w:p w14:paraId="5A65BB14" w14:textId="77777777" w:rsidR="00F43FC7" w:rsidRPr="00E603C7" w:rsidRDefault="00F43FC7" w:rsidP="00190991">
            <w:pPr>
              <w:spacing w:before="60" w:after="60"/>
              <w:jc w:val="right"/>
              <w:rPr>
                <w:rFonts w:cstheme="minorHAnsi"/>
                <w:b/>
                <w:color w:val="2E74B5"/>
              </w:rPr>
            </w:pPr>
            <w:r w:rsidRPr="00E603C7">
              <w:rPr>
                <w:rFonts w:cstheme="minorHAnsi"/>
                <w:b/>
                <w:color w:val="2E74B5"/>
              </w:rPr>
              <w:t>139,0</w:t>
            </w:r>
          </w:p>
        </w:tc>
      </w:tr>
      <w:tr w:rsidR="00F43FC7" w:rsidRPr="00E603C7" w14:paraId="5EBA9C04" w14:textId="77777777" w:rsidTr="00136A61">
        <w:trPr>
          <w:tblHeader/>
        </w:trPr>
        <w:tc>
          <w:tcPr>
            <w:tcW w:w="2694" w:type="dxa"/>
          </w:tcPr>
          <w:p w14:paraId="6442421E" w14:textId="77777777" w:rsidR="00F43FC7" w:rsidRPr="00E603C7" w:rsidRDefault="00F43FC7" w:rsidP="00190991">
            <w:pPr>
              <w:spacing w:before="60" w:after="60"/>
              <w:rPr>
                <w:rFonts w:cstheme="minorHAnsi"/>
                <w:b/>
                <w:color w:val="2E74B5"/>
              </w:rPr>
            </w:pPr>
            <w:r w:rsidRPr="00E603C7">
              <w:rPr>
                <w:rFonts w:cstheme="minorHAnsi"/>
                <w:b/>
                <w:color w:val="2E74B5"/>
              </w:rPr>
              <w:t>Pozemní komunikace</w:t>
            </w:r>
          </w:p>
        </w:tc>
        <w:tc>
          <w:tcPr>
            <w:tcW w:w="1418" w:type="dxa"/>
            <w:vAlign w:val="center"/>
          </w:tcPr>
          <w:p w14:paraId="5CEF5A3B" w14:textId="77777777" w:rsidR="00F43FC7" w:rsidRPr="00E603C7" w:rsidRDefault="00F43FC7" w:rsidP="00190991">
            <w:pPr>
              <w:spacing w:after="60"/>
              <w:jc w:val="right"/>
              <w:rPr>
                <w:rFonts w:cstheme="minorHAnsi"/>
                <w:b/>
                <w:color w:val="2E74B5"/>
              </w:rPr>
            </w:pPr>
            <w:r w:rsidRPr="00E603C7">
              <w:rPr>
                <w:rFonts w:cstheme="minorHAnsi"/>
                <w:b/>
                <w:color w:val="2E74B5"/>
              </w:rPr>
              <w:t>0</w:t>
            </w:r>
          </w:p>
        </w:tc>
        <w:tc>
          <w:tcPr>
            <w:tcW w:w="1417" w:type="dxa"/>
            <w:vAlign w:val="center"/>
          </w:tcPr>
          <w:p w14:paraId="65656166" w14:textId="77777777" w:rsidR="00F43FC7" w:rsidRPr="00E603C7" w:rsidRDefault="00F43FC7" w:rsidP="00190991">
            <w:pPr>
              <w:spacing w:after="60"/>
              <w:jc w:val="right"/>
              <w:rPr>
                <w:rFonts w:cstheme="minorHAnsi"/>
                <w:b/>
                <w:color w:val="2E74B5"/>
              </w:rPr>
            </w:pPr>
            <w:r w:rsidRPr="00E603C7">
              <w:rPr>
                <w:rFonts w:cstheme="minorHAnsi"/>
                <w:b/>
                <w:color w:val="2E74B5"/>
              </w:rPr>
              <w:t>0</w:t>
            </w:r>
          </w:p>
        </w:tc>
        <w:tc>
          <w:tcPr>
            <w:tcW w:w="1417" w:type="dxa"/>
            <w:vAlign w:val="center"/>
          </w:tcPr>
          <w:p w14:paraId="7D566955" w14:textId="77777777" w:rsidR="00F43FC7" w:rsidRPr="00E603C7" w:rsidRDefault="00F43FC7" w:rsidP="00190991">
            <w:pPr>
              <w:spacing w:after="60"/>
              <w:jc w:val="right"/>
              <w:rPr>
                <w:rFonts w:cstheme="minorHAnsi"/>
                <w:b/>
                <w:color w:val="2E74B5"/>
              </w:rPr>
            </w:pPr>
            <w:r w:rsidRPr="00E603C7">
              <w:rPr>
                <w:rFonts w:cstheme="minorHAnsi"/>
                <w:b/>
                <w:color w:val="2E74B5"/>
              </w:rPr>
              <w:t>0</w:t>
            </w:r>
          </w:p>
        </w:tc>
        <w:tc>
          <w:tcPr>
            <w:tcW w:w="1419" w:type="dxa"/>
            <w:vAlign w:val="center"/>
          </w:tcPr>
          <w:p w14:paraId="7713D591" w14:textId="77777777" w:rsidR="00F43FC7" w:rsidRPr="00E603C7" w:rsidRDefault="00F43FC7" w:rsidP="00190991">
            <w:pPr>
              <w:spacing w:after="60"/>
              <w:jc w:val="right"/>
              <w:rPr>
                <w:rFonts w:cstheme="minorHAnsi"/>
                <w:b/>
                <w:color w:val="2E74B5"/>
              </w:rPr>
            </w:pPr>
            <w:r w:rsidRPr="00E603C7">
              <w:rPr>
                <w:rFonts w:cstheme="minorHAnsi"/>
                <w:b/>
                <w:color w:val="2E74B5"/>
              </w:rPr>
              <w:t>0</w:t>
            </w:r>
          </w:p>
        </w:tc>
        <w:tc>
          <w:tcPr>
            <w:tcW w:w="850" w:type="dxa"/>
            <w:vAlign w:val="center"/>
          </w:tcPr>
          <w:p w14:paraId="4EF506E6" w14:textId="77777777" w:rsidR="00F43FC7" w:rsidRPr="00E603C7" w:rsidRDefault="00F43FC7" w:rsidP="00190991">
            <w:pPr>
              <w:spacing w:after="60"/>
              <w:jc w:val="right"/>
              <w:rPr>
                <w:rFonts w:cstheme="minorHAnsi"/>
                <w:b/>
                <w:color w:val="2E74B5"/>
              </w:rPr>
            </w:pPr>
            <w:r w:rsidRPr="00E603C7">
              <w:rPr>
                <w:rFonts w:cstheme="minorHAnsi"/>
                <w:b/>
                <w:color w:val="2E74B5"/>
              </w:rPr>
              <w:t>X</w:t>
            </w:r>
          </w:p>
        </w:tc>
        <w:tc>
          <w:tcPr>
            <w:tcW w:w="880" w:type="dxa"/>
            <w:vAlign w:val="center"/>
          </w:tcPr>
          <w:p w14:paraId="29167CB3" w14:textId="77777777" w:rsidR="00F43FC7" w:rsidRPr="00E603C7" w:rsidRDefault="00F43FC7" w:rsidP="00190991">
            <w:pPr>
              <w:spacing w:after="60"/>
              <w:jc w:val="right"/>
              <w:rPr>
                <w:rFonts w:cstheme="minorHAnsi"/>
                <w:b/>
                <w:color w:val="2E74B5"/>
              </w:rPr>
            </w:pPr>
            <w:r w:rsidRPr="00E603C7">
              <w:rPr>
                <w:rFonts w:cstheme="minorHAnsi"/>
                <w:b/>
                <w:color w:val="2E74B5"/>
              </w:rPr>
              <w:t>x</w:t>
            </w:r>
          </w:p>
        </w:tc>
      </w:tr>
      <w:tr w:rsidR="00F43FC7" w:rsidRPr="00E603C7" w14:paraId="741A6B06" w14:textId="77777777" w:rsidTr="00136A61">
        <w:trPr>
          <w:tblHeader/>
        </w:trPr>
        <w:tc>
          <w:tcPr>
            <w:tcW w:w="2694" w:type="dxa"/>
          </w:tcPr>
          <w:p w14:paraId="3800401D" w14:textId="77777777" w:rsidR="00F43FC7" w:rsidRPr="00E603C7" w:rsidRDefault="00F43FC7" w:rsidP="00190991">
            <w:pPr>
              <w:spacing w:before="60" w:after="60"/>
              <w:rPr>
                <w:rFonts w:cstheme="minorHAnsi"/>
                <w:b/>
                <w:color w:val="2E74B5"/>
              </w:rPr>
            </w:pPr>
            <w:r w:rsidRPr="00E603C7">
              <w:rPr>
                <w:rFonts w:cstheme="minorHAnsi"/>
                <w:b/>
                <w:color w:val="2E74B5"/>
              </w:rPr>
              <w:t xml:space="preserve">Dotace pro SFDI </w:t>
            </w:r>
            <w:r w:rsidRPr="00E603C7">
              <w:rPr>
                <w:rFonts w:cstheme="minorHAnsi"/>
                <w:color w:val="2E74B5"/>
              </w:rPr>
              <w:t>(v tom:)</w:t>
            </w:r>
          </w:p>
        </w:tc>
        <w:tc>
          <w:tcPr>
            <w:tcW w:w="1418" w:type="dxa"/>
            <w:vAlign w:val="center"/>
          </w:tcPr>
          <w:p w14:paraId="7CA85945" w14:textId="77777777" w:rsidR="00F43FC7" w:rsidRPr="00E603C7" w:rsidRDefault="00F43FC7" w:rsidP="00190991">
            <w:pPr>
              <w:spacing w:before="60" w:after="60"/>
              <w:jc w:val="right"/>
              <w:rPr>
                <w:rFonts w:cstheme="minorHAnsi"/>
                <w:b/>
                <w:color w:val="2E74B5"/>
              </w:rPr>
            </w:pPr>
            <w:r w:rsidRPr="00E603C7">
              <w:rPr>
                <w:rFonts w:cstheme="minorHAnsi"/>
                <w:b/>
                <w:color w:val="2E74B5"/>
              </w:rPr>
              <w:t>93 808 913</w:t>
            </w:r>
          </w:p>
        </w:tc>
        <w:tc>
          <w:tcPr>
            <w:tcW w:w="1417" w:type="dxa"/>
            <w:vAlign w:val="center"/>
          </w:tcPr>
          <w:p w14:paraId="6175A9DF" w14:textId="77777777" w:rsidR="00F43FC7" w:rsidRPr="00E603C7" w:rsidRDefault="00F43FC7" w:rsidP="00190991">
            <w:pPr>
              <w:spacing w:before="60" w:after="60"/>
              <w:jc w:val="right"/>
              <w:rPr>
                <w:rFonts w:cstheme="minorHAnsi"/>
                <w:b/>
                <w:color w:val="2E74B5"/>
              </w:rPr>
            </w:pPr>
            <w:r w:rsidRPr="00E603C7">
              <w:rPr>
                <w:rFonts w:cstheme="minorHAnsi"/>
                <w:b/>
                <w:color w:val="2E74B5"/>
              </w:rPr>
              <w:t>92 369 489</w:t>
            </w:r>
          </w:p>
        </w:tc>
        <w:tc>
          <w:tcPr>
            <w:tcW w:w="1417" w:type="dxa"/>
            <w:vAlign w:val="center"/>
          </w:tcPr>
          <w:p w14:paraId="7A02A8F3" w14:textId="77777777" w:rsidR="00F43FC7" w:rsidRPr="00E603C7" w:rsidRDefault="00F43FC7" w:rsidP="00190991">
            <w:pPr>
              <w:spacing w:before="60" w:after="60"/>
              <w:jc w:val="right"/>
              <w:rPr>
                <w:rFonts w:cstheme="minorHAnsi"/>
                <w:b/>
                <w:color w:val="2E74B5"/>
              </w:rPr>
            </w:pPr>
            <w:r w:rsidRPr="00E603C7">
              <w:rPr>
                <w:rFonts w:cstheme="minorHAnsi"/>
                <w:b/>
                <w:color w:val="2E74B5"/>
              </w:rPr>
              <w:t>91 986 999</w:t>
            </w:r>
          </w:p>
        </w:tc>
        <w:tc>
          <w:tcPr>
            <w:tcW w:w="1419" w:type="dxa"/>
            <w:vAlign w:val="center"/>
          </w:tcPr>
          <w:p w14:paraId="5318636B" w14:textId="77777777" w:rsidR="00F43FC7" w:rsidRPr="00E603C7" w:rsidRDefault="00F43FC7" w:rsidP="00190991">
            <w:pPr>
              <w:spacing w:before="60" w:after="60"/>
              <w:jc w:val="right"/>
              <w:rPr>
                <w:rFonts w:cstheme="minorHAnsi"/>
                <w:b/>
                <w:color w:val="2E74B5"/>
              </w:rPr>
            </w:pPr>
            <w:r w:rsidRPr="00E603C7">
              <w:rPr>
                <w:rFonts w:cstheme="minorHAnsi"/>
                <w:b/>
                <w:color w:val="2E74B5"/>
              </w:rPr>
              <w:t>88 156 755</w:t>
            </w:r>
          </w:p>
        </w:tc>
        <w:tc>
          <w:tcPr>
            <w:tcW w:w="850" w:type="dxa"/>
            <w:vAlign w:val="center"/>
          </w:tcPr>
          <w:p w14:paraId="69AAE47F" w14:textId="77777777" w:rsidR="00F43FC7" w:rsidRPr="00E603C7" w:rsidRDefault="00F43FC7" w:rsidP="00190991">
            <w:pPr>
              <w:spacing w:before="60" w:after="60"/>
              <w:jc w:val="right"/>
              <w:rPr>
                <w:rFonts w:cstheme="minorHAnsi"/>
                <w:b/>
                <w:color w:val="2E74B5"/>
              </w:rPr>
            </w:pPr>
            <w:r w:rsidRPr="00E603C7">
              <w:rPr>
                <w:rFonts w:cstheme="minorHAnsi"/>
                <w:b/>
                <w:color w:val="2E74B5"/>
              </w:rPr>
              <w:t>95,8</w:t>
            </w:r>
          </w:p>
        </w:tc>
        <w:tc>
          <w:tcPr>
            <w:tcW w:w="880" w:type="dxa"/>
            <w:vAlign w:val="center"/>
          </w:tcPr>
          <w:p w14:paraId="5C0CDA2A" w14:textId="77777777" w:rsidR="00F43FC7" w:rsidRPr="00E603C7" w:rsidRDefault="00F43FC7" w:rsidP="00190991">
            <w:pPr>
              <w:spacing w:before="60" w:after="60"/>
              <w:jc w:val="right"/>
              <w:rPr>
                <w:rFonts w:cstheme="minorHAnsi"/>
                <w:b/>
                <w:color w:val="2E74B5"/>
              </w:rPr>
            </w:pPr>
            <w:r w:rsidRPr="00E603C7">
              <w:rPr>
                <w:rFonts w:cstheme="minorHAnsi"/>
                <w:b/>
                <w:color w:val="2E74B5"/>
              </w:rPr>
              <w:t>94,0</w:t>
            </w:r>
          </w:p>
        </w:tc>
      </w:tr>
      <w:tr w:rsidR="00F43FC7" w:rsidRPr="000C604A" w14:paraId="5894F7FA" w14:textId="77777777" w:rsidTr="00136A61">
        <w:trPr>
          <w:tblHeader/>
        </w:trPr>
        <w:tc>
          <w:tcPr>
            <w:tcW w:w="2694" w:type="dxa"/>
          </w:tcPr>
          <w:p w14:paraId="3488C95B" w14:textId="77777777" w:rsidR="00F43FC7" w:rsidRPr="00C84F09" w:rsidRDefault="00F43FC7" w:rsidP="00190991">
            <w:pPr>
              <w:spacing w:before="60" w:after="60"/>
              <w:rPr>
                <w:rFonts w:cstheme="minorHAnsi"/>
              </w:rPr>
            </w:pPr>
            <w:r w:rsidRPr="00C84F09">
              <w:rPr>
                <w:rFonts w:cstheme="minorHAnsi"/>
              </w:rPr>
              <w:t>dotace pro spol. programy EU a ČR</w:t>
            </w:r>
          </w:p>
        </w:tc>
        <w:tc>
          <w:tcPr>
            <w:tcW w:w="1418" w:type="dxa"/>
            <w:vAlign w:val="center"/>
          </w:tcPr>
          <w:p w14:paraId="7EA16B6A" w14:textId="77777777" w:rsidR="00F43FC7" w:rsidRPr="00C84F09" w:rsidRDefault="00F43FC7" w:rsidP="00190991">
            <w:pPr>
              <w:spacing w:after="60"/>
              <w:jc w:val="right"/>
              <w:rPr>
                <w:rFonts w:cstheme="minorHAnsi"/>
              </w:rPr>
            </w:pPr>
            <w:r w:rsidRPr="00C84F09">
              <w:rPr>
                <w:rFonts w:cstheme="minorHAnsi"/>
              </w:rPr>
              <w:t>42 909 159</w:t>
            </w:r>
          </w:p>
        </w:tc>
        <w:tc>
          <w:tcPr>
            <w:tcW w:w="1417" w:type="dxa"/>
            <w:vAlign w:val="center"/>
          </w:tcPr>
          <w:p w14:paraId="11A2CD07" w14:textId="77777777" w:rsidR="00F43FC7" w:rsidRPr="000C604A" w:rsidRDefault="00F43FC7" w:rsidP="00190991">
            <w:pPr>
              <w:spacing w:after="60"/>
              <w:jc w:val="right"/>
              <w:rPr>
                <w:rFonts w:cstheme="minorHAnsi"/>
              </w:rPr>
            </w:pPr>
            <w:r w:rsidRPr="000C604A">
              <w:rPr>
                <w:rFonts w:cstheme="minorHAnsi"/>
              </w:rPr>
              <w:t>27 544 489</w:t>
            </w:r>
          </w:p>
        </w:tc>
        <w:tc>
          <w:tcPr>
            <w:tcW w:w="1417" w:type="dxa"/>
            <w:vAlign w:val="center"/>
          </w:tcPr>
          <w:p w14:paraId="2DA0416A" w14:textId="77777777" w:rsidR="00F43FC7" w:rsidRPr="000C604A" w:rsidRDefault="00F43FC7" w:rsidP="00190991">
            <w:pPr>
              <w:spacing w:after="60"/>
              <w:jc w:val="right"/>
              <w:rPr>
                <w:rFonts w:cstheme="minorHAnsi"/>
              </w:rPr>
            </w:pPr>
            <w:r w:rsidRPr="000C604A">
              <w:rPr>
                <w:rFonts w:cstheme="minorHAnsi"/>
              </w:rPr>
              <w:t>28 061 999</w:t>
            </w:r>
          </w:p>
        </w:tc>
        <w:tc>
          <w:tcPr>
            <w:tcW w:w="1419" w:type="dxa"/>
            <w:vAlign w:val="center"/>
          </w:tcPr>
          <w:p w14:paraId="77FA3800" w14:textId="77777777" w:rsidR="00F43FC7" w:rsidRPr="000C604A" w:rsidRDefault="00F43FC7" w:rsidP="00190991">
            <w:pPr>
              <w:spacing w:after="60"/>
              <w:jc w:val="right"/>
              <w:rPr>
                <w:rFonts w:cstheme="minorHAnsi"/>
              </w:rPr>
            </w:pPr>
            <w:r w:rsidRPr="000C604A">
              <w:rPr>
                <w:rFonts w:cstheme="minorHAnsi"/>
              </w:rPr>
              <w:t>23 803 750</w:t>
            </w:r>
          </w:p>
        </w:tc>
        <w:tc>
          <w:tcPr>
            <w:tcW w:w="850" w:type="dxa"/>
            <w:vAlign w:val="center"/>
          </w:tcPr>
          <w:p w14:paraId="5543568E" w14:textId="77777777" w:rsidR="00F43FC7" w:rsidRPr="000C604A" w:rsidRDefault="00F43FC7" w:rsidP="00190991">
            <w:pPr>
              <w:spacing w:after="60"/>
              <w:jc w:val="right"/>
              <w:rPr>
                <w:rFonts w:cstheme="minorHAnsi"/>
              </w:rPr>
            </w:pPr>
            <w:r w:rsidRPr="000C604A">
              <w:rPr>
                <w:rFonts w:cstheme="minorHAnsi"/>
              </w:rPr>
              <w:t>84,8</w:t>
            </w:r>
          </w:p>
        </w:tc>
        <w:tc>
          <w:tcPr>
            <w:tcW w:w="880" w:type="dxa"/>
            <w:vAlign w:val="center"/>
          </w:tcPr>
          <w:p w14:paraId="135C577C" w14:textId="77777777" w:rsidR="00F43FC7" w:rsidRPr="000C604A" w:rsidRDefault="00F43FC7" w:rsidP="00190991">
            <w:pPr>
              <w:spacing w:after="60"/>
              <w:jc w:val="right"/>
              <w:rPr>
                <w:rFonts w:cstheme="minorHAnsi"/>
              </w:rPr>
            </w:pPr>
            <w:r w:rsidRPr="000C604A">
              <w:rPr>
                <w:rFonts w:cstheme="minorHAnsi"/>
              </w:rPr>
              <w:t>55,5</w:t>
            </w:r>
          </w:p>
        </w:tc>
      </w:tr>
      <w:tr w:rsidR="00F43FC7" w:rsidRPr="00073FCF" w14:paraId="124DFA82" w14:textId="77777777" w:rsidTr="00136A61">
        <w:trPr>
          <w:tblHeader/>
        </w:trPr>
        <w:tc>
          <w:tcPr>
            <w:tcW w:w="2694" w:type="dxa"/>
          </w:tcPr>
          <w:p w14:paraId="65FA1A0B" w14:textId="77777777" w:rsidR="00F43FC7" w:rsidRPr="00C84F09" w:rsidRDefault="00F43FC7" w:rsidP="00190991">
            <w:pPr>
              <w:spacing w:before="60" w:after="60"/>
              <w:ind w:firstLine="32"/>
              <w:rPr>
                <w:rFonts w:cstheme="minorHAnsi"/>
              </w:rPr>
            </w:pPr>
            <w:r w:rsidRPr="00C84F09">
              <w:rPr>
                <w:rFonts w:cstheme="minorHAnsi"/>
              </w:rPr>
              <w:t>ostatní dotace pro SFDI</w:t>
            </w:r>
          </w:p>
        </w:tc>
        <w:tc>
          <w:tcPr>
            <w:tcW w:w="1418" w:type="dxa"/>
            <w:vAlign w:val="center"/>
          </w:tcPr>
          <w:p w14:paraId="46C60B3C" w14:textId="77777777" w:rsidR="00F43FC7" w:rsidRPr="00C84F09" w:rsidRDefault="00F43FC7" w:rsidP="00190991">
            <w:pPr>
              <w:spacing w:before="60" w:after="60"/>
              <w:jc w:val="right"/>
              <w:rPr>
                <w:rFonts w:cstheme="minorHAnsi"/>
              </w:rPr>
            </w:pPr>
            <w:r w:rsidRPr="00C84F09">
              <w:rPr>
                <w:rFonts w:cstheme="minorHAnsi"/>
              </w:rPr>
              <w:t>50 899 754</w:t>
            </w:r>
          </w:p>
        </w:tc>
        <w:tc>
          <w:tcPr>
            <w:tcW w:w="1417" w:type="dxa"/>
            <w:vAlign w:val="center"/>
          </w:tcPr>
          <w:p w14:paraId="36A9E493" w14:textId="77777777" w:rsidR="00F43FC7" w:rsidRPr="00073FCF" w:rsidRDefault="00F43FC7" w:rsidP="00190991">
            <w:pPr>
              <w:spacing w:before="60" w:after="60"/>
              <w:jc w:val="right"/>
              <w:rPr>
                <w:rFonts w:cstheme="minorHAnsi"/>
              </w:rPr>
            </w:pPr>
            <w:r w:rsidRPr="00073FCF">
              <w:rPr>
                <w:rFonts w:cstheme="minorHAnsi"/>
              </w:rPr>
              <w:t>64 825 000</w:t>
            </w:r>
          </w:p>
        </w:tc>
        <w:tc>
          <w:tcPr>
            <w:tcW w:w="1417" w:type="dxa"/>
            <w:vAlign w:val="center"/>
          </w:tcPr>
          <w:p w14:paraId="2EB2A4D5" w14:textId="77777777" w:rsidR="00F43FC7" w:rsidRPr="00073FCF" w:rsidRDefault="00F43FC7" w:rsidP="00190991">
            <w:pPr>
              <w:spacing w:before="60" w:after="60"/>
              <w:jc w:val="right"/>
              <w:rPr>
                <w:rFonts w:cstheme="minorHAnsi"/>
              </w:rPr>
            </w:pPr>
            <w:r w:rsidRPr="00073FCF">
              <w:rPr>
                <w:rFonts w:cstheme="minorHAnsi"/>
              </w:rPr>
              <w:t>63 925 000</w:t>
            </w:r>
          </w:p>
        </w:tc>
        <w:tc>
          <w:tcPr>
            <w:tcW w:w="1419" w:type="dxa"/>
            <w:vAlign w:val="center"/>
          </w:tcPr>
          <w:p w14:paraId="166A5985" w14:textId="77777777" w:rsidR="00F43FC7" w:rsidRPr="00073FCF" w:rsidRDefault="00F43FC7" w:rsidP="00190991">
            <w:pPr>
              <w:spacing w:before="60" w:after="60"/>
              <w:jc w:val="right"/>
              <w:rPr>
                <w:rFonts w:cstheme="minorHAnsi"/>
              </w:rPr>
            </w:pPr>
            <w:r w:rsidRPr="00073FCF">
              <w:rPr>
                <w:rFonts w:cstheme="minorHAnsi"/>
              </w:rPr>
              <w:t>64 353 005</w:t>
            </w:r>
          </w:p>
        </w:tc>
        <w:tc>
          <w:tcPr>
            <w:tcW w:w="850" w:type="dxa"/>
            <w:vAlign w:val="center"/>
          </w:tcPr>
          <w:p w14:paraId="08F90A81" w14:textId="77777777" w:rsidR="00F43FC7" w:rsidRPr="00073FCF" w:rsidRDefault="00F43FC7" w:rsidP="00190991">
            <w:pPr>
              <w:spacing w:before="60" w:after="60"/>
              <w:jc w:val="right"/>
              <w:rPr>
                <w:rFonts w:cstheme="minorHAnsi"/>
              </w:rPr>
            </w:pPr>
            <w:r w:rsidRPr="00073FCF">
              <w:rPr>
                <w:rFonts w:cstheme="minorHAnsi"/>
              </w:rPr>
              <w:t>100,7</w:t>
            </w:r>
          </w:p>
        </w:tc>
        <w:tc>
          <w:tcPr>
            <w:tcW w:w="880" w:type="dxa"/>
            <w:vAlign w:val="center"/>
          </w:tcPr>
          <w:p w14:paraId="55149967" w14:textId="77777777" w:rsidR="00F43FC7" w:rsidRPr="00073FCF" w:rsidRDefault="00F43FC7" w:rsidP="00190991">
            <w:pPr>
              <w:spacing w:before="60" w:after="60"/>
              <w:jc w:val="right"/>
              <w:rPr>
                <w:rFonts w:cstheme="minorHAnsi"/>
              </w:rPr>
            </w:pPr>
            <w:r w:rsidRPr="00073FCF">
              <w:rPr>
                <w:rFonts w:cstheme="minorHAnsi"/>
              </w:rPr>
              <w:t>126,4</w:t>
            </w:r>
          </w:p>
        </w:tc>
      </w:tr>
      <w:tr w:rsidR="00F43FC7" w:rsidRPr="00E603C7" w14:paraId="48516574" w14:textId="77777777" w:rsidTr="00136A61">
        <w:trPr>
          <w:tblHeader/>
        </w:trPr>
        <w:tc>
          <w:tcPr>
            <w:tcW w:w="2694" w:type="dxa"/>
          </w:tcPr>
          <w:p w14:paraId="54900AE4" w14:textId="77777777" w:rsidR="00F43FC7" w:rsidRPr="00E603C7" w:rsidRDefault="00F43FC7" w:rsidP="00190991">
            <w:pPr>
              <w:spacing w:before="60" w:after="60"/>
              <w:rPr>
                <w:rFonts w:cstheme="minorHAnsi"/>
                <w:b/>
                <w:color w:val="2E74B5"/>
              </w:rPr>
            </w:pPr>
            <w:r w:rsidRPr="00E603C7">
              <w:rPr>
                <w:rFonts w:cstheme="minorHAnsi"/>
                <w:b/>
                <w:color w:val="2E74B5"/>
              </w:rPr>
              <w:t xml:space="preserve">Ostatní výdaje spojené s dopravní politikou státu </w:t>
            </w:r>
          </w:p>
        </w:tc>
        <w:tc>
          <w:tcPr>
            <w:tcW w:w="1418" w:type="dxa"/>
            <w:vAlign w:val="center"/>
          </w:tcPr>
          <w:p w14:paraId="34FEB97A" w14:textId="77777777" w:rsidR="00F43FC7" w:rsidRPr="00E603C7" w:rsidRDefault="00F43FC7" w:rsidP="00190991">
            <w:pPr>
              <w:spacing w:after="60"/>
              <w:jc w:val="right"/>
              <w:rPr>
                <w:rFonts w:cstheme="minorHAnsi"/>
                <w:b/>
                <w:color w:val="2E74B5"/>
              </w:rPr>
            </w:pPr>
            <w:r w:rsidRPr="00E603C7">
              <w:rPr>
                <w:rFonts w:cstheme="minorHAnsi"/>
                <w:b/>
                <w:color w:val="2E74B5"/>
              </w:rPr>
              <w:t>8 473 478</w:t>
            </w:r>
          </w:p>
        </w:tc>
        <w:tc>
          <w:tcPr>
            <w:tcW w:w="1417" w:type="dxa"/>
            <w:vAlign w:val="center"/>
          </w:tcPr>
          <w:p w14:paraId="2B1E3F55" w14:textId="77777777" w:rsidR="00F43FC7" w:rsidRPr="00E603C7" w:rsidRDefault="00F43FC7" w:rsidP="00190991">
            <w:pPr>
              <w:spacing w:after="60"/>
              <w:jc w:val="right"/>
              <w:rPr>
                <w:rFonts w:cstheme="minorHAnsi"/>
                <w:b/>
                <w:color w:val="2E74B5"/>
              </w:rPr>
            </w:pPr>
            <w:r w:rsidRPr="00E603C7">
              <w:rPr>
                <w:rFonts w:cstheme="minorHAnsi"/>
                <w:b/>
                <w:color w:val="2E74B5"/>
              </w:rPr>
              <w:t>9 484 338</w:t>
            </w:r>
          </w:p>
        </w:tc>
        <w:tc>
          <w:tcPr>
            <w:tcW w:w="1417" w:type="dxa"/>
            <w:vAlign w:val="center"/>
          </w:tcPr>
          <w:p w14:paraId="42707AB1" w14:textId="77777777" w:rsidR="00F43FC7" w:rsidRPr="00E603C7" w:rsidRDefault="00F43FC7" w:rsidP="00190991">
            <w:pPr>
              <w:spacing w:after="60"/>
              <w:jc w:val="right"/>
              <w:rPr>
                <w:rFonts w:cstheme="minorHAnsi"/>
                <w:b/>
                <w:color w:val="2E74B5"/>
              </w:rPr>
            </w:pPr>
            <w:r w:rsidRPr="00E603C7">
              <w:rPr>
                <w:rFonts w:cstheme="minorHAnsi"/>
                <w:b/>
                <w:color w:val="2E74B5"/>
              </w:rPr>
              <w:t>9 910 993</w:t>
            </w:r>
          </w:p>
        </w:tc>
        <w:tc>
          <w:tcPr>
            <w:tcW w:w="1419" w:type="dxa"/>
            <w:vAlign w:val="center"/>
          </w:tcPr>
          <w:p w14:paraId="701FB7D5" w14:textId="77777777" w:rsidR="00F43FC7" w:rsidRPr="00E603C7" w:rsidRDefault="00F43FC7" w:rsidP="00190991">
            <w:pPr>
              <w:spacing w:after="60"/>
              <w:jc w:val="right"/>
              <w:rPr>
                <w:rFonts w:cstheme="minorHAnsi"/>
                <w:b/>
                <w:color w:val="2E74B5"/>
              </w:rPr>
            </w:pPr>
            <w:r w:rsidRPr="00E603C7">
              <w:rPr>
                <w:rFonts w:cstheme="minorHAnsi"/>
                <w:b/>
                <w:color w:val="2E74B5"/>
              </w:rPr>
              <w:t>9 752 448</w:t>
            </w:r>
          </w:p>
        </w:tc>
        <w:tc>
          <w:tcPr>
            <w:tcW w:w="850" w:type="dxa"/>
            <w:vAlign w:val="center"/>
          </w:tcPr>
          <w:p w14:paraId="0BDC56ED" w14:textId="77777777" w:rsidR="00F43FC7" w:rsidRPr="00E603C7" w:rsidRDefault="00F43FC7" w:rsidP="00190991">
            <w:pPr>
              <w:spacing w:after="60"/>
              <w:jc w:val="right"/>
              <w:rPr>
                <w:rFonts w:cstheme="minorHAnsi"/>
                <w:b/>
                <w:color w:val="2E74B5"/>
              </w:rPr>
            </w:pPr>
            <w:r w:rsidRPr="00E603C7">
              <w:rPr>
                <w:rFonts w:cstheme="minorHAnsi"/>
                <w:b/>
                <w:color w:val="2E74B5"/>
              </w:rPr>
              <w:t>98,4</w:t>
            </w:r>
          </w:p>
        </w:tc>
        <w:tc>
          <w:tcPr>
            <w:tcW w:w="880" w:type="dxa"/>
            <w:vAlign w:val="center"/>
          </w:tcPr>
          <w:p w14:paraId="1EFF6EFB" w14:textId="77777777" w:rsidR="00F43FC7" w:rsidRPr="00E603C7" w:rsidRDefault="00F43FC7" w:rsidP="00190991">
            <w:pPr>
              <w:spacing w:after="60"/>
              <w:jc w:val="right"/>
              <w:rPr>
                <w:rFonts w:cstheme="minorHAnsi"/>
                <w:b/>
                <w:color w:val="2E74B5"/>
              </w:rPr>
            </w:pPr>
            <w:r w:rsidRPr="00E603C7">
              <w:rPr>
                <w:rFonts w:cstheme="minorHAnsi"/>
                <w:b/>
                <w:color w:val="2E74B5"/>
              </w:rPr>
              <w:t>115,1</w:t>
            </w:r>
          </w:p>
        </w:tc>
      </w:tr>
      <w:tr w:rsidR="00F43FC7" w:rsidRPr="00E603C7" w14:paraId="21ACBB9F" w14:textId="77777777" w:rsidTr="00136A61">
        <w:trPr>
          <w:tblHeader/>
        </w:trPr>
        <w:tc>
          <w:tcPr>
            <w:tcW w:w="2694" w:type="dxa"/>
            <w:tcBorders>
              <w:bottom w:val="single" w:sz="4" w:space="0" w:color="auto"/>
            </w:tcBorders>
          </w:tcPr>
          <w:p w14:paraId="75ADFDE9" w14:textId="77777777" w:rsidR="00F43FC7" w:rsidRPr="00E603C7" w:rsidRDefault="00F43FC7" w:rsidP="00190991">
            <w:pPr>
              <w:spacing w:before="60" w:after="60"/>
              <w:rPr>
                <w:rFonts w:cstheme="minorHAnsi"/>
                <w:b/>
                <w:color w:val="2E74B5"/>
              </w:rPr>
            </w:pPr>
            <w:r w:rsidRPr="00E603C7">
              <w:rPr>
                <w:rFonts w:cstheme="minorHAnsi"/>
                <w:b/>
                <w:color w:val="2E74B5"/>
              </w:rPr>
              <w:t>Výdaje spojené s výkonem předsednictví ČR v Radě EU</w:t>
            </w:r>
          </w:p>
        </w:tc>
        <w:tc>
          <w:tcPr>
            <w:tcW w:w="1418" w:type="dxa"/>
            <w:tcBorders>
              <w:bottom w:val="single" w:sz="4" w:space="0" w:color="auto"/>
            </w:tcBorders>
            <w:vAlign w:val="center"/>
          </w:tcPr>
          <w:p w14:paraId="2EF2CDA1" w14:textId="77777777" w:rsidR="00F43FC7" w:rsidRPr="00E603C7" w:rsidRDefault="00F43FC7" w:rsidP="00190991">
            <w:pPr>
              <w:spacing w:after="60"/>
              <w:jc w:val="right"/>
              <w:rPr>
                <w:rFonts w:cstheme="minorHAnsi"/>
                <w:b/>
                <w:color w:val="2E74B5"/>
              </w:rPr>
            </w:pPr>
            <w:r w:rsidRPr="00E603C7">
              <w:rPr>
                <w:rFonts w:cstheme="minorHAnsi"/>
                <w:b/>
                <w:color w:val="2E74B5"/>
              </w:rPr>
              <w:t>9 934</w:t>
            </w:r>
          </w:p>
        </w:tc>
        <w:tc>
          <w:tcPr>
            <w:tcW w:w="1417" w:type="dxa"/>
            <w:tcBorders>
              <w:bottom w:val="single" w:sz="4" w:space="0" w:color="auto"/>
            </w:tcBorders>
            <w:vAlign w:val="center"/>
          </w:tcPr>
          <w:p w14:paraId="33C7683D" w14:textId="77777777" w:rsidR="00F43FC7" w:rsidRPr="00E603C7" w:rsidRDefault="00F43FC7" w:rsidP="00190991">
            <w:pPr>
              <w:spacing w:after="60"/>
              <w:jc w:val="right"/>
              <w:rPr>
                <w:rFonts w:cstheme="minorHAnsi"/>
                <w:b/>
                <w:color w:val="2E74B5"/>
              </w:rPr>
            </w:pPr>
            <w:r w:rsidRPr="00E603C7">
              <w:rPr>
                <w:rFonts w:cstheme="minorHAnsi"/>
                <w:b/>
                <w:color w:val="2E74B5"/>
              </w:rPr>
              <w:t>3 152</w:t>
            </w:r>
          </w:p>
        </w:tc>
        <w:tc>
          <w:tcPr>
            <w:tcW w:w="1417" w:type="dxa"/>
            <w:tcBorders>
              <w:bottom w:val="single" w:sz="4" w:space="0" w:color="auto"/>
            </w:tcBorders>
            <w:vAlign w:val="center"/>
          </w:tcPr>
          <w:p w14:paraId="03F6C255" w14:textId="77777777" w:rsidR="00F43FC7" w:rsidRPr="00E603C7" w:rsidRDefault="00F43FC7" w:rsidP="00190991">
            <w:pPr>
              <w:spacing w:after="60"/>
              <w:jc w:val="right"/>
              <w:rPr>
                <w:rFonts w:cstheme="minorHAnsi"/>
                <w:b/>
                <w:color w:val="2E74B5"/>
              </w:rPr>
            </w:pPr>
            <w:r w:rsidRPr="00E603C7">
              <w:rPr>
                <w:rFonts w:cstheme="minorHAnsi"/>
                <w:b/>
                <w:color w:val="2E74B5"/>
              </w:rPr>
              <w:t>7 663</w:t>
            </w:r>
          </w:p>
        </w:tc>
        <w:tc>
          <w:tcPr>
            <w:tcW w:w="1419" w:type="dxa"/>
            <w:tcBorders>
              <w:bottom w:val="single" w:sz="4" w:space="0" w:color="auto"/>
            </w:tcBorders>
            <w:vAlign w:val="center"/>
          </w:tcPr>
          <w:p w14:paraId="2C89E603" w14:textId="77777777" w:rsidR="00F43FC7" w:rsidRPr="00E603C7" w:rsidRDefault="00F43FC7" w:rsidP="00190991">
            <w:pPr>
              <w:spacing w:after="60"/>
              <w:jc w:val="right"/>
              <w:rPr>
                <w:rFonts w:cstheme="minorHAnsi"/>
                <w:b/>
                <w:color w:val="2E74B5"/>
              </w:rPr>
            </w:pPr>
            <w:r w:rsidRPr="00E603C7">
              <w:rPr>
                <w:rFonts w:cstheme="minorHAnsi"/>
                <w:b/>
                <w:color w:val="2E74B5"/>
              </w:rPr>
              <w:t>5 434</w:t>
            </w:r>
          </w:p>
        </w:tc>
        <w:tc>
          <w:tcPr>
            <w:tcW w:w="850" w:type="dxa"/>
            <w:tcBorders>
              <w:bottom w:val="single" w:sz="4" w:space="0" w:color="auto"/>
            </w:tcBorders>
            <w:vAlign w:val="center"/>
          </w:tcPr>
          <w:p w14:paraId="4149BE3B" w14:textId="77777777" w:rsidR="00F43FC7" w:rsidRPr="00E603C7" w:rsidRDefault="00F43FC7" w:rsidP="00190991">
            <w:pPr>
              <w:spacing w:after="60"/>
              <w:jc w:val="right"/>
              <w:rPr>
                <w:rFonts w:cstheme="minorHAnsi"/>
                <w:b/>
                <w:color w:val="2E74B5"/>
              </w:rPr>
            </w:pPr>
            <w:r w:rsidRPr="00E603C7">
              <w:rPr>
                <w:rFonts w:cstheme="minorHAnsi"/>
                <w:b/>
                <w:color w:val="2E74B5"/>
              </w:rPr>
              <w:t>70,9</w:t>
            </w:r>
          </w:p>
        </w:tc>
        <w:tc>
          <w:tcPr>
            <w:tcW w:w="880" w:type="dxa"/>
            <w:tcBorders>
              <w:bottom w:val="single" w:sz="4" w:space="0" w:color="auto"/>
            </w:tcBorders>
            <w:vAlign w:val="center"/>
          </w:tcPr>
          <w:p w14:paraId="4513BFAA" w14:textId="77777777" w:rsidR="00F43FC7" w:rsidRPr="00E603C7" w:rsidRDefault="00F43FC7" w:rsidP="00190991">
            <w:pPr>
              <w:spacing w:after="60"/>
              <w:jc w:val="right"/>
              <w:rPr>
                <w:rFonts w:cstheme="minorHAnsi"/>
                <w:b/>
                <w:color w:val="2E74B5"/>
              </w:rPr>
            </w:pPr>
            <w:r w:rsidRPr="00E603C7">
              <w:rPr>
                <w:rFonts w:cstheme="minorHAnsi"/>
                <w:b/>
                <w:color w:val="2E74B5"/>
              </w:rPr>
              <w:t>54,7</w:t>
            </w:r>
          </w:p>
        </w:tc>
      </w:tr>
      <w:tr w:rsidR="00F43FC7" w:rsidRPr="00C030D6" w14:paraId="3ED47782" w14:textId="77777777" w:rsidTr="00136A61">
        <w:trPr>
          <w:tblHeader/>
        </w:trPr>
        <w:tc>
          <w:tcPr>
            <w:tcW w:w="2694" w:type="dxa"/>
            <w:shd w:val="pct12" w:color="auto" w:fill="auto"/>
          </w:tcPr>
          <w:p w14:paraId="7AA67496" w14:textId="77777777" w:rsidR="00F43FC7" w:rsidRPr="00C84F09" w:rsidRDefault="00F43FC7" w:rsidP="00190991">
            <w:pPr>
              <w:spacing w:before="60" w:after="60"/>
              <w:rPr>
                <w:rFonts w:cstheme="minorHAnsi"/>
                <w:b/>
              </w:rPr>
            </w:pPr>
            <w:r w:rsidRPr="00C84F09">
              <w:rPr>
                <w:rFonts w:cstheme="minorHAnsi"/>
                <w:b/>
              </w:rPr>
              <w:t>Výdaje kapitoly celkem</w:t>
            </w:r>
          </w:p>
        </w:tc>
        <w:tc>
          <w:tcPr>
            <w:tcW w:w="1418" w:type="dxa"/>
            <w:shd w:val="pct12" w:color="auto" w:fill="auto"/>
            <w:vAlign w:val="center"/>
          </w:tcPr>
          <w:p w14:paraId="5ED396AD" w14:textId="77777777" w:rsidR="00F43FC7" w:rsidRPr="00C84F09" w:rsidRDefault="00F43FC7" w:rsidP="00190991">
            <w:pPr>
              <w:spacing w:after="60"/>
              <w:jc w:val="right"/>
              <w:rPr>
                <w:rFonts w:cstheme="minorHAnsi"/>
                <w:b/>
              </w:rPr>
            </w:pPr>
            <w:r w:rsidRPr="00C84F09">
              <w:rPr>
                <w:rFonts w:cstheme="minorHAnsi"/>
                <w:b/>
              </w:rPr>
              <w:t>111 949 214</w:t>
            </w:r>
          </w:p>
        </w:tc>
        <w:tc>
          <w:tcPr>
            <w:tcW w:w="1417" w:type="dxa"/>
            <w:shd w:val="pct12" w:color="auto" w:fill="auto"/>
            <w:vAlign w:val="center"/>
          </w:tcPr>
          <w:p w14:paraId="7648522C" w14:textId="77777777" w:rsidR="00F43FC7" w:rsidRPr="00C030D6" w:rsidRDefault="00F43FC7" w:rsidP="00190991">
            <w:pPr>
              <w:spacing w:after="60"/>
              <w:jc w:val="right"/>
              <w:rPr>
                <w:rFonts w:cstheme="minorHAnsi"/>
                <w:b/>
              </w:rPr>
            </w:pPr>
            <w:r w:rsidRPr="00C030D6">
              <w:rPr>
                <w:rFonts w:cstheme="minorHAnsi"/>
                <w:b/>
              </w:rPr>
              <w:t>112 700 867</w:t>
            </w:r>
          </w:p>
        </w:tc>
        <w:tc>
          <w:tcPr>
            <w:tcW w:w="1417" w:type="dxa"/>
            <w:shd w:val="pct12" w:color="auto" w:fill="auto"/>
            <w:vAlign w:val="center"/>
          </w:tcPr>
          <w:p w14:paraId="4F854E54" w14:textId="77777777" w:rsidR="00F43FC7" w:rsidRPr="00C030D6" w:rsidRDefault="00F43FC7" w:rsidP="00190991">
            <w:pPr>
              <w:spacing w:after="60"/>
              <w:jc w:val="right"/>
              <w:rPr>
                <w:rFonts w:cstheme="minorHAnsi"/>
                <w:b/>
              </w:rPr>
            </w:pPr>
            <w:r w:rsidRPr="00C030D6">
              <w:rPr>
                <w:rFonts w:cstheme="minorHAnsi"/>
                <w:b/>
              </w:rPr>
              <w:t>112 749 544</w:t>
            </w:r>
          </w:p>
        </w:tc>
        <w:tc>
          <w:tcPr>
            <w:tcW w:w="1419" w:type="dxa"/>
            <w:shd w:val="pct12" w:color="auto" w:fill="auto"/>
            <w:vAlign w:val="center"/>
          </w:tcPr>
          <w:p w14:paraId="481ADF88" w14:textId="77777777" w:rsidR="00F43FC7" w:rsidRPr="00C030D6" w:rsidRDefault="00F43FC7" w:rsidP="00190991">
            <w:pPr>
              <w:spacing w:after="60"/>
              <w:jc w:val="right"/>
              <w:rPr>
                <w:rFonts w:cstheme="minorHAnsi"/>
                <w:b/>
              </w:rPr>
            </w:pPr>
            <w:r w:rsidRPr="00C030D6">
              <w:rPr>
                <w:rFonts w:cstheme="minorHAnsi"/>
                <w:b/>
              </w:rPr>
              <w:t>111 337 148</w:t>
            </w:r>
          </w:p>
        </w:tc>
        <w:tc>
          <w:tcPr>
            <w:tcW w:w="850" w:type="dxa"/>
            <w:shd w:val="pct12" w:color="auto" w:fill="auto"/>
            <w:vAlign w:val="center"/>
          </w:tcPr>
          <w:p w14:paraId="49FE3747" w14:textId="77777777" w:rsidR="00F43FC7" w:rsidRPr="00C030D6" w:rsidRDefault="00F43FC7" w:rsidP="00190991">
            <w:pPr>
              <w:spacing w:after="60"/>
              <w:jc w:val="right"/>
              <w:rPr>
                <w:rFonts w:cstheme="minorHAnsi"/>
                <w:b/>
              </w:rPr>
            </w:pPr>
            <w:r w:rsidRPr="00C030D6">
              <w:rPr>
                <w:rFonts w:cstheme="minorHAnsi"/>
                <w:b/>
              </w:rPr>
              <w:t>98,</w:t>
            </w:r>
            <w:r>
              <w:rPr>
                <w:rFonts w:cstheme="minorHAnsi"/>
                <w:b/>
              </w:rPr>
              <w:t>7</w:t>
            </w:r>
          </w:p>
        </w:tc>
        <w:tc>
          <w:tcPr>
            <w:tcW w:w="880" w:type="dxa"/>
            <w:shd w:val="pct12" w:color="auto" w:fill="auto"/>
            <w:vAlign w:val="center"/>
          </w:tcPr>
          <w:p w14:paraId="389B7496" w14:textId="77777777" w:rsidR="00F43FC7" w:rsidRPr="00C030D6" w:rsidRDefault="00F43FC7" w:rsidP="00190991">
            <w:pPr>
              <w:spacing w:after="60"/>
              <w:jc w:val="right"/>
              <w:rPr>
                <w:rFonts w:cstheme="minorHAnsi"/>
                <w:b/>
              </w:rPr>
            </w:pPr>
            <w:r w:rsidRPr="00C030D6">
              <w:rPr>
                <w:rFonts w:cstheme="minorHAnsi"/>
                <w:b/>
              </w:rPr>
              <w:t>99,5</w:t>
            </w:r>
          </w:p>
        </w:tc>
      </w:tr>
    </w:tbl>
    <w:bookmarkEnd w:id="73"/>
    <w:bookmarkEnd w:id="74"/>
    <w:p w14:paraId="7A85EF7A" w14:textId="40ECDE09" w:rsidR="00D03E26" w:rsidRPr="00E57752" w:rsidRDefault="00D03E26" w:rsidP="00D03E26">
      <w:pPr>
        <w:pStyle w:val="KOMtext"/>
        <w:rPr>
          <w:color w:val="FF0000"/>
        </w:rPr>
      </w:pPr>
      <w:r w:rsidRPr="00036BBF">
        <w:t>Z přehledu plnění závazných ukazatelů kapitoly vyplývá, že celkové výdaje byly čerpány ve výši 98,</w:t>
      </w:r>
      <w:r>
        <w:t>7</w:t>
      </w:r>
      <w:r w:rsidRPr="00036BBF">
        <w:t xml:space="preserve"> % rozpočtu po změnách. V porovnání se skutečností roku 2022 došlo k nepatrně nižšímu čerpání výdajů kapitoly 327 MD o 0,5 %, v absolutní výši o 612 066 tis. Kč. Důvodem bylo zejména nižší čerpání dotace SFDI ve výši 5 652 158 tis. Kč a vyšší čerpání část</w:t>
      </w:r>
      <w:r>
        <w:t>e</w:t>
      </w:r>
      <w:r w:rsidRPr="00036BBF">
        <w:t xml:space="preserve">k na pořízení </w:t>
      </w:r>
      <w:r w:rsidRPr="00036BBF">
        <w:br/>
        <w:t xml:space="preserve">a modernizaci železničních kolejových vozidel ve výši 3 300 282 tis. Kč, </w:t>
      </w:r>
      <w:r>
        <w:t xml:space="preserve">na výdaje příspěvkových organizací ve výši 1 267 929 tis. Kč a </w:t>
      </w:r>
      <w:r w:rsidRPr="00036BBF">
        <w:t>na úhradu ztráty ze závazku veřejné služby ve veřejné drážní osobní dopravě ve výši 845 649 tis. K</w:t>
      </w:r>
      <w:r>
        <w:t>č.</w:t>
      </w:r>
    </w:p>
    <w:p w14:paraId="1A5FFDC9" w14:textId="740D59BF" w:rsidR="00041405" w:rsidRPr="006B6D61" w:rsidRDefault="00041405" w:rsidP="00E20BD6">
      <w:pPr>
        <w:pStyle w:val="KOMnadp3"/>
      </w:pPr>
      <w:bookmarkStart w:id="75" w:name="_Toc128397653"/>
      <w:bookmarkStart w:id="76" w:name="_Toc128397786"/>
      <w:bookmarkStart w:id="77" w:name="_Toc128398009"/>
      <w:bookmarkStart w:id="78" w:name="_Toc128398352"/>
      <w:bookmarkStart w:id="79" w:name="_Toc128398478"/>
      <w:bookmarkStart w:id="80" w:name="_Toc128398692"/>
      <w:bookmarkStart w:id="81" w:name="_Toc128400008"/>
      <w:bookmarkStart w:id="82" w:name="_Toc128401248"/>
      <w:bookmarkStart w:id="83" w:name="_Toc128401376"/>
      <w:bookmarkStart w:id="84" w:name="_Toc128401863"/>
      <w:bookmarkStart w:id="85" w:name="_Toc128400009"/>
      <w:bookmarkStart w:id="86" w:name="_Toc162269240"/>
      <w:bookmarkEnd w:id="75"/>
      <w:bookmarkEnd w:id="76"/>
      <w:bookmarkEnd w:id="77"/>
      <w:bookmarkEnd w:id="78"/>
      <w:bookmarkEnd w:id="79"/>
      <w:bookmarkEnd w:id="80"/>
      <w:bookmarkEnd w:id="81"/>
      <w:bookmarkEnd w:id="82"/>
      <w:bookmarkEnd w:id="83"/>
      <w:bookmarkEnd w:id="84"/>
      <w:r w:rsidRPr="006B6D61">
        <w:t>Drážní a kombinovaná doprava</w:t>
      </w:r>
      <w:bookmarkEnd w:id="85"/>
      <w:bookmarkEnd w:id="86"/>
    </w:p>
    <w:p w14:paraId="1D75CE7B" w14:textId="511FE916" w:rsidR="00493028" w:rsidRPr="002D4B88" w:rsidRDefault="00493028" w:rsidP="00493028">
      <w:pPr>
        <w:pStyle w:val="KOMtext"/>
        <w:rPr>
          <w:szCs w:val="24"/>
        </w:rPr>
      </w:pPr>
      <w:r w:rsidRPr="002D4B88">
        <w:rPr>
          <w:szCs w:val="24"/>
        </w:rPr>
        <w:t xml:space="preserve">Výdajový blok je zaměřen na financování potřeb týkajících se drážní a kombinované dopravy. V roce 2023 bylo na tento výdajový blok rozpočtováno celkem 10 843 888 tis. Kč, v průběhu roku nedošlo k jeho změně. Skutečné čerpání bylo ve výši </w:t>
      </w:r>
      <w:r w:rsidRPr="002D4B88">
        <w:rPr>
          <w:b/>
          <w:szCs w:val="24"/>
        </w:rPr>
        <w:t>13 422 512 tis. Kč,</w:t>
      </w:r>
      <w:r w:rsidRPr="002D4B88">
        <w:rPr>
          <w:szCs w:val="24"/>
        </w:rPr>
        <w:t xml:space="preserve"> tj. 12,1 % souhrnného ukazatele výdaje celkem. Skutečné čerpání výdajového bloku se dělí na </w:t>
      </w:r>
      <w:r>
        <w:rPr>
          <w:szCs w:val="24"/>
        </w:rPr>
        <w:t>dva</w:t>
      </w:r>
      <w:r w:rsidRPr="002D4B88">
        <w:rPr>
          <w:szCs w:val="24"/>
        </w:rPr>
        <w:t xml:space="preserve"> výdajové okruhy:</w:t>
      </w:r>
    </w:p>
    <w:p w14:paraId="4B7EF83C" w14:textId="77777777" w:rsidR="00493028" w:rsidRPr="00E603C7" w:rsidRDefault="00493028" w:rsidP="008A0E44">
      <w:pPr>
        <w:pStyle w:val="KOMnadp4"/>
      </w:pPr>
      <w:r w:rsidRPr="00E603C7">
        <w:t xml:space="preserve">Úhrada ztráty ze závazku veřejné služby ve veřejné drážní osobní dopravě </w:t>
      </w:r>
    </w:p>
    <w:p w14:paraId="6105EE6F" w14:textId="77777777" w:rsidR="00493028" w:rsidRPr="006256EA" w:rsidRDefault="00493028" w:rsidP="00493028">
      <w:pPr>
        <w:pStyle w:val="KOMtext"/>
      </w:pPr>
      <w:r w:rsidRPr="006256EA">
        <w:t xml:space="preserve">Rozpočet byl schválen ve výši 10 827 355 tis. Kč, který v průběhu roku nebyl změněn. Celkové čerpání dosáhlo částky </w:t>
      </w:r>
      <w:r w:rsidRPr="006256EA">
        <w:rPr>
          <w:b/>
        </w:rPr>
        <w:t>9 576 508 tis. Kč</w:t>
      </w:r>
      <w:r w:rsidRPr="006256EA">
        <w:t xml:space="preserve">, tj. 88,4 % schváleného rozpočtu. </w:t>
      </w:r>
    </w:p>
    <w:p w14:paraId="3B9913F5" w14:textId="77777777" w:rsidR="00493028" w:rsidRPr="00E603C7" w:rsidRDefault="00493028" w:rsidP="008A0E44">
      <w:pPr>
        <w:pStyle w:val="KOMnadp4"/>
      </w:pPr>
      <w:r w:rsidRPr="00E603C7">
        <w:lastRenderedPageBreak/>
        <w:t xml:space="preserve">Ostatní výdaje spojené s drážní dopravou </w:t>
      </w:r>
    </w:p>
    <w:p w14:paraId="7A9F6C9A" w14:textId="77777777" w:rsidR="00493028" w:rsidRPr="006256EA" w:rsidRDefault="00493028" w:rsidP="00493028">
      <w:pPr>
        <w:pStyle w:val="KOMtext"/>
        <w:spacing w:before="60" w:after="120"/>
      </w:pPr>
      <w:r w:rsidRPr="006256EA">
        <w:t xml:space="preserve">Rozpočet byl schválen ve výši 16 533 tis. Kč a v průběhu roku nebyl upravován. Celkem bylo čerpáno </w:t>
      </w:r>
      <w:r w:rsidRPr="006256EA">
        <w:rPr>
          <w:b/>
        </w:rPr>
        <w:t>3 846 003 tis. Kč,</w:t>
      </w:r>
      <w:r w:rsidRPr="006256EA">
        <w:t xml:space="preserve"> tj. 23 262,6 % schváleného rozpočtu; z toho: nároky </w:t>
      </w:r>
      <w:r>
        <w:br/>
      </w:r>
      <w:r w:rsidRPr="006256EA">
        <w:t xml:space="preserve">3 839 476 tis. Kč, prostředky EU 3 741 841 tis. Kč. </w:t>
      </w:r>
    </w:p>
    <w:p w14:paraId="51163E8A" w14:textId="77777777" w:rsidR="00493028" w:rsidRPr="00892056" w:rsidRDefault="00493028" w:rsidP="00493028">
      <w:pPr>
        <w:pStyle w:val="KOMtext"/>
        <w:spacing w:before="120"/>
        <w:ind w:left="284" w:hanging="284"/>
        <w:rPr>
          <w:b/>
        </w:rPr>
      </w:pPr>
      <w:r w:rsidRPr="00892056">
        <w:rPr>
          <w:b/>
        </w:rPr>
        <w:t xml:space="preserve">Členění ukazatele podle zdroje financování: </w:t>
      </w:r>
    </w:p>
    <w:p w14:paraId="5D6A11DE" w14:textId="77777777" w:rsidR="00493028" w:rsidRPr="00892056" w:rsidRDefault="00493028" w:rsidP="00493028">
      <w:pPr>
        <w:pStyle w:val="KOMtext"/>
        <w:numPr>
          <w:ilvl w:val="0"/>
          <w:numId w:val="13"/>
        </w:numPr>
        <w:ind w:left="709" w:hanging="425"/>
      </w:pPr>
      <w:r w:rsidRPr="00892056">
        <w:t>financované z prostředků státního rozpočtu (9 680 670 tis. Kč)</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5"/>
        <w:gridCol w:w="1984"/>
      </w:tblGrid>
      <w:tr w:rsidR="00493028" w:rsidRPr="00473066" w14:paraId="5FE55401" w14:textId="77777777" w:rsidTr="00190991">
        <w:trPr>
          <w:tblHeader/>
        </w:trPr>
        <w:tc>
          <w:tcPr>
            <w:tcW w:w="7225" w:type="dxa"/>
            <w:tcBorders>
              <w:bottom w:val="single" w:sz="4" w:space="0" w:color="auto"/>
            </w:tcBorders>
            <w:shd w:val="pct15" w:color="auto" w:fill="FFFFFF"/>
          </w:tcPr>
          <w:p w14:paraId="493C5467" w14:textId="77777777" w:rsidR="00493028" w:rsidRPr="00640451" w:rsidRDefault="00493028" w:rsidP="00190991">
            <w:pPr>
              <w:spacing w:before="60" w:after="60"/>
              <w:rPr>
                <w:rFonts w:cstheme="minorHAnsi"/>
                <w:b/>
                <w:color w:val="2E74B5"/>
              </w:rPr>
            </w:pPr>
            <w:r w:rsidRPr="00640451">
              <w:rPr>
                <w:rFonts w:cstheme="minorHAnsi"/>
                <w:b/>
                <w:color w:val="2E74B5"/>
              </w:rPr>
              <w:t xml:space="preserve">Úhrada ztráty ze </w:t>
            </w:r>
            <w:proofErr w:type="spellStart"/>
            <w:r w:rsidRPr="00640451">
              <w:rPr>
                <w:rFonts w:cstheme="minorHAnsi"/>
                <w:b/>
                <w:color w:val="2E74B5"/>
              </w:rPr>
              <w:t>záv</w:t>
            </w:r>
            <w:proofErr w:type="spellEnd"/>
            <w:r w:rsidRPr="00640451">
              <w:rPr>
                <w:rFonts w:cstheme="minorHAnsi"/>
                <w:b/>
                <w:color w:val="2E74B5"/>
              </w:rPr>
              <w:t xml:space="preserve">. veř. služby ve veř. drážní os. </w:t>
            </w:r>
            <w:proofErr w:type="spellStart"/>
            <w:r w:rsidRPr="00640451">
              <w:rPr>
                <w:rFonts w:cstheme="minorHAnsi"/>
                <w:b/>
                <w:color w:val="2E74B5"/>
              </w:rPr>
              <w:t>dopr</w:t>
            </w:r>
            <w:proofErr w:type="spellEnd"/>
            <w:r w:rsidRPr="00640451">
              <w:rPr>
                <w:rFonts w:cstheme="minorHAnsi"/>
                <w:b/>
                <w:color w:val="2E74B5"/>
              </w:rPr>
              <w:t xml:space="preserve">. </w:t>
            </w:r>
            <w:r w:rsidRPr="00640451">
              <w:rPr>
                <w:rFonts w:cstheme="minorHAnsi"/>
                <w:color w:val="2E74B5"/>
              </w:rPr>
              <w:t>(v tom:)</w:t>
            </w:r>
          </w:p>
        </w:tc>
        <w:tc>
          <w:tcPr>
            <w:tcW w:w="1984" w:type="dxa"/>
            <w:tcBorders>
              <w:bottom w:val="single" w:sz="4" w:space="0" w:color="auto"/>
            </w:tcBorders>
            <w:shd w:val="pct15" w:color="auto" w:fill="FFFFFF"/>
          </w:tcPr>
          <w:p w14:paraId="2A7EDCB2" w14:textId="77777777" w:rsidR="00493028" w:rsidRPr="00640451" w:rsidRDefault="00493028" w:rsidP="00190991">
            <w:pPr>
              <w:spacing w:before="60" w:after="60"/>
              <w:jc w:val="right"/>
              <w:rPr>
                <w:rFonts w:cstheme="minorHAnsi"/>
                <w:b/>
                <w:color w:val="2E74B5"/>
              </w:rPr>
            </w:pPr>
            <w:r w:rsidRPr="00640451">
              <w:rPr>
                <w:rFonts w:cstheme="minorHAnsi"/>
                <w:b/>
                <w:color w:val="2E74B5"/>
              </w:rPr>
              <w:t>9 576 508 tis. Kč</w:t>
            </w:r>
          </w:p>
        </w:tc>
      </w:tr>
      <w:tr w:rsidR="00493028" w:rsidRPr="00473066" w14:paraId="251CBDBF" w14:textId="77777777" w:rsidTr="00190991">
        <w:trPr>
          <w:tblHeader/>
        </w:trPr>
        <w:tc>
          <w:tcPr>
            <w:tcW w:w="7225" w:type="dxa"/>
            <w:tcBorders>
              <w:bottom w:val="nil"/>
            </w:tcBorders>
            <w:shd w:val="clear" w:color="auto" w:fill="FFFFFF"/>
          </w:tcPr>
          <w:p w14:paraId="7BD4A52B" w14:textId="77777777" w:rsidR="00493028" w:rsidRPr="00F53723" w:rsidRDefault="00493028" w:rsidP="00190991">
            <w:pPr>
              <w:spacing w:before="60" w:after="60" w:line="240" w:lineRule="auto"/>
              <w:rPr>
                <w:rFonts w:cstheme="minorHAnsi"/>
                <w:b/>
              </w:rPr>
            </w:pPr>
            <w:r w:rsidRPr="00F53723">
              <w:rPr>
                <w:rFonts w:cstheme="minorHAnsi"/>
              </w:rPr>
              <w:t xml:space="preserve">Financování smlouvy o závazku veř. služby na zajištění </w:t>
            </w:r>
            <w:proofErr w:type="spellStart"/>
            <w:r w:rsidRPr="00F53723">
              <w:rPr>
                <w:rFonts w:cstheme="minorHAnsi"/>
              </w:rPr>
              <w:t>dopr</w:t>
            </w:r>
            <w:proofErr w:type="spellEnd"/>
            <w:r w:rsidRPr="00F53723">
              <w:rPr>
                <w:rFonts w:cstheme="minorHAnsi"/>
              </w:rPr>
              <w:t>. potřeb státu zabezpečovaných veř. žel. osobní přepravou</w:t>
            </w:r>
          </w:p>
        </w:tc>
        <w:tc>
          <w:tcPr>
            <w:tcW w:w="1984" w:type="dxa"/>
            <w:tcBorders>
              <w:bottom w:val="nil"/>
            </w:tcBorders>
            <w:shd w:val="clear" w:color="auto" w:fill="FFFFFF"/>
            <w:vAlign w:val="center"/>
          </w:tcPr>
          <w:p w14:paraId="27D157A9" w14:textId="77777777" w:rsidR="00493028" w:rsidRPr="00F53723" w:rsidRDefault="00493028" w:rsidP="00190991">
            <w:pPr>
              <w:spacing w:before="60" w:after="60" w:line="240" w:lineRule="auto"/>
              <w:jc w:val="right"/>
              <w:rPr>
                <w:rFonts w:cstheme="minorHAnsi"/>
              </w:rPr>
            </w:pPr>
            <w:r w:rsidRPr="00F53723">
              <w:rPr>
                <w:rFonts w:cstheme="minorHAnsi"/>
              </w:rPr>
              <w:t>6 170 278 tis. Kč</w:t>
            </w:r>
          </w:p>
        </w:tc>
      </w:tr>
      <w:tr w:rsidR="00493028" w:rsidRPr="00473066" w14:paraId="17E42863" w14:textId="77777777" w:rsidTr="00190991">
        <w:trPr>
          <w:tblHeader/>
        </w:trPr>
        <w:tc>
          <w:tcPr>
            <w:tcW w:w="7225" w:type="dxa"/>
            <w:tcBorders>
              <w:top w:val="nil"/>
              <w:bottom w:val="single" w:sz="4" w:space="0" w:color="auto"/>
            </w:tcBorders>
            <w:shd w:val="clear" w:color="auto" w:fill="FFFFFF"/>
          </w:tcPr>
          <w:p w14:paraId="5AA80993" w14:textId="77777777" w:rsidR="00493028" w:rsidRPr="00F53723" w:rsidRDefault="00493028" w:rsidP="00190991">
            <w:pPr>
              <w:spacing w:before="60" w:after="60"/>
              <w:rPr>
                <w:rFonts w:cstheme="minorHAnsi"/>
                <w:b/>
              </w:rPr>
            </w:pPr>
            <w:proofErr w:type="gramStart"/>
            <w:r w:rsidRPr="00F53723">
              <w:rPr>
                <w:rFonts w:cstheme="minorHAnsi"/>
              </w:rPr>
              <w:t>ZED - Financování</w:t>
            </w:r>
            <w:proofErr w:type="gramEnd"/>
            <w:r w:rsidRPr="00F53723">
              <w:rPr>
                <w:rFonts w:cstheme="minorHAnsi"/>
              </w:rPr>
              <w:t xml:space="preserve"> dopravní obslužnosti veřejnou železniční osobní dopravou (kraje a hl. m. Praha)</w:t>
            </w:r>
          </w:p>
        </w:tc>
        <w:tc>
          <w:tcPr>
            <w:tcW w:w="1984" w:type="dxa"/>
            <w:tcBorders>
              <w:top w:val="nil"/>
              <w:bottom w:val="single" w:sz="4" w:space="0" w:color="auto"/>
            </w:tcBorders>
            <w:shd w:val="clear" w:color="auto" w:fill="FFFFFF"/>
          </w:tcPr>
          <w:p w14:paraId="7B842749" w14:textId="77777777" w:rsidR="00493028" w:rsidRPr="00F53723" w:rsidRDefault="00493028" w:rsidP="00190991">
            <w:pPr>
              <w:spacing w:before="60" w:after="60"/>
              <w:jc w:val="right"/>
              <w:rPr>
                <w:rFonts w:cstheme="minorHAnsi"/>
              </w:rPr>
            </w:pPr>
            <w:r w:rsidRPr="00F53723">
              <w:rPr>
                <w:rFonts w:cstheme="minorHAnsi"/>
              </w:rPr>
              <w:t xml:space="preserve"> 3 406 230 tis. Kč</w:t>
            </w:r>
          </w:p>
        </w:tc>
      </w:tr>
      <w:tr w:rsidR="00493028" w:rsidRPr="00473066" w14:paraId="3626407B" w14:textId="77777777" w:rsidTr="00190991">
        <w:trPr>
          <w:tblHeader/>
        </w:trPr>
        <w:tc>
          <w:tcPr>
            <w:tcW w:w="7225" w:type="dxa"/>
            <w:shd w:val="pct15" w:color="auto" w:fill="FFFFFF"/>
          </w:tcPr>
          <w:p w14:paraId="26EE2406" w14:textId="77777777" w:rsidR="00493028" w:rsidRPr="00640451" w:rsidRDefault="00493028" w:rsidP="00190991">
            <w:pPr>
              <w:spacing w:before="60" w:after="60"/>
              <w:rPr>
                <w:rFonts w:cstheme="minorHAnsi"/>
                <w:b/>
                <w:color w:val="2E74B5"/>
              </w:rPr>
            </w:pPr>
            <w:r w:rsidRPr="00640451">
              <w:rPr>
                <w:rFonts w:cstheme="minorHAnsi"/>
                <w:b/>
                <w:color w:val="2E74B5"/>
              </w:rPr>
              <w:t xml:space="preserve">Ostatní výdaje spojené s drážní dopravou </w:t>
            </w:r>
            <w:r w:rsidRPr="00640451">
              <w:rPr>
                <w:rFonts w:cstheme="minorHAnsi"/>
                <w:color w:val="2E74B5"/>
              </w:rPr>
              <w:t>(v tom:)</w:t>
            </w:r>
          </w:p>
        </w:tc>
        <w:tc>
          <w:tcPr>
            <w:tcW w:w="1984" w:type="dxa"/>
            <w:shd w:val="pct15" w:color="auto" w:fill="FFFFFF"/>
            <w:vAlign w:val="center"/>
          </w:tcPr>
          <w:p w14:paraId="18E8CDA7" w14:textId="77777777" w:rsidR="00493028" w:rsidRPr="00640451" w:rsidRDefault="00493028" w:rsidP="00190991">
            <w:pPr>
              <w:spacing w:before="60" w:after="60"/>
              <w:jc w:val="right"/>
              <w:rPr>
                <w:rFonts w:cstheme="minorHAnsi"/>
                <w:b/>
                <w:color w:val="2E74B5"/>
              </w:rPr>
            </w:pPr>
            <w:r w:rsidRPr="00640451">
              <w:rPr>
                <w:rFonts w:cstheme="minorHAnsi"/>
                <w:b/>
                <w:color w:val="2E74B5"/>
              </w:rPr>
              <w:t>104 162 tis. Kč</w:t>
            </w:r>
          </w:p>
        </w:tc>
      </w:tr>
      <w:tr w:rsidR="00493028" w:rsidRPr="00473066" w14:paraId="6B6FE77D" w14:textId="77777777" w:rsidTr="00190991">
        <w:trPr>
          <w:tblHeader/>
        </w:trPr>
        <w:tc>
          <w:tcPr>
            <w:tcW w:w="7225" w:type="dxa"/>
            <w:tcBorders>
              <w:bottom w:val="nil"/>
            </w:tcBorders>
            <w:shd w:val="clear" w:color="auto" w:fill="FFFFFF"/>
          </w:tcPr>
          <w:p w14:paraId="74848D17" w14:textId="77777777" w:rsidR="00493028" w:rsidRPr="00F95F89" w:rsidRDefault="00493028" w:rsidP="00190991">
            <w:pPr>
              <w:spacing w:before="60" w:after="60"/>
              <w:rPr>
                <w:rFonts w:cstheme="minorHAnsi"/>
              </w:rPr>
            </w:pPr>
            <w:r w:rsidRPr="00F95F89">
              <w:rPr>
                <w:rFonts w:cstheme="minorHAnsi"/>
              </w:rPr>
              <w:t xml:space="preserve">ZED – ROCET </w:t>
            </w:r>
          </w:p>
        </w:tc>
        <w:tc>
          <w:tcPr>
            <w:tcW w:w="1984" w:type="dxa"/>
            <w:tcBorders>
              <w:bottom w:val="nil"/>
            </w:tcBorders>
            <w:shd w:val="clear" w:color="auto" w:fill="FFFFFF"/>
            <w:vAlign w:val="center"/>
          </w:tcPr>
          <w:p w14:paraId="1C25A677" w14:textId="77777777" w:rsidR="00493028" w:rsidRPr="00F95F89" w:rsidRDefault="00493028" w:rsidP="00190991">
            <w:pPr>
              <w:spacing w:before="60" w:after="60"/>
              <w:jc w:val="right"/>
              <w:rPr>
                <w:rFonts w:cstheme="minorHAnsi"/>
              </w:rPr>
            </w:pPr>
            <w:r w:rsidRPr="00F95F89">
              <w:rPr>
                <w:rFonts w:cstheme="minorHAnsi"/>
              </w:rPr>
              <w:t>96 029 tis. Kč</w:t>
            </w:r>
          </w:p>
        </w:tc>
      </w:tr>
      <w:tr w:rsidR="00493028" w:rsidRPr="00473066" w14:paraId="2514C24C" w14:textId="77777777" w:rsidTr="00190991">
        <w:trPr>
          <w:tblHeader/>
        </w:trPr>
        <w:tc>
          <w:tcPr>
            <w:tcW w:w="7225" w:type="dxa"/>
            <w:tcBorders>
              <w:top w:val="nil"/>
              <w:bottom w:val="nil"/>
            </w:tcBorders>
            <w:shd w:val="clear" w:color="auto" w:fill="FFFFFF"/>
          </w:tcPr>
          <w:p w14:paraId="3F109275" w14:textId="77777777" w:rsidR="00493028" w:rsidRPr="00F95F89" w:rsidRDefault="00493028" w:rsidP="00190991">
            <w:pPr>
              <w:spacing w:before="60" w:after="60"/>
              <w:rPr>
                <w:rFonts w:cstheme="minorHAnsi"/>
              </w:rPr>
            </w:pPr>
            <w:r w:rsidRPr="00F95F89">
              <w:rPr>
                <w:rFonts w:cstheme="minorHAnsi"/>
              </w:rPr>
              <w:t>ZED – Neinvestiční transfery spolkům (</w:t>
            </w:r>
            <w:proofErr w:type="spellStart"/>
            <w:r w:rsidRPr="00F95F89">
              <w:rPr>
                <w:rFonts w:cstheme="minorHAnsi"/>
              </w:rPr>
              <w:t>Legiovlak</w:t>
            </w:r>
            <w:proofErr w:type="spellEnd"/>
            <w:r w:rsidRPr="00F95F89">
              <w:rPr>
                <w:rFonts w:cstheme="minorHAnsi"/>
              </w:rPr>
              <w:t>)</w:t>
            </w:r>
          </w:p>
        </w:tc>
        <w:tc>
          <w:tcPr>
            <w:tcW w:w="1984" w:type="dxa"/>
            <w:tcBorders>
              <w:top w:val="nil"/>
              <w:bottom w:val="nil"/>
            </w:tcBorders>
            <w:shd w:val="clear" w:color="auto" w:fill="FFFFFF"/>
            <w:vAlign w:val="center"/>
          </w:tcPr>
          <w:p w14:paraId="79CF69A4" w14:textId="77777777" w:rsidR="00493028" w:rsidRPr="00F95F89" w:rsidRDefault="00493028" w:rsidP="00190991">
            <w:pPr>
              <w:spacing w:before="60" w:after="60"/>
              <w:jc w:val="right"/>
              <w:rPr>
                <w:rFonts w:cstheme="minorHAnsi"/>
              </w:rPr>
            </w:pPr>
            <w:r w:rsidRPr="00F95F89">
              <w:rPr>
                <w:rFonts w:cstheme="minorHAnsi"/>
              </w:rPr>
              <w:t>1 533 tis. Kč</w:t>
            </w:r>
          </w:p>
        </w:tc>
      </w:tr>
      <w:tr w:rsidR="00493028" w:rsidRPr="00473066" w14:paraId="6C31B509" w14:textId="77777777" w:rsidTr="00190991">
        <w:trPr>
          <w:tblHeader/>
        </w:trPr>
        <w:tc>
          <w:tcPr>
            <w:tcW w:w="7225" w:type="dxa"/>
            <w:tcBorders>
              <w:top w:val="nil"/>
            </w:tcBorders>
            <w:shd w:val="clear" w:color="auto" w:fill="FFFFFF"/>
          </w:tcPr>
          <w:p w14:paraId="286EB20E" w14:textId="77777777" w:rsidR="00493028" w:rsidRPr="00F53723" w:rsidRDefault="00493028" w:rsidP="00190991">
            <w:pPr>
              <w:spacing w:before="60" w:after="60"/>
              <w:ind w:left="28"/>
              <w:rPr>
                <w:rFonts w:cstheme="minorHAnsi"/>
              </w:rPr>
            </w:pPr>
            <w:r w:rsidRPr="00F53723">
              <w:rPr>
                <w:rFonts w:cstheme="minorHAnsi"/>
              </w:rPr>
              <w:t>EDS – 127 67 Podpora obnovy historických železničních kolejových vozidel v období 2021-2023</w:t>
            </w:r>
          </w:p>
        </w:tc>
        <w:tc>
          <w:tcPr>
            <w:tcW w:w="1984" w:type="dxa"/>
            <w:tcBorders>
              <w:top w:val="nil"/>
            </w:tcBorders>
            <w:shd w:val="clear" w:color="auto" w:fill="FFFFFF"/>
            <w:vAlign w:val="center"/>
          </w:tcPr>
          <w:p w14:paraId="39B191C3" w14:textId="77777777" w:rsidR="00493028" w:rsidRPr="00F53723" w:rsidRDefault="00493028" w:rsidP="00190991">
            <w:pPr>
              <w:spacing w:before="60" w:after="60"/>
              <w:jc w:val="right"/>
              <w:rPr>
                <w:rFonts w:cstheme="minorHAnsi"/>
              </w:rPr>
            </w:pPr>
            <w:r>
              <w:rPr>
                <w:rFonts w:cstheme="minorHAnsi"/>
              </w:rPr>
              <w:t>6</w:t>
            </w:r>
            <w:r w:rsidRPr="00F53723">
              <w:rPr>
                <w:rFonts w:cstheme="minorHAnsi"/>
              </w:rPr>
              <w:t> </w:t>
            </w:r>
            <w:r>
              <w:rPr>
                <w:rFonts w:cstheme="minorHAnsi"/>
              </w:rPr>
              <w:t>600</w:t>
            </w:r>
            <w:r w:rsidRPr="00F53723">
              <w:rPr>
                <w:rFonts w:cstheme="minorHAnsi"/>
              </w:rPr>
              <w:t xml:space="preserve"> tis. Kč</w:t>
            </w:r>
          </w:p>
        </w:tc>
      </w:tr>
    </w:tbl>
    <w:p w14:paraId="49FB1A3F" w14:textId="77777777" w:rsidR="00493028" w:rsidRPr="00F53723" w:rsidRDefault="00493028" w:rsidP="00493028">
      <w:pPr>
        <w:pStyle w:val="KOMtext"/>
        <w:numPr>
          <w:ilvl w:val="0"/>
          <w:numId w:val="13"/>
        </w:numPr>
        <w:ind w:left="709" w:hanging="425"/>
      </w:pPr>
      <w:r w:rsidRPr="00F53723">
        <w:t>financované z prostředků fondů Evropské unie (3 741 841 tis. Kč)</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5"/>
        <w:gridCol w:w="1984"/>
      </w:tblGrid>
      <w:tr w:rsidR="00493028" w:rsidRPr="00473066" w14:paraId="6899575A" w14:textId="77777777" w:rsidTr="00190991">
        <w:trPr>
          <w:tblHeader/>
        </w:trPr>
        <w:tc>
          <w:tcPr>
            <w:tcW w:w="7225" w:type="dxa"/>
            <w:tcBorders>
              <w:bottom w:val="single" w:sz="4" w:space="0" w:color="auto"/>
            </w:tcBorders>
            <w:shd w:val="pct15" w:color="auto" w:fill="FFFFFF"/>
          </w:tcPr>
          <w:p w14:paraId="412AC604" w14:textId="77777777" w:rsidR="00493028" w:rsidRPr="00640451" w:rsidRDefault="00493028" w:rsidP="00190991">
            <w:pPr>
              <w:spacing w:before="60" w:after="60"/>
              <w:rPr>
                <w:rFonts w:cstheme="minorHAnsi"/>
                <w:color w:val="2E74B5"/>
              </w:rPr>
            </w:pPr>
            <w:r w:rsidRPr="00640451">
              <w:rPr>
                <w:rFonts w:cstheme="minorHAnsi"/>
                <w:b/>
                <w:color w:val="2E74B5"/>
              </w:rPr>
              <w:t xml:space="preserve">Ostatní výdaje spojené s drážní dopravou </w:t>
            </w:r>
            <w:r w:rsidRPr="00640451">
              <w:rPr>
                <w:rFonts w:cstheme="minorHAnsi"/>
                <w:color w:val="2E74B5"/>
              </w:rPr>
              <w:t>(v tom:)</w:t>
            </w:r>
          </w:p>
        </w:tc>
        <w:tc>
          <w:tcPr>
            <w:tcW w:w="1984" w:type="dxa"/>
            <w:tcBorders>
              <w:bottom w:val="single" w:sz="4" w:space="0" w:color="auto"/>
            </w:tcBorders>
            <w:shd w:val="pct15" w:color="auto" w:fill="FFFFFF"/>
            <w:vAlign w:val="center"/>
          </w:tcPr>
          <w:p w14:paraId="20FB6D35" w14:textId="77777777" w:rsidR="00493028" w:rsidRPr="00901B45" w:rsidRDefault="00493028" w:rsidP="00190991">
            <w:pPr>
              <w:spacing w:before="60" w:after="60"/>
              <w:jc w:val="right"/>
              <w:rPr>
                <w:rFonts w:cstheme="minorHAnsi"/>
                <w:b/>
              </w:rPr>
            </w:pPr>
            <w:r w:rsidRPr="00640451">
              <w:rPr>
                <w:rFonts w:cstheme="minorHAnsi"/>
                <w:b/>
                <w:color w:val="2E74B5"/>
              </w:rPr>
              <w:t>3 741 841 tis. Kč</w:t>
            </w:r>
          </w:p>
        </w:tc>
      </w:tr>
      <w:tr w:rsidR="00493028" w:rsidRPr="00473066" w14:paraId="2679AD9A" w14:textId="77777777" w:rsidTr="00190991">
        <w:trPr>
          <w:tblHeader/>
        </w:trPr>
        <w:tc>
          <w:tcPr>
            <w:tcW w:w="7225" w:type="dxa"/>
            <w:tcBorders>
              <w:top w:val="single" w:sz="4" w:space="0" w:color="auto"/>
              <w:bottom w:val="nil"/>
            </w:tcBorders>
            <w:shd w:val="clear" w:color="auto" w:fill="FFFFFF"/>
          </w:tcPr>
          <w:p w14:paraId="5DB91460" w14:textId="77777777" w:rsidR="00493028" w:rsidRPr="00901B45" w:rsidRDefault="00493028" w:rsidP="00190991">
            <w:pPr>
              <w:spacing w:before="60" w:after="60"/>
              <w:rPr>
                <w:rFonts w:cstheme="minorHAnsi"/>
              </w:rPr>
            </w:pPr>
            <w:r w:rsidRPr="00901B45">
              <w:rPr>
                <w:rFonts w:cstheme="minorHAnsi"/>
              </w:rPr>
              <w:t>EDS – 127 65 Pořízení a moder. železničních kolejových vozidel (OPD 2014+)</w:t>
            </w:r>
          </w:p>
        </w:tc>
        <w:tc>
          <w:tcPr>
            <w:tcW w:w="1984" w:type="dxa"/>
            <w:tcBorders>
              <w:top w:val="single" w:sz="4" w:space="0" w:color="auto"/>
              <w:bottom w:val="nil"/>
            </w:tcBorders>
            <w:shd w:val="clear" w:color="auto" w:fill="FFFFFF"/>
            <w:vAlign w:val="center"/>
          </w:tcPr>
          <w:p w14:paraId="204F8A4F" w14:textId="77777777" w:rsidR="00493028" w:rsidRPr="00901B45" w:rsidRDefault="00493028" w:rsidP="00190991">
            <w:pPr>
              <w:spacing w:before="60" w:after="60"/>
              <w:jc w:val="right"/>
              <w:rPr>
                <w:rFonts w:cstheme="minorHAnsi"/>
              </w:rPr>
            </w:pPr>
            <w:r w:rsidRPr="00901B45">
              <w:rPr>
                <w:rFonts w:cstheme="minorHAnsi"/>
              </w:rPr>
              <w:t>3 698 082 tis. Kč</w:t>
            </w:r>
          </w:p>
        </w:tc>
      </w:tr>
      <w:tr w:rsidR="00493028" w:rsidRPr="00473066" w14:paraId="68D1B454" w14:textId="77777777" w:rsidTr="00190991">
        <w:trPr>
          <w:tblHeader/>
        </w:trPr>
        <w:tc>
          <w:tcPr>
            <w:tcW w:w="7225" w:type="dxa"/>
            <w:tcBorders>
              <w:top w:val="nil"/>
              <w:bottom w:val="single" w:sz="4" w:space="0" w:color="auto"/>
            </w:tcBorders>
            <w:shd w:val="clear" w:color="auto" w:fill="FFFFFF"/>
          </w:tcPr>
          <w:p w14:paraId="2505A990" w14:textId="77777777" w:rsidR="00493028" w:rsidRPr="00901B45" w:rsidRDefault="00493028" w:rsidP="00190991">
            <w:pPr>
              <w:spacing w:before="60" w:after="60"/>
              <w:rPr>
                <w:rFonts w:cstheme="minorHAnsi"/>
              </w:rPr>
            </w:pPr>
            <w:r w:rsidRPr="00901B45">
              <w:rPr>
                <w:rFonts w:cstheme="minorHAnsi"/>
              </w:rPr>
              <w:t>EDS – 127 77 Podpora financování dopravy (OPD 2014+)</w:t>
            </w:r>
          </w:p>
        </w:tc>
        <w:tc>
          <w:tcPr>
            <w:tcW w:w="1984" w:type="dxa"/>
            <w:tcBorders>
              <w:top w:val="nil"/>
              <w:bottom w:val="single" w:sz="4" w:space="0" w:color="auto"/>
            </w:tcBorders>
            <w:shd w:val="clear" w:color="auto" w:fill="FFFFFF"/>
            <w:vAlign w:val="center"/>
          </w:tcPr>
          <w:p w14:paraId="6546D120" w14:textId="77777777" w:rsidR="00493028" w:rsidRPr="00901B45" w:rsidRDefault="00493028" w:rsidP="00190991">
            <w:pPr>
              <w:spacing w:before="60" w:after="60"/>
              <w:jc w:val="right"/>
              <w:rPr>
                <w:rFonts w:cstheme="minorHAnsi"/>
              </w:rPr>
            </w:pPr>
            <w:r w:rsidRPr="00901B45">
              <w:rPr>
                <w:rFonts w:cstheme="minorHAnsi"/>
              </w:rPr>
              <w:t>43 759 tis. Kč</w:t>
            </w:r>
          </w:p>
        </w:tc>
      </w:tr>
    </w:tbl>
    <w:p w14:paraId="6F97D6EB" w14:textId="5BE72ECF" w:rsidR="00041405" w:rsidRPr="006B6D61" w:rsidRDefault="00041405" w:rsidP="00E20BD6">
      <w:pPr>
        <w:pStyle w:val="KOMnadp3"/>
      </w:pPr>
      <w:bookmarkStart w:id="87" w:name="_Toc128397655"/>
      <w:bookmarkStart w:id="88" w:name="_Toc128397788"/>
      <w:bookmarkStart w:id="89" w:name="_Toc128398011"/>
      <w:bookmarkStart w:id="90" w:name="_Toc128398354"/>
      <w:bookmarkStart w:id="91" w:name="_Toc128398480"/>
      <w:bookmarkStart w:id="92" w:name="_Toc128398694"/>
      <w:bookmarkStart w:id="93" w:name="_Toc128400010"/>
      <w:bookmarkStart w:id="94" w:name="_Toc128401250"/>
      <w:bookmarkStart w:id="95" w:name="_Toc128401378"/>
      <w:bookmarkStart w:id="96" w:name="_Toc128401865"/>
      <w:bookmarkStart w:id="97" w:name="_Toc128400011"/>
      <w:bookmarkStart w:id="98" w:name="_Toc162269241"/>
      <w:bookmarkEnd w:id="87"/>
      <w:bookmarkEnd w:id="88"/>
      <w:bookmarkEnd w:id="89"/>
      <w:bookmarkEnd w:id="90"/>
      <w:bookmarkEnd w:id="91"/>
      <w:bookmarkEnd w:id="92"/>
      <w:bookmarkEnd w:id="93"/>
      <w:bookmarkEnd w:id="94"/>
      <w:bookmarkEnd w:id="95"/>
      <w:bookmarkEnd w:id="96"/>
      <w:r w:rsidRPr="006B6D61">
        <w:t>Pozemní komunikace</w:t>
      </w:r>
      <w:bookmarkEnd w:id="97"/>
      <w:bookmarkEnd w:id="98"/>
    </w:p>
    <w:p w14:paraId="64FC53B0" w14:textId="1D90C9FB" w:rsidR="00FE1E42" w:rsidRPr="006B6D61" w:rsidRDefault="00FE1E42" w:rsidP="003F0A7C">
      <w:pPr>
        <w:pStyle w:val="KOMtext"/>
      </w:pPr>
      <w:r w:rsidRPr="006B6D61">
        <w:t>Obsahem tohoto ukazatele jsou výdaje na programové financování RISPF, jejichž prostřednictvím je prováděna výstavba pozemních komunikací v České republice. V roce 202</w:t>
      </w:r>
      <w:r w:rsidR="00493028" w:rsidRPr="006B6D61">
        <w:t>3</w:t>
      </w:r>
      <w:r w:rsidR="00B77998">
        <w:t xml:space="preserve"> </w:t>
      </w:r>
      <w:r w:rsidRPr="006B6D61">
        <w:t xml:space="preserve">nebyly v rámci tohoto ukazatele schválené ani čerpané žádné prostředky. </w:t>
      </w:r>
    </w:p>
    <w:p w14:paraId="2F1CD97A" w14:textId="11D347C9" w:rsidR="00041405" w:rsidRPr="006B6D61" w:rsidRDefault="00041405" w:rsidP="00E20BD6">
      <w:pPr>
        <w:pStyle w:val="KOMnadp3"/>
      </w:pPr>
      <w:bookmarkStart w:id="99" w:name="_Toc128660404"/>
      <w:bookmarkStart w:id="100" w:name="_Toc128660702"/>
      <w:bookmarkStart w:id="101" w:name="_Toc128660920"/>
      <w:bookmarkStart w:id="102" w:name="_Toc128661137"/>
      <w:bookmarkStart w:id="103" w:name="_Toc128661352"/>
      <w:bookmarkStart w:id="104" w:name="_Toc128666792"/>
      <w:bookmarkStart w:id="105" w:name="_Toc128667025"/>
      <w:bookmarkStart w:id="106" w:name="_Toc128670291"/>
      <w:bookmarkStart w:id="107" w:name="_Toc128400012"/>
      <w:bookmarkStart w:id="108" w:name="_Toc162269242"/>
      <w:bookmarkEnd w:id="99"/>
      <w:bookmarkEnd w:id="100"/>
      <w:bookmarkEnd w:id="101"/>
      <w:bookmarkEnd w:id="102"/>
      <w:bookmarkEnd w:id="103"/>
      <w:bookmarkEnd w:id="104"/>
      <w:bookmarkEnd w:id="105"/>
      <w:bookmarkEnd w:id="106"/>
      <w:r w:rsidRPr="006B6D61">
        <w:t>Dotace pro Státní fond dopravní infrastruktury</w:t>
      </w:r>
      <w:bookmarkEnd w:id="107"/>
      <w:bookmarkEnd w:id="108"/>
    </w:p>
    <w:p w14:paraId="09E57524" w14:textId="017305BA" w:rsidR="00472AEC" w:rsidRPr="000836F0" w:rsidRDefault="00472AEC" w:rsidP="00472AEC">
      <w:pPr>
        <w:pStyle w:val="KOMtext"/>
      </w:pPr>
      <w:r w:rsidRPr="000836F0">
        <w:t xml:space="preserve">Výdajový blok se využívá k transferu finančních prostředků pro SFDI, kterému § 4, odst. 1 </w:t>
      </w:r>
      <w:r w:rsidRPr="000836F0">
        <w:rPr>
          <w:rFonts w:cstheme="minorHAnsi"/>
        </w:rPr>
        <w:br/>
      </w:r>
      <w:r w:rsidRPr="000836F0">
        <w:t xml:space="preserve">písm. </w:t>
      </w:r>
      <w:r>
        <w:t>i</w:t>
      </w:r>
      <w:r w:rsidRPr="000836F0">
        <w:t>) zákona č. 104/2000 Sb., o Státním fondu dopravní infrastruktury,</w:t>
      </w:r>
      <w:r>
        <w:t xml:space="preserve"> v platném znění,</w:t>
      </w:r>
      <w:r w:rsidRPr="000836F0">
        <w:t xml:space="preserve"> umožňuje přijímat dotace ze státního rozpočtu. V roce 2023 bylo na tento výdajový blok rozpočtováno celkem 92 369 489 tis. Kč, v průběhu roku došlo ke snížení o 382 490 tis. Kč na částku 91 986 999 tis. Kč. Skutečné čerpání bylo ve výši </w:t>
      </w:r>
      <w:r w:rsidRPr="000836F0">
        <w:rPr>
          <w:b/>
        </w:rPr>
        <w:t>88 156 755 tis. Kč,</w:t>
      </w:r>
      <w:r w:rsidRPr="000836F0">
        <w:t xml:space="preserve"> tj. 79,2 % souhrnného ukazatele výdaje celkem. Skutečné čerpání výdajového bloku se dělí na dva výdajové okruhy:</w:t>
      </w:r>
    </w:p>
    <w:p w14:paraId="42CBA23F" w14:textId="77777777" w:rsidR="00472AEC" w:rsidRPr="00640451" w:rsidRDefault="00472AEC" w:rsidP="008A0E44">
      <w:pPr>
        <w:pStyle w:val="KOMnadp4"/>
      </w:pPr>
      <w:r w:rsidRPr="00640451">
        <w:lastRenderedPageBreak/>
        <w:t xml:space="preserve">Dotace na společné programy (projekty) EU a ČR </w:t>
      </w:r>
    </w:p>
    <w:p w14:paraId="191C1F42" w14:textId="77777777" w:rsidR="00472AEC" w:rsidRPr="000836F0" w:rsidRDefault="00472AEC" w:rsidP="00472AEC">
      <w:pPr>
        <w:pStyle w:val="KOMtext"/>
        <w:spacing w:before="60"/>
      </w:pPr>
      <w:r w:rsidRPr="000836F0">
        <w:t>Zahrnuje finanční prostředky určené na projekty v rámci Operačního programu Doprava</w:t>
      </w:r>
      <w:r>
        <w:t>,</w:t>
      </w:r>
      <w:r w:rsidRPr="000836F0">
        <w:t xml:space="preserve"> </w:t>
      </w:r>
      <w:r w:rsidRPr="000836F0">
        <w:br/>
        <w:t>na projekty komunitárních programů EU</w:t>
      </w:r>
      <w:r>
        <w:t xml:space="preserve"> a Národní plán obnovy</w:t>
      </w:r>
      <w:r w:rsidRPr="000836F0">
        <w:t xml:space="preserve">. Schválený rozpočet ukazatele 27 544 489 tis. Kč se během roku navýšil o 517 510 tis. Kč na částku 28 061 999 tis. Kč. Celkem bylo čerpáno </w:t>
      </w:r>
      <w:r w:rsidRPr="000836F0">
        <w:rPr>
          <w:b/>
        </w:rPr>
        <w:t>23 803 750 tis. Kč</w:t>
      </w:r>
      <w:r w:rsidRPr="000836F0">
        <w:t xml:space="preserve">, tj. 84,8 % </w:t>
      </w:r>
      <w:r>
        <w:t xml:space="preserve">rozpočtu </w:t>
      </w:r>
      <w:r w:rsidRPr="000836F0">
        <w:t xml:space="preserve">po změnách, v plné výši se jednalo </w:t>
      </w:r>
      <w:r>
        <w:br/>
      </w:r>
      <w:r w:rsidRPr="000836F0">
        <w:t>o prostředky EU; z toho: nároky 3 248 800 tis. Kč.</w:t>
      </w:r>
    </w:p>
    <w:p w14:paraId="66E7EEAE" w14:textId="77777777" w:rsidR="00472AEC" w:rsidRPr="00640451" w:rsidRDefault="00472AEC" w:rsidP="008A0E44">
      <w:pPr>
        <w:pStyle w:val="KOMnadp4"/>
      </w:pPr>
      <w:r w:rsidRPr="00640451">
        <w:t xml:space="preserve">Ostatní dotace pro SFDI </w:t>
      </w:r>
    </w:p>
    <w:p w14:paraId="6ABC82E4" w14:textId="77777777" w:rsidR="00472AEC" w:rsidRPr="00B7523C" w:rsidRDefault="00472AEC" w:rsidP="00472AEC">
      <w:pPr>
        <w:pStyle w:val="KOMtext"/>
        <w:spacing w:before="60"/>
      </w:pPr>
      <w:r w:rsidRPr="00B7523C">
        <w:t xml:space="preserve">Prostřednictvím tohoto okruhu se poskytují prostředky z úvěru přijatého Českou republikou od Evropské investiční banky na základě UV č. 726/2018, prostředky na krytí deficitu rozpočtu SFDI a na další aktivity, které nespadají do výše uvedeného výdajového okruhu. Pro rok 2023 byl schválený rozpočet ve výši 64 825 000 tis. Kč, který byl v průběhu roku snížen o částku </w:t>
      </w:r>
      <w:r w:rsidRPr="00B7523C">
        <w:br/>
        <w:t xml:space="preserve">900 000 tis. Kč na částku 63 925 000 tis. Kč. Celkem bylo vyčerpáno </w:t>
      </w:r>
      <w:r w:rsidRPr="00B7523C">
        <w:rPr>
          <w:b/>
        </w:rPr>
        <w:t>64 353 005 tis. Kč</w:t>
      </w:r>
      <w:r w:rsidRPr="00B7523C">
        <w:t xml:space="preserve">, </w:t>
      </w:r>
      <w:r w:rsidRPr="00B7523C">
        <w:br/>
        <w:t xml:space="preserve">tj. 100,7 % </w:t>
      </w:r>
      <w:r>
        <w:t xml:space="preserve">rozpočtu </w:t>
      </w:r>
      <w:r w:rsidRPr="00B7523C">
        <w:t>po změnách; z toho: nároky 429 949 tis. Kč.</w:t>
      </w:r>
    </w:p>
    <w:p w14:paraId="5CF6646E" w14:textId="77777777" w:rsidR="00472AEC" w:rsidRPr="00896A9F" w:rsidRDefault="00472AEC" w:rsidP="00472AEC">
      <w:pPr>
        <w:pStyle w:val="KOMtext"/>
        <w:spacing w:before="120" w:after="120"/>
        <w:ind w:left="284" w:hanging="284"/>
        <w:rPr>
          <w:b/>
        </w:rPr>
      </w:pPr>
      <w:r w:rsidRPr="00896A9F">
        <w:rPr>
          <w:b/>
        </w:rPr>
        <w:t xml:space="preserve">Členění ukazatele podle zdroje financování: </w:t>
      </w:r>
    </w:p>
    <w:p w14:paraId="7377B69C" w14:textId="77777777" w:rsidR="00472AEC" w:rsidRPr="00896A9F" w:rsidRDefault="00472AEC" w:rsidP="00472AEC">
      <w:pPr>
        <w:pStyle w:val="KOMtext"/>
        <w:numPr>
          <w:ilvl w:val="0"/>
          <w:numId w:val="13"/>
        </w:numPr>
        <w:spacing w:before="120" w:after="120"/>
        <w:ind w:left="709" w:hanging="425"/>
      </w:pPr>
      <w:r w:rsidRPr="00896A9F">
        <w:t>financované z prostředků státního rozpočtu (64 353 005 tis. Kč)</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3"/>
        <w:gridCol w:w="2126"/>
      </w:tblGrid>
      <w:tr w:rsidR="00472AEC" w:rsidRPr="00473066" w14:paraId="581F2726" w14:textId="77777777" w:rsidTr="00190991">
        <w:trPr>
          <w:tblHeader/>
        </w:trPr>
        <w:tc>
          <w:tcPr>
            <w:tcW w:w="7083" w:type="dxa"/>
            <w:shd w:val="pct15" w:color="auto" w:fill="FFFFFF"/>
          </w:tcPr>
          <w:p w14:paraId="52A57907" w14:textId="77777777" w:rsidR="00472AEC" w:rsidRPr="006804B6" w:rsidRDefault="00472AEC" w:rsidP="00190991">
            <w:pPr>
              <w:spacing w:before="60" w:after="60"/>
              <w:rPr>
                <w:rFonts w:cstheme="minorHAnsi"/>
                <w:color w:val="2E74B5"/>
              </w:rPr>
            </w:pPr>
            <w:r w:rsidRPr="006804B6">
              <w:rPr>
                <w:rFonts w:cstheme="minorHAnsi"/>
                <w:b/>
                <w:color w:val="2E74B5"/>
              </w:rPr>
              <w:t xml:space="preserve">Ostatní dotace pro SFDI </w:t>
            </w:r>
            <w:r w:rsidRPr="006804B6">
              <w:rPr>
                <w:rFonts w:cstheme="minorHAnsi"/>
                <w:color w:val="2E74B5"/>
              </w:rPr>
              <w:t>(v tom:)</w:t>
            </w:r>
          </w:p>
        </w:tc>
        <w:tc>
          <w:tcPr>
            <w:tcW w:w="2126" w:type="dxa"/>
            <w:shd w:val="pct15" w:color="auto" w:fill="FFFFFF"/>
            <w:vAlign w:val="center"/>
          </w:tcPr>
          <w:p w14:paraId="3120F336" w14:textId="77777777" w:rsidR="00472AEC" w:rsidRPr="006804B6" w:rsidRDefault="00472AEC" w:rsidP="00190991">
            <w:pPr>
              <w:spacing w:before="60" w:after="60"/>
              <w:jc w:val="right"/>
              <w:rPr>
                <w:rFonts w:cstheme="minorHAnsi"/>
                <w:b/>
                <w:color w:val="2E74B5"/>
              </w:rPr>
            </w:pPr>
            <w:r w:rsidRPr="006804B6">
              <w:rPr>
                <w:rFonts w:cstheme="minorHAnsi"/>
                <w:b/>
                <w:color w:val="2E74B5"/>
              </w:rPr>
              <w:t>64 353 005 tis. Kč</w:t>
            </w:r>
          </w:p>
        </w:tc>
      </w:tr>
      <w:tr w:rsidR="00472AEC" w:rsidRPr="00473066" w14:paraId="7D775F0B" w14:textId="77777777" w:rsidTr="00190991">
        <w:trPr>
          <w:tblHeader/>
        </w:trPr>
        <w:tc>
          <w:tcPr>
            <w:tcW w:w="7083" w:type="dxa"/>
            <w:tcBorders>
              <w:top w:val="nil"/>
              <w:bottom w:val="nil"/>
            </w:tcBorders>
            <w:shd w:val="clear" w:color="auto" w:fill="FFFFFF"/>
          </w:tcPr>
          <w:p w14:paraId="3E2DB00D" w14:textId="77777777" w:rsidR="00472AEC" w:rsidRPr="00896A9F" w:rsidRDefault="00472AEC" w:rsidP="00190991">
            <w:pPr>
              <w:spacing w:before="60" w:after="60"/>
              <w:rPr>
                <w:rFonts w:cstheme="minorHAnsi"/>
              </w:rPr>
            </w:pPr>
            <w:r w:rsidRPr="00896A9F">
              <w:rPr>
                <w:rFonts w:cstheme="minorHAnsi"/>
              </w:rPr>
              <w:t>EDS – 127 77 Podpora financování dopravy (z toho:)</w:t>
            </w:r>
          </w:p>
        </w:tc>
        <w:tc>
          <w:tcPr>
            <w:tcW w:w="2126" w:type="dxa"/>
            <w:tcBorders>
              <w:top w:val="nil"/>
              <w:bottom w:val="nil"/>
            </w:tcBorders>
            <w:shd w:val="clear" w:color="auto" w:fill="FFFFFF"/>
            <w:vAlign w:val="center"/>
          </w:tcPr>
          <w:p w14:paraId="79C7B4FE" w14:textId="77777777" w:rsidR="00472AEC" w:rsidRPr="00896A9F" w:rsidRDefault="00472AEC" w:rsidP="00190991">
            <w:pPr>
              <w:spacing w:before="60" w:after="60"/>
              <w:jc w:val="right"/>
              <w:rPr>
                <w:rFonts w:cstheme="minorHAnsi"/>
              </w:rPr>
            </w:pPr>
            <w:r w:rsidRPr="00896A9F">
              <w:rPr>
                <w:rFonts w:cstheme="minorHAnsi"/>
              </w:rPr>
              <w:t>64 353 005 tis. Kč</w:t>
            </w:r>
          </w:p>
        </w:tc>
      </w:tr>
      <w:tr w:rsidR="00472AEC" w:rsidRPr="00473066" w14:paraId="141781C2" w14:textId="77777777" w:rsidTr="00190991">
        <w:trPr>
          <w:tblHeader/>
        </w:trPr>
        <w:tc>
          <w:tcPr>
            <w:tcW w:w="7083" w:type="dxa"/>
            <w:tcBorders>
              <w:top w:val="nil"/>
            </w:tcBorders>
            <w:shd w:val="clear" w:color="auto" w:fill="FFFFFF"/>
          </w:tcPr>
          <w:p w14:paraId="6786230D" w14:textId="77777777" w:rsidR="00472AEC" w:rsidRPr="00892354" w:rsidRDefault="00472AEC" w:rsidP="00190991">
            <w:pPr>
              <w:spacing w:before="60" w:after="60"/>
              <w:rPr>
                <w:rFonts w:cstheme="minorHAnsi"/>
              </w:rPr>
            </w:pPr>
            <w:r w:rsidRPr="00892354">
              <w:rPr>
                <w:rFonts w:cstheme="minorHAnsi"/>
              </w:rPr>
              <w:t>Dotace na projekty spolufinancované z EIB</w:t>
            </w:r>
          </w:p>
        </w:tc>
        <w:tc>
          <w:tcPr>
            <w:tcW w:w="2126" w:type="dxa"/>
            <w:tcBorders>
              <w:top w:val="nil"/>
            </w:tcBorders>
            <w:shd w:val="clear" w:color="auto" w:fill="FFFFFF"/>
            <w:vAlign w:val="center"/>
          </w:tcPr>
          <w:p w14:paraId="1FFBA5E2" w14:textId="77777777" w:rsidR="00472AEC" w:rsidRPr="00892354" w:rsidRDefault="00472AEC" w:rsidP="00190991">
            <w:pPr>
              <w:spacing w:before="60" w:after="60"/>
              <w:jc w:val="right"/>
              <w:rPr>
                <w:rFonts w:cstheme="minorHAnsi"/>
              </w:rPr>
            </w:pPr>
            <w:r w:rsidRPr="00892354">
              <w:rPr>
                <w:rFonts w:cstheme="minorHAnsi"/>
              </w:rPr>
              <w:t>2 975 411 tis. Kč</w:t>
            </w:r>
          </w:p>
        </w:tc>
      </w:tr>
    </w:tbl>
    <w:p w14:paraId="64D99ADC" w14:textId="77777777" w:rsidR="00472AEC" w:rsidRPr="00BA0903" w:rsidRDefault="00472AEC" w:rsidP="00472AEC">
      <w:pPr>
        <w:pStyle w:val="KOMtext"/>
        <w:numPr>
          <w:ilvl w:val="0"/>
          <w:numId w:val="13"/>
        </w:numPr>
        <w:spacing w:before="120" w:after="120"/>
        <w:ind w:left="709" w:hanging="425"/>
      </w:pPr>
      <w:r w:rsidRPr="00BA0903">
        <w:t>financované z prostředků fondů Evropské unie (23 803 750 tis. Kč)</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3"/>
        <w:gridCol w:w="2126"/>
      </w:tblGrid>
      <w:tr w:rsidR="00472AEC" w:rsidRPr="00473066" w14:paraId="30A63478" w14:textId="77777777" w:rsidTr="00190991">
        <w:trPr>
          <w:tblHeader/>
        </w:trPr>
        <w:tc>
          <w:tcPr>
            <w:tcW w:w="7083" w:type="dxa"/>
            <w:tcBorders>
              <w:bottom w:val="single" w:sz="4" w:space="0" w:color="auto"/>
            </w:tcBorders>
            <w:shd w:val="pct15" w:color="auto" w:fill="FFFFFF"/>
          </w:tcPr>
          <w:p w14:paraId="0B16CA49" w14:textId="77777777" w:rsidR="00472AEC" w:rsidRPr="006804B6" w:rsidRDefault="00472AEC" w:rsidP="00190991">
            <w:pPr>
              <w:spacing w:before="60" w:after="60"/>
              <w:rPr>
                <w:rFonts w:cstheme="minorHAnsi"/>
                <w:b/>
                <w:color w:val="2E74B5"/>
              </w:rPr>
            </w:pPr>
            <w:r w:rsidRPr="006804B6">
              <w:rPr>
                <w:rFonts w:cstheme="minorHAnsi"/>
                <w:b/>
                <w:color w:val="2E74B5"/>
              </w:rPr>
              <w:t xml:space="preserve">Dotace na společné programy (projekty) EU a ČR </w:t>
            </w:r>
            <w:r w:rsidRPr="006804B6">
              <w:rPr>
                <w:rFonts w:cstheme="minorHAnsi"/>
                <w:color w:val="2E74B5"/>
              </w:rPr>
              <w:t>(v tom:)</w:t>
            </w:r>
          </w:p>
        </w:tc>
        <w:tc>
          <w:tcPr>
            <w:tcW w:w="2126" w:type="dxa"/>
            <w:tcBorders>
              <w:bottom w:val="single" w:sz="4" w:space="0" w:color="auto"/>
            </w:tcBorders>
            <w:shd w:val="pct15" w:color="auto" w:fill="FFFFFF"/>
          </w:tcPr>
          <w:p w14:paraId="045AF644" w14:textId="77777777" w:rsidR="00472AEC" w:rsidRPr="006804B6" w:rsidRDefault="00472AEC" w:rsidP="00190991">
            <w:pPr>
              <w:spacing w:before="60" w:after="60"/>
              <w:jc w:val="right"/>
              <w:rPr>
                <w:rFonts w:cstheme="minorHAnsi"/>
                <w:b/>
                <w:color w:val="2E74B5"/>
              </w:rPr>
            </w:pPr>
            <w:r w:rsidRPr="006804B6">
              <w:rPr>
                <w:rFonts w:cstheme="minorHAnsi"/>
                <w:b/>
                <w:color w:val="2E74B5"/>
              </w:rPr>
              <w:t>23 803 750 tis. Kč</w:t>
            </w:r>
          </w:p>
        </w:tc>
      </w:tr>
      <w:tr w:rsidR="00472AEC" w:rsidRPr="00473066" w14:paraId="057D218C" w14:textId="77777777" w:rsidTr="00190991">
        <w:trPr>
          <w:tblHeader/>
        </w:trPr>
        <w:tc>
          <w:tcPr>
            <w:tcW w:w="7083" w:type="dxa"/>
            <w:tcBorders>
              <w:top w:val="nil"/>
              <w:bottom w:val="nil"/>
            </w:tcBorders>
            <w:shd w:val="clear" w:color="auto" w:fill="FFFFFF"/>
          </w:tcPr>
          <w:p w14:paraId="7337A80C" w14:textId="77777777" w:rsidR="00472AEC" w:rsidRPr="00A54867" w:rsidRDefault="00472AEC" w:rsidP="00190991">
            <w:pPr>
              <w:spacing w:before="60" w:after="60"/>
              <w:ind w:left="22" w:hanging="22"/>
              <w:rPr>
                <w:rFonts w:cstheme="minorHAnsi"/>
              </w:rPr>
            </w:pPr>
            <w:r w:rsidRPr="00A54867">
              <w:rPr>
                <w:rFonts w:cstheme="minorHAnsi"/>
              </w:rPr>
              <w:t>Operační program Doprava 2014+ (v tom:)</w:t>
            </w:r>
          </w:p>
        </w:tc>
        <w:tc>
          <w:tcPr>
            <w:tcW w:w="2126" w:type="dxa"/>
            <w:tcBorders>
              <w:top w:val="nil"/>
              <w:bottom w:val="nil"/>
            </w:tcBorders>
            <w:shd w:val="clear" w:color="auto" w:fill="FFFFFF"/>
          </w:tcPr>
          <w:p w14:paraId="3936C700" w14:textId="77777777" w:rsidR="00472AEC" w:rsidRPr="00A54867" w:rsidRDefault="00472AEC" w:rsidP="00190991">
            <w:pPr>
              <w:spacing w:before="60" w:after="60"/>
              <w:jc w:val="right"/>
              <w:rPr>
                <w:rFonts w:cstheme="minorHAnsi"/>
              </w:rPr>
            </w:pPr>
            <w:r w:rsidRPr="00A54867">
              <w:rPr>
                <w:rFonts w:cstheme="minorHAnsi"/>
              </w:rPr>
              <w:t>3 682 323 tis. Kč</w:t>
            </w:r>
          </w:p>
        </w:tc>
      </w:tr>
      <w:tr w:rsidR="00472AEC" w:rsidRPr="00473066" w14:paraId="167E22E1" w14:textId="77777777" w:rsidTr="00190991">
        <w:trPr>
          <w:tblHeader/>
        </w:trPr>
        <w:tc>
          <w:tcPr>
            <w:tcW w:w="7083" w:type="dxa"/>
            <w:tcBorders>
              <w:top w:val="nil"/>
              <w:bottom w:val="nil"/>
            </w:tcBorders>
            <w:shd w:val="clear" w:color="auto" w:fill="FFFFFF"/>
          </w:tcPr>
          <w:p w14:paraId="2C7CA378" w14:textId="77777777" w:rsidR="00472AEC" w:rsidRPr="00A54867" w:rsidRDefault="00472AEC" w:rsidP="00190991">
            <w:pPr>
              <w:spacing w:before="60" w:after="60"/>
              <w:ind w:left="22" w:hanging="22"/>
              <w:rPr>
                <w:rFonts w:cstheme="minorHAnsi"/>
              </w:rPr>
            </w:pPr>
            <w:r w:rsidRPr="00A54867">
              <w:rPr>
                <w:rFonts w:cstheme="minorHAnsi"/>
              </w:rPr>
              <w:t>EDS – 127 77 Podpora financování dopravy</w:t>
            </w:r>
          </w:p>
        </w:tc>
        <w:tc>
          <w:tcPr>
            <w:tcW w:w="2126" w:type="dxa"/>
            <w:tcBorders>
              <w:top w:val="nil"/>
              <w:bottom w:val="nil"/>
            </w:tcBorders>
            <w:shd w:val="clear" w:color="auto" w:fill="FFFFFF"/>
          </w:tcPr>
          <w:p w14:paraId="4498017E" w14:textId="77777777" w:rsidR="00472AEC" w:rsidRPr="00A54867" w:rsidRDefault="00472AEC" w:rsidP="00190991">
            <w:pPr>
              <w:spacing w:before="60" w:after="60"/>
              <w:jc w:val="right"/>
              <w:rPr>
                <w:rFonts w:cstheme="minorHAnsi"/>
              </w:rPr>
            </w:pPr>
            <w:r w:rsidRPr="00A54867">
              <w:rPr>
                <w:rFonts w:cstheme="minorHAnsi"/>
              </w:rPr>
              <w:t> 3 633 396 tis. Kč</w:t>
            </w:r>
          </w:p>
        </w:tc>
      </w:tr>
      <w:tr w:rsidR="00472AEC" w:rsidRPr="00473066" w14:paraId="331C4A73" w14:textId="77777777" w:rsidTr="00190991">
        <w:trPr>
          <w:tblHeader/>
        </w:trPr>
        <w:tc>
          <w:tcPr>
            <w:tcW w:w="7083" w:type="dxa"/>
            <w:tcBorders>
              <w:top w:val="nil"/>
              <w:bottom w:val="single" w:sz="4" w:space="0" w:color="auto"/>
            </w:tcBorders>
            <w:shd w:val="clear" w:color="auto" w:fill="FFFFFF"/>
          </w:tcPr>
          <w:p w14:paraId="000CDEFE" w14:textId="77777777" w:rsidR="00472AEC" w:rsidRPr="00A54867" w:rsidRDefault="00472AEC" w:rsidP="00190991">
            <w:pPr>
              <w:spacing w:before="60" w:after="60"/>
              <w:ind w:left="22" w:hanging="22"/>
              <w:rPr>
                <w:rFonts w:cstheme="minorHAnsi"/>
              </w:rPr>
            </w:pPr>
            <w:r w:rsidRPr="00A54867">
              <w:rPr>
                <w:rFonts w:cstheme="minorHAnsi"/>
              </w:rPr>
              <w:t xml:space="preserve">ZED </w:t>
            </w:r>
          </w:p>
        </w:tc>
        <w:tc>
          <w:tcPr>
            <w:tcW w:w="2126" w:type="dxa"/>
            <w:tcBorders>
              <w:top w:val="nil"/>
              <w:bottom w:val="single" w:sz="4" w:space="0" w:color="auto"/>
            </w:tcBorders>
            <w:shd w:val="clear" w:color="auto" w:fill="FFFFFF"/>
          </w:tcPr>
          <w:p w14:paraId="08D3742B" w14:textId="77777777" w:rsidR="00472AEC" w:rsidRPr="00A54867" w:rsidRDefault="00472AEC" w:rsidP="00190991">
            <w:pPr>
              <w:spacing w:before="60" w:after="60"/>
              <w:jc w:val="right"/>
              <w:rPr>
                <w:rFonts w:cstheme="minorHAnsi"/>
              </w:rPr>
            </w:pPr>
            <w:r w:rsidRPr="00A54867">
              <w:rPr>
                <w:rFonts w:cstheme="minorHAnsi"/>
              </w:rPr>
              <w:t>48 927 tis. Kč</w:t>
            </w:r>
          </w:p>
        </w:tc>
      </w:tr>
      <w:tr w:rsidR="00472AEC" w:rsidRPr="00473066" w14:paraId="176EFF59" w14:textId="77777777" w:rsidTr="00190991">
        <w:trPr>
          <w:tblHeader/>
        </w:trPr>
        <w:tc>
          <w:tcPr>
            <w:tcW w:w="7083" w:type="dxa"/>
            <w:tcBorders>
              <w:top w:val="single" w:sz="4" w:space="0" w:color="auto"/>
              <w:bottom w:val="nil"/>
            </w:tcBorders>
            <w:shd w:val="clear" w:color="auto" w:fill="FFFFFF"/>
          </w:tcPr>
          <w:p w14:paraId="5F60E115" w14:textId="77777777" w:rsidR="00472AEC" w:rsidRPr="00776E81" w:rsidRDefault="00472AEC" w:rsidP="00190991">
            <w:pPr>
              <w:spacing w:before="60" w:after="60"/>
              <w:ind w:left="22" w:hanging="22"/>
              <w:rPr>
                <w:rFonts w:cstheme="minorHAnsi"/>
              </w:rPr>
            </w:pPr>
            <w:r w:rsidRPr="00776E81">
              <w:rPr>
                <w:rFonts w:cstheme="minorHAnsi"/>
              </w:rPr>
              <w:t>Komunitární programy 2014+ (v tom:)</w:t>
            </w:r>
          </w:p>
        </w:tc>
        <w:tc>
          <w:tcPr>
            <w:tcW w:w="2126" w:type="dxa"/>
            <w:tcBorders>
              <w:top w:val="single" w:sz="4" w:space="0" w:color="auto"/>
              <w:bottom w:val="nil"/>
            </w:tcBorders>
            <w:shd w:val="clear" w:color="auto" w:fill="FFFFFF"/>
          </w:tcPr>
          <w:p w14:paraId="22A7B8F3" w14:textId="77777777" w:rsidR="00472AEC" w:rsidRPr="00776E81" w:rsidRDefault="00472AEC" w:rsidP="00190991">
            <w:pPr>
              <w:spacing w:before="60" w:after="60"/>
              <w:jc w:val="right"/>
              <w:rPr>
                <w:rFonts w:cstheme="minorHAnsi"/>
              </w:rPr>
            </w:pPr>
            <w:r w:rsidRPr="00776E81">
              <w:rPr>
                <w:rFonts w:cstheme="minorHAnsi"/>
              </w:rPr>
              <w:t>1 816 469 tis. Kč</w:t>
            </w:r>
          </w:p>
        </w:tc>
      </w:tr>
      <w:tr w:rsidR="00472AEC" w:rsidRPr="00473066" w14:paraId="3B91EA53" w14:textId="77777777" w:rsidTr="00190991">
        <w:trPr>
          <w:tblHeader/>
        </w:trPr>
        <w:tc>
          <w:tcPr>
            <w:tcW w:w="7083" w:type="dxa"/>
            <w:tcBorders>
              <w:top w:val="nil"/>
              <w:bottom w:val="nil"/>
            </w:tcBorders>
            <w:shd w:val="clear" w:color="auto" w:fill="FFFFFF"/>
          </w:tcPr>
          <w:p w14:paraId="1846AE3C" w14:textId="77777777" w:rsidR="00472AEC" w:rsidRPr="00776E81" w:rsidRDefault="00472AEC" w:rsidP="00190991">
            <w:pPr>
              <w:spacing w:before="60" w:after="60"/>
              <w:ind w:left="22" w:hanging="22"/>
              <w:rPr>
                <w:rFonts w:cstheme="minorHAnsi"/>
              </w:rPr>
            </w:pPr>
            <w:r w:rsidRPr="00776E81">
              <w:rPr>
                <w:rFonts w:cstheme="minorHAnsi"/>
              </w:rPr>
              <w:t>EDS – 127 77 Podpora financování dopravy</w:t>
            </w:r>
          </w:p>
        </w:tc>
        <w:tc>
          <w:tcPr>
            <w:tcW w:w="2126" w:type="dxa"/>
            <w:tcBorders>
              <w:top w:val="nil"/>
              <w:bottom w:val="nil"/>
            </w:tcBorders>
            <w:shd w:val="clear" w:color="auto" w:fill="FFFFFF"/>
          </w:tcPr>
          <w:p w14:paraId="6A96F069" w14:textId="77777777" w:rsidR="00472AEC" w:rsidRPr="00776E81" w:rsidRDefault="00472AEC" w:rsidP="00190991">
            <w:pPr>
              <w:spacing w:before="60" w:after="60"/>
              <w:jc w:val="right"/>
              <w:rPr>
                <w:rFonts w:cstheme="minorHAnsi"/>
              </w:rPr>
            </w:pPr>
            <w:r w:rsidRPr="00776E81">
              <w:rPr>
                <w:rFonts w:cstheme="minorHAnsi"/>
              </w:rPr>
              <w:t>1 814 795 tis. Kč</w:t>
            </w:r>
          </w:p>
        </w:tc>
      </w:tr>
      <w:tr w:rsidR="00472AEC" w:rsidRPr="00473066" w14:paraId="20FAEBDE" w14:textId="77777777" w:rsidTr="00190991">
        <w:trPr>
          <w:tblHeader/>
        </w:trPr>
        <w:tc>
          <w:tcPr>
            <w:tcW w:w="7083" w:type="dxa"/>
            <w:tcBorders>
              <w:top w:val="nil"/>
              <w:bottom w:val="single" w:sz="4" w:space="0" w:color="auto"/>
            </w:tcBorders>
            <w:shd w:val="clear" w:color="auto" w:fill="FFFFFF"/>
          </w:tcPr>
          <w:p w14:paraId="67D7477E" w14:textId="77777777" w:rsidR="00472AEC" w:rsidRPr="00776E81" w:rsidRDefault="00472AEC" w:rsidP="00190991">
            <w:pPr>
              <w:spacing w:before="60" w:after="60"/>
              <w:ind w:left="22" w:hanging="22"/>
              <w:rPr>
                <w:rFonts w:cstheme="minorHAnsi"/>
              </w:rPr>
            </w:pPr>
            <w:r w:rsidRPr="00776E81">
              <w:rPr>
                <w:rFonts w:cstheme="minorHAnsi"/>
              </w:rPr>
              <w:t>ZED</w:t>
            </w:r>
          </w:p>
        </w:tc>
        <w:tc>
          <w:tcPr>
            <w:tcW w:w="2126" w:type="dxa"/>
            <w:tcBorders>
              <w:top w:val="nil"/>
              <w:bottom w:val="single" w:sz="4" w:space="0" w:color="auto"/>
            </w:tcBorders>
            <w:shd w:val="clear" w:color="auto" w:fill="FFFFFF"/>
          </w:tcPr>
          <w:p w14:paraId="48DEA8B4" w14:textId="77777777" w:rsidR="00472AEC" w:rsidRPr="00776E81" w:rsidRDefault="00472AEC" w:rsidP="00190991">
            <w:pPr>
              <w:spacing w:before="60" w:after="60"/>
              <w:jc w:val="right"/>
              <w:rPr>
                <w:rFonts w:cstheme="minorHAnsi"/>
              </w:rPr>
            </w:pPr>
            <w:r w:rsidRPr="00776E81">
              <w:rPr>
                <w:rFonts w:cstheme="minorHAnsi"/>
              </w:rPr>
              <w:t>1 674 tis. Kč</w:t>
            </w:r>
          </w:p>
        </w:tc>
      </w:tr>
      <w:tr w:rsidR="00472AEC" w:rsidRPr="00473066" w14:paraId="482828C4" w14:textId="77777777" w:rsidTr="00190991">
        <w:trPr>
          <w:tblHeader/>
        </w:trPr>
        <w:tc>
          <w:tcPr>
            <w:tcW w:w="7083" w:type="dxa"/>
            <w:tcBorders>
              <w:top w:val="single" w:sz="4" w:space="0" w:color="auto"/>
              <w:bottom w:val="nil"/>
            </w:tcBorders>
            <w:shd w:val="clear" w:color="auto" w:fill="FFFFFF"/>
          </w:tcPr>
          <w:p w14:paraId="55375B65" w14:textId="77777777" w:rsidR="00472AEC" w:rsidRPr="003A2D3F" w:rsidRDefault="00472AEC" w:rsidP="00190991">
            <w:pPr>
              <w:spacing w:before="60" w:after="60"/>
              <w:ind w:left="22" w:hanging="22"/>
              <w:rPr>
                <w:rFonts w:cstheme="minorHAnsi"/>
              </w:rPr>
            </w:pPr>
            <w:r w:rsidRPr="003A2D3F">
              <w:rPr>
                <w:rFonts w:cstheme="minorHAnsi"/>
              </w:rPr>
              <w:t>Operační program Doprava 2021+ (v tom:)</w:t>
            </w:r>
          </w:p>
        </w:tc>
        <w:tc>
          <w:tcPr>
            <w:tcW w:w="2126" w:type="dxa"/>
            <w:tcBorders>
              <w:top w:val="single" w:sz="4" w:space="0" w:color="auto"/>
              <w:bottom w:val="nil"/>
            </w:tcBorders>
            <w:shd w:val="clear" w:color="auto" w:fill="FFFFFF"/>
          </w:tcPr>
          <w:p w14:paraId="47BA10ED" w14:textId="77777777" w:rsidR="00472AEC" w:rsidRPr="003A2D3F" w:rsidRDefault="00472AEC" w:rsidP="00190991">
            <w:pPr>
              <w:spacing w:before="60" w:after="60"/>
              <w:jc w:val="right"/>
              <w:rPr>
                <w:rFonts w:cstheme="minorHAnsi"/>
              </w:rPr>
            </w:pPr>
            <w:r w:rsidRPr="003A2D3F">
              <w:rPr>
                <w:rFonts w:cstheme="minorHAnsi"/>
              </w:rPr>
              <w:t>10 075 971 tis. Kč</w:t>
            </w:r>
          </w:p>
        </w:tc>
      </w:tr>
      <w:tr w:rsidR="00472AEC" w:rsidRPr="00473066" w14:paraId="5C18034C" w14:textId="77777777" w:rsidTr="00190991">
        <w:trPr>
          <w:tblHeader/>
        </w:trPr>
        <w:tc>
          <w:tcPr>
            <w:tcW w:w="7083" w:type="dxa"/>
            <w:tcBorders>
              <w:top w:val="nil"/>
              <w:bottom w:val="single" w:sz="4" w:space="0" w:color="auto"/>
            </w:tcBorders>
            <w:shd w:val="clear" w:color="auto" w:fill="FFFFFF"/>
          </w:tcPr>
          <w:p w14:paraId="47B0CAC8" w14:textId="77777777" w:rsidR="00472AEC" w:rsidRPr="003A2D3F" w:rsidRDefault="00472AEC" w:rsidP="00190991">
            <w:pPr>
              <w:spacing w:before="60" w:after="60"/>
              <w:ind w:left="22" w:hanging="22"/>
              <w:rPr>
                <w:rFonts w:cstheme="minorHAnsi"/>
              </w:rPr>
            </w:pPr>
            <w:r w:rsidRPr="003A2D3F">
              <w:rPr>
                <w:rFonts w:cstheme="minorHAnsi"/>
              </w:rPr>
              <w:t>ZED</w:t>
            </w:r>
          </w:p>
        </w:tc>
        <w:tc>
          <w:tcPr>
            <w:tcW w:w="2126" w:type="dxa"/>
            <w:tcBorders>
              <w:top w:val="nil"/>
              <w:bottom w:val="single" w:sz="4" w:space="0" w:color="auto"/>
            </w:tcBorders>
            <w:shd w:val="clear" w:color="auto" w:fill="FFFFFF"/>
          </w:tcPr>
          <w:p w14:paraId="646043DB" w14:textId="77777777" w:rsidR="00472AEC" w:rsidRPr="003A2D3F" w:rsidRDefault="00472AEC" w:rsidP="00190991">
            <w:pPr>
              <w:spacing w:before="60" w:after="60"/>
              <w:jc w:val="right"/>
              <w:rPr>
                <w:rFonts w:cstheme="minorHAnsi"/>
              </w:rPr>
            </w:pPr>
            <w:r w:rsidRPr="003A2D3F">
              <w:rPr>
                <w:rFonts w:cstheme="minorHAnsi"/>
              </w:rPr>
              <w:t>10 075 971 tis. Kč</w:t>
            </w:r>
          </w:p>
        </w:tc>
      </w:tr>
      <w:tr w:rsidR="00472AEC" w:rsidRPr="00473066" w14:paraId="4E2ABA06" w14:textId="77777777" w:rsidTr="00190991">
        <w:trPr>
          <w:tblHeader/>
        </w:trPr>
        <w:tc>
          <w:tcPr>
            <w:tcW w:w="7083" w:type="dxa"/>
            <w:tcBorders>
              <w:top w:val="single" w:sz="4" w:space="0" w:color="auto"/>
              <w:bottom w:val="nil"/>
            </w:tcBorders>
            <w:shd w:val="clear" w:color="auto" w:fill="FFFFFF"/>
          </w:tcPr>
          <w:p w14:paraId="2043532D" w14:textId="77777777" w:rsidR="00472AEC" w:rsidRPr="00E70635" w:rsidRDefault="00472AEC" w:rsidP="00190991">
            <w:pPr>
              <w:spacing w:before="60" w:after="60"/>
              <w:ind w:left="22" w:hanging="22"/>
              <w:rPr>
                <w:rFonts w:cstheme="minorHAnsi"/>
              </w:rPr>
            </w:pPr>
            <w:r w:rsidRPr="00E70635">
              <w:rPr>
                <w:rFonts w:cstheme="minorHAnsi"/>
              </w:rPr>
              <w:t>Komunitární programy 2021+ (v tom:)</w:t>
            </w:r>
          </w:p>
        </w:tc>
        <w:tc>
          <w:tcPr>
            <w:tcW w:w="2126" w:type="dxa"/>
            <w:tcBorders>
              <w:top w:val="single" w:sz="4" w:space="0" w:color="auto"/>
              <w:bottom w:val="nil"/>
            </w:tcBorders>
            <w:shd w:val="clear" w:color="auto" w:fill="FFFFFF"/>
          </w:tcPr>
          <w:p w14:paraId="51DAB3A6" w14:textId="77777777" w:rsidR="00472AEC" w:rsidRPr="00E70635" w:rsidRDefault="00472AEC" w:rsidP="00190991">
            <w:pPr>
              <w:spacing w:before="60" w:after="60"/>
              <w:jc w:val="right"/>
              <w:rPr>
                <w:rFonts w:cstheme="minorHAnsi"/>
              </w:rPr>
            </w:pPr>
            <w:r w:rsidRPr="00E70635">
              <w:rPr>
                <w:rFonts w:cstheme="minorHAnsi"/>
              </w:rPr>
              <w:t>4 070 233 tis. Kč</w:t>
            </w:r>
          </w:p>
        </w:tc>
      </w:tr>
      <w:tr w:rsidR="00472AEC" w:rsidRPr="00473066" w14:paraId="7815260F" w14:textId="77777777" w:rsidTr="00190991">
        <w:trPr>
          <w:tblHeader/>
        </w:trPr>
        <w:tc>
          <w:tcPr>
            <w:tcW w:w="7083" w:type="dxa"/>
            <w:tcBorders>
              <w:top w:val="nil"/>
              <w:bottom w:val="single" w:sz="4" w:space="0" w:color="auto"/>
            </w:tcBorders>
            <w:shd w:val="clear" w:color="auto" w:fill="FFFFFF"/>
          </w:tcPr>
          <w:p w14:paraId="582F6666" w14:textId="77777777" w:rsidR="00472AEC" w:rsidRPr="00E70635" w:rsidRDefault="00472AEC" w:rsidP="00190991">
            <w:pPr>
              <w:spacing w:before="60" w:after="60"/>
              <w:ind w:left="22" w:hanging="22"/>
              <w:rPr>
                <w:rFonts w:cstheme="minorHAnsi"/>
              </w:rPr>
            </w:pPr>
            <w:r w:rsidRPr="00E70635">
              <w:rPr>
                <w:rFonts w:cstheme="minorHAnsi"/>
              </w:rPr>
              <w:t>ZED</w:t>
            </w:r>
          </w:p>
        </w:tc>
        <w:tc>
          <w:tcPr>
            <w:tcW w:w="2126" w:type="dxa"/>
            <w:tcBorders>
              <w:top w:val="nil"/>
              <w:bottom w:val="single" w:sz="4" w:space="0" w:color="auto"/>
            </w:tcBorders>
            <w:shd w:val="clear" w:color="auto" w:fill="FFFFFF"/>
          </w:tcPr>
          <w:p w14:paraId="2D783850" w14:textId="77777777" w:rsidR="00472AEC" w:rsidRPr="00E70635" w:rsidRDefault="00472AEC" w:rsidP="00190991">
            <w:pPr>
              <w:spacing w:before="60" w:after="60"/>
              <w:jc w:val="right"/>
              <w:rPr>
                <w:rFonts w:cstheme="minorHAnsi"/>
              </w:rPr>
            </w:pPr>
            <w:r w:rsidRPr="00E70635">
              <w:rPr>
                <w:rFonts w:cstheme="minorHAnsi"/>
              </w:rPr>
              <w:t>4 070 233 tis. Kč</w:t>
            </w:r>
          </w:p>
        </w:tc>
      </w:tr>
      <w:tr w:rsidR="00472AEC" w:rsidRPr="00473066" w14:paraId="3273A630" w14:textId="77777777" w:rsidTr="00190991">
        <w:trPr>
          <w:tblHeader/>
        </w:trPr>
        <w:tc>
          <w:tcPr>
            <w:tcW w:w="7083" w:type="dxa"/>
            <w:tcBorders>
              <w:top w:val="single" w:sz="4" w:space="0" w:color="auto"/>
              <w:bottom w:val="nil"/>
            </w:tcBorders>
            <w:shd w:val="clear" w:color="auto" w:fill="FFFFFF"/>
          </w:tcPr>
          <w:p w14:paraId="5E61F4D9" w14:textId="77777777" w:rsidR="00472AEC" w:rsidRPr="00B35880" w:rsidRDefault="00472AEC" w:rsidP="00190991">
            <w:pPr>
              <w:spacing w:before="60" w:after="60"/>
              <w:ind w:left="22" w:hanging="22"/>
              <w:rPr>
                <w:rFonts w:cstheme="minorHAnsi"/>
              </w:rPr>
            </w:pPr>
            <w:r w:rsidRPr="00B35880">
              <w:rPr>
                <w:rFonts w:cstheme="minorHAnsi"/>
              </w:rPr>
              <w:t>Národní plán obnovy (v tom:)</w:t>
            </w:r>
          </w:p>
        </w:tc>
        <w:tc>
          <w:tcPr>
            <w:tcW w:w="2126" w:type="dxa"/>
            <w:tcBorders>
              <w:top w:val="single" w:sz="4" w:space="0" w:color="auto"/>
              <w:bottom w:val="nil"/>
            </w:tcBorders>
            <w:shd w:val="clear" w:color="auto" w:fill="FFFFFF"/>
          </w:tcPr>
          <w:p w14:paraId="6EFB1C25" w14:textId="77777777" w:rsidR="00472AEC" w:rsidRPr="00B35880" w:rsidRDefault="00472AEC" w:rsidP="00190991">
            <w:pPr>
              <w:spacing w:before="60" w:after="60"/>
              <w:jc w:val="right"/>
              <w:rPr>
                <w:rFonts w:cstheme="minorHAnsi"/>
              </w:rPr>
            </w:pPr>
            <w:r>
              <w:rPr>
                <w:rFonts w:cstheme="minorHAnsi"/>
              </w:rPr>
              <w:t>4 158 755</w:t>
            </w:r>
            <w:r w:rsidRPr="00B35880">
              <w:rPr>
                <w:rFonts w:cstheme="minorHAnsi"/>
              </w:rPr>
              <w:t xml:space="preserve"> tis. Kč</w:t>
            </w:r>
          </w:p>
        </w:tc>
      </w:tr>
      <w:tr w:rsidR="00472AEC" w:rsidRPr="00473066" w14:paraId="2EFF8E5C" w14:textId="77777777" w:rsidTr="00190991">
        <w:trPr>
          <w:tblHeader/>
        </w:trPr>
        <w:tc>
          <w:tcPr>
            <w:tcW w:w="7083" w:type="dxa"/>
            <w:tcBorders>
              <w:top w:val="nil"/>
            </w:tcBorders>
          </w:tcPr>
          <w:p w14:paraId="19BB44E6" w14:textId="77777777" w:rsidR="00472AEC" w:rsidRPr="00B35880" w:rsidRDefault="00472AEC" w:rsidP="00190991">
            <w:pPr>
              <w:spacing w:before="60" w:after="60"/>
              <w:ind w:left="22" w:hanging="22"/>
              <w:rPr>
                <w:rFonts w:cstheme="minorHAnsi"/>
              </w:rPr>
            </w:pPr>
            <w:r w:rsidRPr="00B35880">
              <w:rPr>
                <w:rFonts w:cstheme="minorHAnsi"/>
              </w:rPr>
              <w:t>ZED</w:t>
            </w:r>
          </w:p>
        </w:tc>
        <w:tc>
          <w:tcPr>
            <w:tcW w:w="2126" w:type="dxa"/>
            <w:tcBorders>
              <w:top w:val="nil"/>
            </w:tcBorders>
          </w:tcPr>
          <w:p w14:paraId="404EEDA4" w14:textId="77777777" w:rsidR="00472AEC" w:rsidRPr="00B35880" w:rsidRDefault="00472AEC" w:rsidP="00190991">
            <w:pPr>
              <w:spacing w:before="60" w:after="60"/>
              <w:jc w:val="right"/>
              <w:rPr>
                <w:rFonts w:cstheme="minorHAnsi"/>
              </w:rPr>
            </w:pPr>
            <w:r>
              <w:rPr>
                <w:rFonts w:cstheme="minorHAnsi"/>
              </w:rPr>
              <w:t>4 158 755</w:t>
            </w:r>
            <w:r w:rsidRPr="00B35880">
              <w:rPr>
                <w:rFonts w:cstheme="minorHAnsi"/>
              </w:rPr>
              <w:t xml:space="preserve"> tis. Kč</w:t>
            </w:r>
          </w:p>
        </w:tc>
      </w:tr>
    </w:tbl>
    <w:p w14:paraId="00CFEA93" w14:textId="09371B68" w:rsidR="00041405" w:rsidRPr="006B6D61" w:rsidRDefault="00041405" w:rsidP="00E20BD6">
      <w:pPr>
        <w:pStyle w:val="KOMnadp3"/>
      </w:pPr>
      <w:bookmarkStart w:id="109" w:name="_Toc128397658"/>
      <w:bookmarkStart w:id="110" w:name="_Toc128397791"/>
      <w:bookmarkStart w:id="111" w:name="_Toc128398014"/>
      <w:bookmarkStart w:id="112" w:name="_Toc128398357"/>
      <w:bookmarkStart w:id="113" w:name="_Toc128398483"/>
      <w:bookmarkStart w:id="114" w:name="_Toc128398697"/>
      <w:bookmarkStart w:id="115" w:name="_Toc128400013"/>
      <w:bookmarkStart w:id="116" w:name="_Toc128401253"/>
      <w:bookmarkStart w:id="117" w:name="_Toc128401381"/>
      <w:bookmarkStart w:id="118" w:name="_Toc128401868"/>
      <w:bookmarkStart w:id="119" w:name="_Toc128400014"/>
      <w:bookmarkStart w:id="120" w:name="_Toc162269243"/>
      <w:bookmarkEnd w:id="109"/>
      <w:bookmarkEnd w:id="110"/>
      <w:bookmarkEnd w:id="111"/>
      <w:bookmarkEnd w:id="112"/>
      <w:bookmarkEnd w:id="113"/>
      <w:bookmarkEnd w:id="114"/>
      <w:bookmarkEnd w:id="115"/>
      <w:bookmarkEnd w:id="116"/>
      <w:bookmarkEnd w:id="117"/>
      <w:bookmarkEnd w:id="118"/>
      <w:r w:rsidRPr="006B6D61">
        <w:lastRenderedPageBreak/>
        <w:t>Ostatní výdaje spojené s dopravní politikou státu</w:t>
      </w:r>
      <w:bookmarkEnd w:id="119"/>
      <w:bookmarkEnd w:id="120"/>
    </w:p>
    <w:p w14:paraId="59B72731" w14:textId="6A614DE7" w:rsidR="001621FB" w:rsidRPr="007D023A" w:rsidRDefault="001621FB" w:rsidP="001621FB">
      <w:pPr>
        <w:pStyle w:val="KOMtext"/>
      </w:pPr>
      <w:r w:rsidRPr="007D023A">
        <w:t xml:space="preserve">Výdajový blok zahrnuje ostatní výdaje, které nespadají do předchozích výdajových bloků </w:t>
      </w:r>
      <w:r w:rsidRPr="007D023A">
        <w:br/>
        <w:t xml:space="preserve">a mimo výdaje spojené s výkonem předsednictví ČR v Radě EU. V roce 2023 bylo na tento výdajový blok rozpočtováno celkem 9 484 338 tis. Kč, v průběhu roku došlo k jeho navýšení </w:t>
      </w:r>
      <w:r w:rsidRPr="007D023A">
        <w:br/>
        <w:t xml:space="preserve">o 426 655 tis. Kč na částku 9 910 993 tis. Kč. Skutečné čerpání bylo ve výši </w:t>
      </w:r>
      <w:r w:rsidRPr="007D023A">
        <w:rPr>
          <w:b/>
        </w:rPr>
        <w:t>9 752 448 tis. Kč,</w:t>
      </w:r>
      <w:r w:rsidRPr="007D023A">
        <w:t xml:space="preserve"> </w:t>
      </w:r>
      <w:r w:rsidRPr="007D023A">
        <w:br/>
        <w:t xml:space="preserve">tj. 8,8 % souhrnného ukazatele výdaje celkem. Skutečné čerpání výdajového bloku se dělí </w:t>
      </w:r>
      <w:r w:rsidRPr="007D023A">
        <w:br/>
        <w:t>na dva výdajové okruhy:</w:t>
      </w:r>
    </w:p>
    <w:p w14:paraId="62676747" w14:textId="77777777" w:rsidR="001621FB" w:rsidRPr="007D023A" w:rsidRDefault="001621FB" w:rsidP="008A0E44">
      <w:pPr>
        <w:pStyle w:val="KOMnadp4"/>
      </w:pPr>
      <w:r w:rsidRPr="007D023A">
        <w:t>Další výdaje spojené s dopravní politikou státu</w:t>
      </w:r>
    </w:p>
    <w:p w14:paraId="33F1FEE3" w14:textId="77777777" w:rsidR="001621FB" w:rsidRPr="002C637D" w:rsidRDefault="001621FB" w:rsidP="001621FB">
      <w:pPr>
        <w:pStyle w:val="KOMtext"/>
        <w:spacing w:before="60"/>
      </w:pPr>
      <w:r w:rsidRPr="002C637D">
        <w:t xml:space="preserve">Tento výdajový </w:t>
      </w:r>
      <w:r>
        <w:t>okruh</w:t>
      </w:r>
      <w:r w:rsidRPr="002C637D">
        <w:t xml:space="preserve"> představuje výdaje napříč celou kapitolou 327 Ministerstvo dopravy. Schválený rozpočet dílčího ukazatele ve výši 8 276 100 tis. Kč byl v průběhu roku navýšen </w:t>
      </w:r>
      <w:r>
        <w:br/>
        <w:t xml:space="preserve">o 452 570 tis. Kč </w:t>
      </w:r>
      <w:r w:rsidRPr="002C637D">
        <w:t xml:space="preserve">na částku 8 728 670 tis. Kč. Čerpání činilo </w:t>
      </w:r>
      <w:r w:rsidRPr="002C637D">
        <w:rPr>
          <w:b/>
        </w:rPr>
        <w:t>8 577 900 tis. Kč</w:t>
      </w:r>
      <w:r w:rsidRPr="002C637D">
        <w:t xml:space="preserve">, tj. 98,3 % rozpočtu po změnách; z toho: nároky 855 895 tis. Kč, prostředky rezervního fondu 4 446 tis. Kč, prostředky EU 759 531 tis. Kč. </w:t>
      </w:r>
    </w:p>
    <w:p w14:paraId="65CC1A1D" w14:textId="77777777" w:rsidR="001621FB" w:rsidRPr="007D023A" w:rsidRDefault="001621FB" w:rsidP="008A0E44">
      <w:pPr>
        <w:pStyle w:val="KOMnadp4"/>
      </w:pPr>
      <w:r w:rsidRPr="007D023A">
        <w:t xml:space="preserve">Výdaje spojené s kosmickými aktivitami </w:t>
      </w:r>
    </w:p>
    <w:p w14:paraId="6212A798" w14:textId="77777777" w:rsidR="001621FB" w:rsidRPr="002F7D09" w:rsidRDefault="001621FB" w:rsidP="001621FB">
      <w:pPr>
        <w:pStyle w:val="KOMtext"/>
        <w:spacing w:before="60" w:after="0"/>
      </w:pPr>
      <w:r w:rsidRPr="00547E2A">
        <w:t xml:space="preserve">Jedná se o výdaje spojené s kosmickými aktivitami, které resort dopravy v rámci České republiky koordinuje. Schválený rozpočet dílčího ukazatele ve výši 1 208 238 tis. Kč byl v průběhu roku snížen </w:t>
      </w:r>
      <w:r>
        <w:t xml:space="preserve">o částku 25 915 tis. Kč </w:t>
      </w:r>
      <w:r w:rsidRPr="00547E2A">
        <w:t xml:space="preserve">na částku 1 182 323 tis. Kč. Celkem bylo čerpáno </w:t>
      </w:r>
      <w:r w:rsidRPr="00547E2A">
        <w:rPr>
          <w:b/>
        </w:rPr>
        <w:t>1 174 549 tis. Kč,</w:t>
      </w:r>
      <w:r w:rsidRPr="00547E2A">
        <w:t xml:space="preserve"> tj. 99,3 % rozpočtu po změnách. Nejvyšší částku čerpání tvořil neinvestiční transfer do zahraničí pro Evropskou kosmickou agenturu (ESA) ve </w:t>
      </w:r>
      <w:r w:rsidRPr="002F7D09">
        <w:t>výši 1 171 466 tis. Kč.</w:t>
      </w:r>
    </w:p>
    <w:p w14:paraId="00B462FD" w14:textId="77777777" w:rsidR="001621FB" w:rsidRPr="00C378D4" w:rsidRDefault="001621FB" w:rsidP="001621FB">
      <w:pPr>
        <w:pStyle w:val="KOMtext"/>
        <w:ind w:left="284" w:hanging="284"/>
        <w:rPr>
          <w:b/>
        </w:rPr>
      </w:pPr>
      <w:r w:rsidRPr="00C378D4">
        <w:rPr>
          <w:b/>
        </w:rPr>
        <w:t xml:space="preserve">Členění ukazatele podle zdroje financování: </w:t>
      </w:r>
    </w:p>
    <w:p w14:paraId="2346458D" w14:textId="77777777" w:rsidR="001621FB" w:rsidRDefault="001621FB" w:rsidP="001621FB">
      <w:pPr>
        <w:pStyle w:val="KOMtext"/>
        <w:numPr>
          <w:ilvl w:val="0"/>
          <w:numId w:val="13"/>
        </w:numPr>
        <w:ind w:left="709" w:hanging="425"/>
      </w:pPr>
      <w:r w:rsidRPr="00AC415B">
        <w:t>financované z prostředků státního rozpočtu (</w:t>
      </w:r>
      <w:r>
        <w:t>8</w:t>
      </w:r>
      <w:r w:rsidRPr="00AC415B">
        <w:t> </w:t>
      </w:r>
      <w:r>
        <w:t>992</w:t>
      </w:r>
      <w:r w:rsidRPr="00AC415B">
        <w:t xml:space="preserve"> </w:t>
      </w:r>
      <w:r>
        <w:t>599</w:t>
      </w:r>
      <w:r w:rsidRPr="00AC415B">
        <w:t xml:space="preserve"> tis. Kč)</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66"/>
        <w:gridCol w:w="1984"/>
      </w:tblGrid>
      <w:tr w:rsidR="001621FB" w:rsidRPr="00473066" w14:paraId="1D7B1AF8" w14:textId="77777777" w:rsidTr="00190991">
        <w:trPr>
          <w:tblHeader/>
        </w:trPr>
        <w:tc>
          <w:tcPr>
            <w:tcW w:w="7366" w:type="dxa"/>
            <w:tcBorders>
              <w:bottom w:val="single" w:sz="4" w:space="0" w:color="auto"/>
            </w:tcBorders>
            <w:shd w:val="pct12" w:color="auto" w:fill="FFFFFF"/>
          </w:tcPr>
          <w:p w14:paraId="59E6EA32" w14:textId="77777777" w:rsidR="001621FB" w:rsidRPr="006804B6" w:rsidRDefault="001621FB" w:rsidP="00190991">
            <w:pPr>
              <w:spacing w:before="60" w:after="60"/>
              <w:rPr>
                <w:b/>
                <w:color w:val="2E74B5"/>
              </w:rPr>
            </w:pPr>
            <w:r w:rsidRPr="006804B6">
              <w:rPr>
                <w:b/>
                <w:color w:val="2E74B5"/>
              </w:rPr>
              <w:t xml:space="preserve">Další výdaje spojené s dopravní politikou státu </w:t>
            </w:r>
            <w:r w:rsidRPr="006804B6">
              <w:rPr>
                <w:color w:val="2E74B5"/>
              </w:rPr>
              <w:t>(v tom:)</w:t>
            </w:r>
          </w:p>
        </w:tc>
        <w:tc>
          <w:tcPr>
            <w:tcW w:w="1984" w:type="dxa"/>
            <w:tcBorders>
              <w:bottom w:val="single" w:sz="4" w:space="0" w:color="auto"/>
            </w:tcBorders>
            <w:shd w:val="pct12" w:color="auto" w:fill="FFFFFF"/>
          </w:tcPr>
          <w:p w14:paraId="0AB35972" w14:textId="77777777" w:rsidR="001621FB" w:rsidRPr="006804B6" w:rsidRDefault="001621FB" w:rsidP="00190991">
            <w:pPr>
              <w:spacing w:before="60" w:after="60"/>
              <w:jc w:val="right"/>
              <w:rPr>
                <w:b/>
                <w:color w:val="2E74B5"/>
              </w:rPr>
            </w:pPr>
            <w:r w:rsidRPr="006804B6">
              <w:rPr>
                <w:b/>
                <w:color w:val="2E74B5"/>
              </w:rPr>
              <w:t>7 818 368 tis. Kč</w:t>
            </w:r>
          </w:p>
        </w:tc>
      </w:tr>
      <w:tr w:rsidR="001621FB" w:rsidRPr="00473066" w14:paraId="6B3AB925" w14:textId="77777777" w:rsidTr="00190991">
        <w:trPr>
          <w:tblHeader/>
        </w:trPr>
        <w:tc>
          <w:tcPr>
            <w:tcW w:w="7366" w:type="dxa"/>
            <w:tcBorders>
              <w:top w:val="single" w:sz="4" w:space="0" w:color="D9D9D9"/>
              <w:bottom w:val="nil"/>
            </w:tcBorders>
            <w:shd w:val="clear" w:color="auto" w:fill="FFFFFF"/>
          </w:tcPr>
          <w:p w14:paraId="16C66A8C" w14:textId="77777777" w:rsidR="001621FB" w:rsidRPr="00595983" w:rsidRDefault="001621FB" w:rsidP="00190991">
            <w:pPr>
              <w:pStyle w:val="Odstavecseseznamem"/>
              <w:spacing w:before="60" w:after="60"/>
              <w:ind w:left="0"/>
              <w:rPr>
                <w:color w:val="2E74B5"/>
              </w:rPr>
            </w:pPr>
            <w:r w:rsidRPr="00595983">
              <w:rPr>
                <w:color w:val="2E74B5"/>
              </w:rPr>
              <w:t>Výdaje ústředního orgánu MD, bez transferu do zahraničí (z toho:)</w:t>
            </w:r>
          </w:p>
        </w:tc>
        <w:tc>
          <w:tcPr>
            <w:tcW w:w="1984" w:type="dxa"/>
            <w:tcBorders>
              <w:top w:val="single" w:sz="4" w:space="0" w:color="D9D9D9"/>
              <w:bottom w:val="nil"/>
            </w:tcBorders>
            <w:shd w:val="clear" w:color="auto" w:fill="FFFFFF"/>
          </w:tcPr>
          <w:p w14:paraId="54F23727" w14:textId="77777777" w:rsidR="001621FB" w:rsidRPr="00595983" w:rsidRDefault="001621FB" w:rsidP="00190991">
            <w:pPr>
              <w:spacing w:before="60" w:after="60"/>
              <w:jc w:val="right"/>
              <w:rPr>
                <w:color w:val="2E74B5"/>
              </w:rPr>
            </w:pPr>
            <w:r w:rsidRPr="00595983">
              <w:rPr>
                <w:color w:val="2E74B5"/>
              </w:rPr>
              <w:t>5 835 728 tis. Kč</w:t>
            </w:r>
          </w:p>
        </w:tc>
      </w:tr>
      <w:tr w:rsidR="001621FB" w:rsidRPr="00473066" w14:paraId="0C6CED7E" w14:textId="77777777" w:rsidTr="00190991">
        <w:trPr>
          <w:tblHeader/>
        </w:trPr>
        <w:tc>
          <w:tcPr>
            <w:tcW w:w="7366" w:type="dxa"/>
            <w:tcBorders>
              <w:top w:val="nil"/>
              <w:bottom w:val="nil"/>
            </w:tcBorders>
            <w:shd w:val="clear" w:color="auto" w:fill="FFFFFF"/>
          </w:tcPr>
          <w:p w14:paraId="46DDA273" w14:textId="77777777" w:rsidR="001621FB" w:rsidRPr="0042754F" w:rsidRDefault="001621FB" w:rsidP="00190991">
            <w:pPr>
              <w:spacing w:before="60" w:after="60"/>
              <w:ind w:left="22" w:hanging="22"/>
            </w:pPr>
            <w:r w:rsidRPr="0042754F">
              <w:t>Kompenzace slev jízdného</w:t>
            </w:r>
          </w:p>
        </w:tc>
        <w:tc>
          <w:tcPr>
            <w:tcW w:w="1984" w:type="dxa"/>
            <w:tcBorders>
              <w:top w:val="nil"/>
              <w:bottom w:val="nil"/>
            </w:tcBorders>
            <w:shd w:val="clear" w:color="auto" w:fill="FFFFFF"/>
          </w:tcPr>
          <w:p w14:paraId="3FADDFBB" w14:textId="77777777" w:rsidR="001621FB" w:rsidRPr="0042754F" w:rsidRDefault="001621FB" w:rsidP="00190991">
            <w:pPr>
              <w:spacing w:before="60" w:after="60"/>
              <w:jc w:val="right"/>
            </w:pPr>
            <w:r w:rsidRPr="0042754F">
              <w:t>4 663 026 tis. Kč</w:t>
            </w:r>
          </w:p>
        </w:tc>
      </w:tr>
      <w:tr w:rsidR="001621FB" w:rsidRPr="00473066" w14:paraId="2E4B2677" w14:textId="77777777" w:rsidTr="00190991">
        <w:trPr>
          <w:tblHeader/>
        </w:trPr>
        <w:tc>
          <w:tcPr>
            <w:tcW w:w="7366" w:type="dxa"/>
            <w:tcBorders>
              <w:top w:val="nil"/>
              <w:bottom w:val="nil"/>
            </w:tcBorders>
            <w:shd w:val="clear" w:color="auto" w:fill="FFFFFF"/>
          </w:tcPr>
          <w:p w14:paraId="49DFA51C" w14:textId="77777777" w:rsidR="001621FB" w:rsidRPr="0042754F" w:rsidRDefault="001621FB" w:rsidP="00190991">
            <w:pPr>
              <w:spacing w:before="60" w:after="60"/>
              <w:ind w:left="22" w:hanging="22"/>
            </w:pPr>
            <w:r w:rsidRPr="0042754F">
              <w:t>Dopravně správní agendy</w:t>
            </w:r>
          </w:p>
        </w:tc>
        <w:tc>
          <w:tcPr>
            <w:tcW w:w="1984" w:type="dxa"/>
            <w:tcBorders>
              <w:top w:val="nil"/>
              <w:bottom w:val="nil"/>
            </w:tcBorders>
            <w:shd w:val="clear" w:color="auto" w:fill="FFFFFF"/>
          </w:tcPr>
          <w:p w14:paraId="23CDEEB4" w14:textId="77777777" w:rsidR="001621FB" w:rsidRPr="0042754F" w:rsidRDefault="001621FB" w:rsidP="00190991">
            <w:pPr>
              <w:spacing w:before="60" w:after="60"/>
              <w:jc w:val="right"/>
            </w:pPr>
            <w:r w:rsidRPr="0042754F">
              <w:t>199 230 tis. Kč</w:t>
            </w:r>
          </w:p>
        </w:tc>
      </w:tr>
      <w:tr w:rsidR="001621FB" w:rsidRPr="00473066" w14:paraId="342B63AB" w14:textId="77777777" w:rsidTr="00190991">
        <w:trPr>
          <w:tblHeader/>
        </w:trPr>
        <w:tc>
          <w:tcPr>
            <w:tcW w:w="7366" w:type="dxa"/>
            <w:tcBorders>
              <w:top w:val="nil"/>
              <w:bottom w:val="nil"/>
            </w:tcBorders>
            <w:shd w:val="clear" w:color="auto" w:fill="FFFFFF"/>
          </w:tcPr>
          <w:p w14:paraId="140F6A1E" w14:textId="77777777" w:rsidR="001621FB" w:rsidRPr="007D31DE" w:rsidRDefault="001621FB" w:rsidP="00190991">
            <w:pPr>
              <w:spacing w:before="60" w:after="60"/>
              <w:ind w:left="22" w:hanging="22"/>
            </w:pPr>
            <w:r w:rsidRPr="007D31DE">
              <w:t xml:space="preserve">SMVS – 127 03 Rozvoj a obnova MTZ systému řízení </w:t>
            </w:r>
            <w:proofErr w:type="gramStart"/>
            <w:r w:rsidRPr="007D31DE">
              <w:t>MD - OSS</w:t>
            </w:r>
            <w:proofErr w:type="gramEnd"/>
          </w:p>
        </w:tc>
        <w:tc>
          <w:tcPr>
            <w:tcW w:w="1984" w:type="dxa"/>
            <w:tcBorders>
              <w:top w:val="nil"/>
              <w:bottom w:val="nil"/>
            </w:tcBorders>
            <w:shd w:val="clear" w:color="auto" w:fill="FFFFFF"/>
          </w:tcPr>
          <w:p w14:paraId="2E66ADEF" w14:textId="77777777" w:rsidR="001621FB" w:rsidRPr="007D31DE" w:rsidRDefault="001621FB" w:rsidP="00190991">
            <w:pPr>
              <w:spacing w:before="60" w:after="60"/>
              <w:jc w:val="right"/>
            </w:pPr>
            <w:r w:rsidRPr="007D31DE">
              <w:t>130 729 tis. Kč</w:t>
            </w:r>
          </w:p>
        </w:tc>
      </w:tr>
      <w:tr w:rsidR="001621FB" w:rsidRPr="00473066" w14:paraId="56B7D77D" w14:textId="77777777" w:rsidTr="00190991">
        <w:trPr>
          <w:tblHeader/>
        </w:trPr>
        <w:tc>
          <w:tcPr>
            <w:tcW w:w="7366" w:type="dxa"/>
            <w:tcBorders>
              <w:top w:val="nil"/>
              <w:bottom w:val="nil"/>
            </w:tcBorders>
            <w:shd w:val="clear" w:color="auto" w:fill="FFFFFF"/>
          </w:tcPr>
          <w:p w14:paraId="7F9B79A6" w14:textId="77777777" w:rsidR="001621FB" w:rsidRPr="007D31DE" w:rsidRDefault="001621FB" w:rsidP="00190991">
            <w:pPr>
              <w:spacing w:before="60" w:after="60"/>
              <w:ind w:left="22" w:hanging="22"/>
            </w:pPr>
            <w:r w:rsidRPr="007D31DE">
              <w:t xml:space="preserve">SMVS – 127 07 Rozvoj a obnova MTZ systému řízení </w:t>
            </w:r>
            <w:proofErr w:type="gramStart"/>
            <w:r w:rsidRPr="007D31DE">
              <w:t>MD - OSS</w:t>
            </w:r>
            <w:proofErr w:type="gramEnd"/>
          </w:p>
        </w:tc>
        <w:tc>
          <w:tcPr>
            <w:tcW w:w="1984" w:type="dxa"/>
            <w:tcBorders>
              <w:top w:val="nil"/>
              <w:bottom w:val="nil"/>
            </w:tcBorders>
            <w:shd w:val="clear" w:color="auto" w:fill="FFFFFF"/>
          </w:tcPr>
          <w:p w14:paraId="0A96D00A" w14:textId="77777777" w:rsidR="001621FB" w:rsidRPr="007D31DE" w:rsidRDefault="001621FB" w:rsidP="00190991">
            <w:pPr>
              <w:spacing w:before="60" w:after="60"/>
              <w:jc w:val="right"/>
            </w:pPr>
            <w:r w:rsidRPr="007D31DE">
              <w:t>119 328 tis. Kč</w:t>
            </w:r>
          </w:p>
        </w:tc>
      </w:tr>
      <w:tr w:rsidR="001621FB" w:rsidRPr="00473066" w14:paraId="395B224D" w14:textId="77777777" w:rsidTr="00190991">
        <w:trPr>
          <w:tblHeader/>
        </w:trPr>
        <w:tc>
          <w:tcPr>
            <w:tcW w:w="7366" w:type="dxa"/>
            <w:tcBorders>
              <w:top w:val="nil"/>
              <w:bottom w:val="nil"/>
            </w:tcBorders>
            <w:shd w:val="clear" w:color="auto" w:fill="FFFFFF"/>
          </w:tcPr>
          <w:p w14:paraId="65D2B7AA" w14:textId="77777777" w:rsidR="001621FB" w:rsidRPr="007D31DE" w:rsidRDefault="001621FB" w:rsidP="00190991">
            <w:pPr>
              <w:spacing w:before="60" w:after="60"/>
              <w:ind w:left="22" w:hanging="22"/>
            </w:pPr>
            <w:r w:rsidRPr="007D31DE">
              <w:t>OP Doprava 2014+</w:t>
            </w:r>
          </w:p>
        </w:tc>
        <w:tc>
          <w:tcPr>
            <w:tcW w:w="1984" w:type="dxa"/>
            <w:tcBorders>
              <w:top w:val="nil"/>
              <w:bottom w:val="nil"/>
            </w:tcBorders>
            <w:shd w:val="clear" w:color="auto" w:fill="FFFFFF"/>
          </w:tcPr>
          <w:p w14:paraId="5FDCEC1E" w14:textId="77777777" w:rsidR="001621FB" w:rsidRPr="007D31DE" w:rsidRDefault="001621FB" w:rsidP="00190991">
            <w:pPr>
              <w:spacing w:before="60" w:after="60"/>
              <w:jc w:val="right"/>
            </w:pPr>
            <w:r w:rsidRPr="007D31DE">
              <w:t>6 049 tis. Kč</w:t>
            </w:r>
          </w:p>
        </w:tc>
      </w:tr>
      <w:tr w:rsidR="001621FB" w:rsidRPr="00473066" w14:paraId="65E40024" w14:textId="77777777" w:rsidTr="00190991">
        <w:trPr>
          <w:tblHeader/>
        </w:trPr>
        <w:tc>
          <w:tcPr>
            <w:tcW w:w="7366" w:type="dxa"/>
            <w:tcBorders>
              <w:top w:val="nil"/>
              <w:bottom w:val="nil"/>
            </w:tcBorders>
            <w:shd w:val="clear" w:color="auto" w:fill="FFFFFF"/>
          </w:tcPr>
          <w:p w14:paraId="783FB0EC" w14:textId="77777777" w:rsidR="001621FB" w:rsidRPr="007D31DE" w:rsidRDefault="001621FB" w:rsidP="00190991">
            <w:pPr>
              <w:spacing w:before="60" w:after="60"/>
              <w:ind w:left="22" w:hanging="22"/>
            </w:pPr>
            <w:r w:rsidRPr="007D31DE">
              <w:t>Komunitární programy 2014+</w:t>
            </w:r>
          </w:p>
        </w:tc>
        <w:tc>
          <w:tcPr>
            <w:tcW w:w="1984" w:type="dxa"/>
            <w:tcBorders>
              <w:top w:val="nil"/>
              <w:bottom w:val="nil"/>
            </w:tcBorders>
            <w:shd w:val="clear" w:color="auto" w:fill="FFFFFF"/>
          </w:tcPr>
          <w:p w14:paraId="3E733C7B" w14:textId="77777777" w:rsidR="001621FB" w:rsidRPr="007D31DE" w:rsidRDefault="001621FB" w:rsidP="00190991">
            <w:pPr>
              <w:spacing w:before="60" w:after="60"/>
              <w:jc w:val="right"/>
            </w:pPr>
            <w:r w:rsidRPr="007D31DE">
              <w:t>238 tis. Kč</w:t>
            </w:r>
          </w:p>
        </w:tc>
      </w:tr>
      <w:tr w:rsidR="001621FB" w:rsidRPr="00473066" w14:paraId="35071B24" w14:textId="77777777" w:rsidTr="00903882">
        <w:trPr>
          <w:tblHeader/>
        </w:trPr>
        <w:tc>
          <w:tcPr>
            <w:tcW w:w="7366" w:type="dxa"/>
            <w:tcBorders>
              <w:top w:val="nil"/>
              <w:bottom w:val="nil"/>
            </w:tcBorders>
            <w:shd w:val="clear" w:color="auto" w:fill="FFFFFF"/>
          </w:tcPr>
          <w:p w14:paraId="76E64D86" w14:textId="77777777" w:rsidR="001621FB" w:rsidRPr="007D31DE" w:rsidRDefault="001621FB" w:rsidP="00190991">
            <w:pPr>
              <w:spacing w:before="60" w:after="60"/>
              <w:ind w:left="22" w:hanging="22"/>
            </w:pPr>
            <w:r w:rsidRPr="007D31DE">
              <w:t>OP Doprava 2021+</w:t>
            </w:r>
          </w:p>
        </w:tc>
        <w:tc>
          <w:tcPr>
            <w:tcW w:w="1984" w:type="dxa"/>
            <w:tcBorders>
              <w:top w:val="nil"/>
              <w:bottom w:val="nil"/>
            </w:tcBorders>
            <w:shd w:val="clear" w:color="auto" w:fill="FFFFFF"/>
          </w:tcPr>
          <w:p w14:paraId="7C3915D2" w14:textId="77777777" w:rsidR="001621FB" w:rsidRPr="007D31DE" w:rsidRDefault="001621FB" w:rsidP="00190991">
            <w:pPr>
              <w:spacing w:before="60" w:after="60"/>
              <w:jc w:val="right"/>
            </w:pPr>
            <w:r w:rsidRPr="007D31DE">
              <w:t>6 320 tis. Kč</w:t>
            </w:r>
          </w:p>
        </w:tc>
      </w:tr>
      <w:tr w:rsidR="001621FB" w:rsidRPr="00473066" w14:paraId="0CEA796B" w14:textId="77777777" w:rsidTr="00903882">
        <w:trPr>
          <w:tblHeader/>
        </w:trPr>
        <w:tc>
          <w:tcPr>
            <w:tcW w:w="7366" w:type="dxa"/>
            <w:tcBorders>
              <w:top w:val="nil"/>
              <w:bottom w:val="single" w:sz="4" w:space="0" w:color="auto"/>
            </w:tcBorders>
            <w:shd w:val="clear" w:color="auto" w:fill="FFFFFF"/>
          </w:tcPr>
          <w:p w14:paraId="6CA905AC" w14:textId="77777777" w:rsidR="001621FB" w:rsidRPr="007D31DE" w:rsidRDefault="001621FB" w:rsidP="00190991">
            <w:pPr>
              <w:spacing w:before="60" w:after="60"/>
              <w:ind w:left="22" w:hanging="22"/>
            </w:pPr>
            <w:r w:rsidRPr="007D31DE">
              <w:t xml:space="preserve">Komunitární programy 2021 + </w:t>
            </w:r>
          </w:p>
        </w:tc>
        <w:tc>
          <w:tcPr>
            <w:tcW w:w="1984" w:type="dxa"/>
            <w:tcBorders>
              <w:top w:val="nil"/>
              <w:bottom w:val="single" w:sz="4" w:space="0" w:color="auto"/>
            </w:tcBorders>
            <w:shd w:val="clear" w:color="auto" w:fill="FFFFFF"/>
          </w:tcPr>
          <w:p w14:paraId="2B4B9045" w14:textId="77777777" w:rsidR="001621FB" w:rsidRPr="007D31DE" w:rsidRDefault="001621FB" w:rsidP="00190991">
            <w:pPr>
              <w:spacing w:before="60" w:after="60"/>
              <w:jc w:val="right"/>
            </w:pPr>
            <w:r w:rsidRPr="007D31DE">
              <w:t>3 tis. Kč</w:t>
            </w:r>
          </w:p>
        </w:tc>
      </w:tr>
    </w:tbl>
    <w:p w14:paraId="5B6C22CF" w14:textId="77777777" w:rsidR="00903882" w:rsidRDefault="00903882"/>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66"/>
        <w:gridCol w:w="1984"/>
      </w:tblGrid>
      <w:tr w:rsidR="001621FB" w:rsidRPr="00473066" w14:paraId="20DFABDB" w14:textId="77777777" w:rsidTr="00190991">
        <w:trPr>
          <w:tblHeader/>
        </w:trPr>
        <w:tc>
          <w:tcPr>
            <w:tcW w:w="7366" w:type="dxa"/>
            <w:tcBorders>
              <w:top w:val="single" w:sz="4" w:space="0" w:color="auto"/>
              <w:bottom w:val="nil"/>
            </w:tcBorders>
            <w:shd w:val="clear" w:color="auto" w:fill="FFFFFF"/>
          </w:tcPr>
          <w:p w14:paraId="1A40A2E3" w14:textId="77777777" w:rsidR="001621FB" w:rsidRPr="00595983" w:rsidRDefault="001621FB" w:rsidP="00190991">
            <w:pPr>
              <w:spacing w:before="60" w:after="60"/>
              <w:ind w:left="22" w:hanging="22"/>
              <w:rPr>
                <w:color w:val="2E74B5"/>
              </w:rPr>
            </w:pPr>
            <w:r w:rsidRPr="00595983">
              <w:rPr>
                <w:color w:val="2E74B5"/>
              </w:rPr>
              <w:lastRenderedPageBreak/>
              <w:t>Výdaje ostatních organizačních složek státu, bez transferu do zahraničí (z toho:)</w:t>
            </w:r>
          </w:p>
        </w:tc>
        <w:tc>
          <w:tcPr>
            <w:tcW w:w="1984" w:type="dxa"/>
            <w:tcBorders>
              <w:top w:val="single" w:sz="4" w:space="0" w:color="auto"/>
              <w:bottom w:val="nil"/>
            </w:tcBorders>
            <w:shd w:val="clear" w:color="auto" w:fill="FFFFFF"/>
          </w:tcPr>
          <w:p w14:paraId="3CB5ADF7" w14:textId="77777777" w:rsidR="001621FB" w:rsidRPr="00595983" w:rsidRDefault="001621FB" w:rsidP="00190991">
            <w:pPr>
              <w:spacing w:before="60" w:after="60"/>
              <w:jc w:val="right"/>
              <w:rPr>
                <w:color w:val="2E74B5"/>
              </w:rPr>
            </w:pPr>
            <w:r w:rsidRPr="00595983">
              <w:rPr>
                <w:color w:val="2E74B5"/>
              </w:rPr>
              <w:t>519 863 tis. Kč</w:t>
            </w:r>
          </w:p>
        </w:tc>
      </w:tr>
      <w:tr w:rsidR="001621FB" w:rsidRPr="00473066" w14:paraId="3BE30F75" w14:textId="77777777" w:rsidTr="00190991">
        <w:trPr>
          <w:tblHeader/>
        </w:trPr>
        <w:tc>
          <w:tcPr>
            <w:tcW w:w="7366" w:type="dxa"/>
            <w:tcBorders>
              <w:top w:val="nil"/>
              <w:bottom w:val="nil"/>
            </w:tcBorders>
            <w:shd w:val="clear" w:color="auto" w:fill="FFFFFF"/>
          </w:tcPr>
          <w:p w14:paraId="3FD0C334" w14:textId="77777777" w:rsidR="001621FB" w:rsidRPr="00833D0A" w:rsidRDefault="001621FB" w:rsidP="00190991">
            <w:pPr>
              <w:spacing w:before="60" w:after="60"/>
              <w:ind w:left="22" w:hanging="22"/>
            </w:pPr>
            <w:r w:rsidRPr="00833D0A">
              <w:t xml:space="preserve">SMVS – 127 03 Rozvoj a obnova MTZ systému řízení </w:t>
            </w:r>
            <w:proofErr w:type="gramStart"/>
            <w:r w:rsidRPr="00833D0A">
              <w:t>MD - OSS</w:t>
            </w:r>
            <w:proofErr w:type="gramEnd"/>
          </w:p>
        </w:tc>
        <w:tc>
          <w:tcPr>
            <w:tcW w:w="1984" w:type="dxa"/>
            <w:tcBorders>
              <w:top w:val="nil"/>
              <w:bottom w:val="nil"/>
            </w:tcBorders>
            <w:shd w:val="clear" w:color="auto" w:fill="FFFFFF"/>
          </w:tcPr>
          <w:p w14:paraId="46DD8924" w14:textId="77777777" w:rsidR="001621FB" w:rsidRPr="00833D0A" w:rsidRDefault="001621FB" w:rsidP="00190991">
            <w:pPr>
              <w:spacing w:before="60" w:after="60"/>
              <w:jc w:val="right"/>
            </w:pPr>
            <w:r w:rsidRPr="00833D0A">
              <w:t>28 164 tis. Kč</w:t>
            </w:r>
          </w:p>
        </w:tc>
      </w:tr>
      <w:tr w:rsidR="001621FB" w:rsidRPr="00473066" w14:paraId="1745266B" w14:textId="77777777" w:rsidTr="00190991">
        <w:trPr>
          <w:tblHeader/>
        </w:trPr>
        <w:tc>
          <w:tcPr>
            <w:tcW w:w="7366" w:type="dxa"/>
            <w:tcBorders>
              <w:top w:val="nil"/>
              <w:bottom w:val="nil"/>
            </w:tcBorders>
            <w:shd w:val="clear" w:color="auto" w:fill="FFFFFF"/>
          </w:tcPr>
          <w:p w14:paraId="10D4CC21" w14:textId="77777777" w:rsidR="001621FB" w:rsidRPr="00833D0A" w:rsidRDefault="001621FB" w:rsidP="00190991">
            <w:pPr>
              <w:spacing w:before="60" w:after="60"/>
              <w:ind w:left="22" w:hanging="22"/>
            </w:pPr>
            <w:r w:rsidRPr="00833D0A">
              <w:t xml:space="preserve">SMVS – 127 07 Rozvoj a obnova MTZ systému řízení </w:t>
            </w:r>
            <w:proofErr w:type="gramStart"/>
            <w:r w:rsidRPr="00833D0A">
              <w:t>MD - OSS</w:t>
            </w:r>
            <w:proofErr w:type="gramEnd"/>
          </w:p>
        </w:tc>
        <w:tc>
          <w:tcPr>
            <w:tcW w:w="1984" w:type="dxa"/>
            <w:tcBorders>
              <w:top w:val="nil"/>
              <w:bottom w:val="nil"/>
            </w:tcBorders>
            <w:shd w:val="clear" w:color="auto" w:fill="FFFFFF"/>
          </w:tcPr>
          <w:p w14:paraId="4EA7D28C" w14:textId="77777777" w:rsidR="001621FB" w:rsidRPr="00833D0A" w:rsidRDefault="001621FB" w:rsidP="00190991">
            <w:pPr>
              <w:spacing w:before="60" w:after="60"/>
              <w:jc w:val="right"/>
            </w:pPr>
            <w:r w:rsidRPr="00833D0A">
              <w:t>6 241 tis. Kč</w:t>
            </w:r>
          </w:p>
        </w:tc>
      </w:tr>
      <w:tr w:rsidR="001621FB" w:rsidRPr="00473066" w14:paraId="4FBFF1FB" w14:textId="77777777" w:rsidTr="00190991">
        <w:trPr>
          <w:tblHeader/>
        </w:trPr>
        <w:tc>
          <w:tcPr>
            <w:tcW w:w="7366" w:type="dxa"/>
            <w:tcBorders>
              <w:top w:val="nil"/>
              <w:bottom w:val="nil"/>
            </w:tcBorders>
            <w:shd w:val="clear" w:color="auto" w:fill="FFFFFF"/>
          </w:tcPr>
          <w:p w14:paraId="52DF9D61" w14:textId="77777777" w:rsidR="001621FB" w:rsidRPr="00833D0A" w:rsidRDefault="001621FB" w:rsidP="00190991">
            <w:pPr>
              <w:spacing w:before="60" w:after="60"/>
              <w:ind w:left="22" w:hanging="22"/>
            </w:pPr>
            <w:r w:rsidRPr="00833D0A">
              <w:t>D</w:t>
            </w:r>
            <w:r>
              <w:t>opravní a energetický stavební úřad</w:t>
            </w:r>
            <w:r w:rsidRPr="00833D0A">
              <w:t xml:space="preserve"> – Národní plán obnovy</w:t>
            </w:r>
          </w:p>
        </w:tc>
        <w:tc>
          <w:tcPr>
            <w:tcW w:w="1984" w:type="dxa"/>
            <w:tcBorders>
              <w:top w:val="nil"/>
              <w:bottom w:val="nil"/>
            </w:tcBorders>
            <w:shd w:val="clear" w:color="auto" w:fill="FFFFFF"/>
          </w:tcPr>
          <w:p w14:paraId="67A56927" w14:textId="77777777" w:rsidR="001621FB" w:rsidRPr="00833D0A" w:rsidRDefault="001621FB" w:rsidP="00190991">
            <w:pPr>
              <w:spacing w:before="60" w:after="60"/>
              <w:jc w:val="right"/>
            </w:pPr>
            <w:r w:rsidRPr="00833D0A">
              <w:t>1 773 tis. Kč</w:t>
            </w:r>
          </w:p>
        </w:tc>
      </w:tr>
      <w:tr w:rsidR="001621FB" w:rsidRPr="00473066" w14:paraId="36DCC7A3" w14:textId="77777777" w:rsidTr="00190991">
        <w:trPr>
          <w:tblHeader/>
        </w:trPr>
        <w:tc>
          <w:tcPr>
            <w:tcW w:w="7366" w:type="dxa"/>
            <w:tcBorders>
              <w:top w:val="nil"/>
              <w:bottom w:val="single" w:sz="4" w:space="0" w:color="auto"/>
            </w:tcBorders>
            <w:shd w:val="clear" w:color="auto" w:fill="FFFFFF"/>
          </w:tcPr>
          <w:p w14:paraId="11B30AD8" w14:textId="77777777" w:rsidR="001621FB" w:rsidRPr="00833D0A" w:rsidRDefault="001621FB" w:rsidP="00190991">
            <w:pPr>
              <w:spacing w:before="60" w:after="60"/>
              <w:ind w:left="22" w:hanging="22"/>
            </w:pPr>
            <w:r w:rsidRPr="00833D0A">
              <w:t>D</w:t>
            </w:r>
            <w:r>
              <w:t>rážní inspekce</w:t>
            </w:r>
            <w:r w:rsidRPr="00833D0A">
              <w:t xml:space="preserve"> – OP Zaměstnanost 2014+</w:t>
            </w:r>
          </w:p>
        </w:tc>
        <w:tc>
          <w:tcPr>
            <w:tcW w:w="1984" w:type="dxa"/>
            <w:tcBorders>
              <w:top w:val="nil"/>
              <w:bottom w:val="single" w:sz="4" w:space="0" w:color="auto"/>
            </w:tcBorders>
            <w:shd w:val="clear" w:color="auto" w:fill="FFFFFF"/>
          </w:tcPr>
          <w:p w14:paraId="1CB3C016" w14:textId="77777777" w:rsidR="001621FB" w:rsidRPr="00833D0A" w:rsidRDefault="001621FB" w:rsidP="00190991">
            <w:pPr>
              <w:spacing w:before="60" w:after="60"/>
              <w:jc w:val="right"/>
            </w:pPr>
            <w:r w:rsidRPr="00833D0A">
              <w:t>305 tis. Kč</w:t>
            </w:r>
          </w:p>
        </w:tc>
      </w:tr>
      <w:tr w:rsidR="001621FB" w:rsidRPr="00473066" w14:paraId="3578DF0C" w14:textId="77777777" w:rsidTr="00190991">
        <w:trPr>
          <w:tblHeader/>
        </w:trPr>
        <w:tc>
          <w:tcPr>
            <w:tcW w:w="7366" w:type="dxa"/>
            <w:tcBorders>
              <w:top w:val="single" w:sz="4" w:space="0" w:color="auto"/>
              <w:bottom w:val="nil"/>
            </w:tcBorders>
            <w:shd w:val="clear" w:color="auto" w:fill="FFFFFF"/>
          </w:tcPr>
          <w:p w14:paraId="4EE3822B" w14:textId="77777777" w:rsidR="001621FB" w:rsidRPr="00595983" w:rsidRDefault="001621FB" w:rsidP="00190991">
            <w:pPr>
              <w:spacing w:before="60" w:after="60"/>
              <w:ind w:left="22" w:hanging="22"/>
              <w:rPr>
                <w:color w:val="2E74B5"/>
              </w:rPr>
            </w:pPr>
            <w:r w:rsidRPr="00595983">
              <w:rPr>
                <w:color w:val="2E74B5"/>
              </w:rPr>
              <w:t>Výdaje příspěvkových organizací (z toho:)</w:t>
            </w:r>
          </w:p>
        </w:tc>
        <w:tc>
          <w:tcPr>
            <w:tcW w:w="1984" w:type="dxa"/>
            <w:tcBorders>
              <w:top w:val="single" w:sz="4" w:space="0" w:color="auto"/>
              <w:bottom w:val="nil"/>
            </w:tcBorders>
            <w:shd w:val="clear" w:color="auto" w:fill="FFFFFF"/>
          </w:tcPr>
          <w:p w14:paraId="0905902E" w14:textId="77777777" w:rsidR="001621FB" w:rsidRPr="00595983" w:rsidRDefault="001621FB" w:rsidP="00190991">
            <w:pPr>
              <w:spacing w:before="60" w:after="60"/>
              <w:jc w:val="right"/>
              <w:rPr>
                <w:color w:val="2E74B5"/>
              </w:rPr>
            </w:pPr>
            <w:r w:rsidRPr="00595983">
              <w:rPr>
                <w:color w:val="2E74B5"/>
              </w:rPr>
              <w:t>1 098 819 tis. Kč</w:t>
            </w:r>
          </w:p>
        </w:tc>
      </w:tr>
      <w:tr w:rsidR="001621FB" w:rsidRPr="00473066" w14:paraId="64210BE0" w14:textId="77777777" w:rsidTr="00190991">
        <w:trPr>
          <w:tblHeader/>
        </w:trPr>
        <w:tc>
          <w:tcPr>
            <w:tcW w:w="7366" w:type="dxa"/>
            <w:tcBorders>
              <w:top w:val="nil"/>
              <w:bottom w:val="single" w:sz="4" w:space="0" w:color="auto"/>
            </w:tcBorders>
            <w:shd w:val="clear" w:color="auto" w:fill="FFFFFF"/>
          </w:tcPr>
          <w:p w14:paraId="79119AE2" w14:textId="77777777" w:rsidR="001621FB" w:rsidRPr="00793C9D" w:rsidRDefault="001621FB" w:rsidP="00190991">
            <w:pPr>
              <w:spacing w:before="60" w:after="60"/>
              <w:ind w:left="22" w:hanging="22"/>
            </w:pPr>
            <w:r w:rsidRPr="00793C9D">
              <w:t>SMVS – 127 06 Rozvoj a obnova MTZ systému řízení MD – PO, SFDI</w:t>
            </w:r>
          </w:p>
        </w:tc>
        <w:tc>
          <w:tcPr>
            <w:tcW w:w="1984" w:type="dxa"/>
            <w:tcBorders>
              <w:top w:val="nil"/>
              <w:bottom w:val="single" w:sz="4" w:space="0" w:color="auto"/>
            </w:tcBorders>
            <w:shd w:val="clear" w:color="auto" w:fill="FFFFFF"/>
          </w:tcPr>
          <w:p w14:paraId="336FD3E7" w14:textId="77777777" w:rsidR="001621FB" w:rsidRPr="00793C9D" w:rsidRDefault="001621FB" w:rsidP="00190991">
            <w:pPr>
              <w:spacing w:before="60" w:after="60"/>
              <w:jc w:val="right"/>
            </w:pPr>
            <w:r w:rsidRPr="00793C9D">
              <w:t>4 727 tis. Kč</w:t>
            </w:r>
          </w:p>
        </w:tc>
      </w:tr>
      <w:tr w:rsidR="001621FB" w:rsidRPr="00473066" w14:paraId="5DA1724A" w14:textId="77777777" w:rsidTr="00190991">
        <w:trPr>
          <w:tblHeader/>
        </w:trPr>
        <w:tc>
          <w:tcPr>
            <w:tcW w:w="7366" w:type="dxa"/>
            <w:tcBorders>
              <w:top w:val="single" w:sz="4" w:space="0" w:color="auto"/>
              <w:bottom w:val="nil"/>
            </w:tcBorders>
            <w:shd w:val="clear" w:color="auto" w:fill="FFFFFF"/>
          </w:tcPr>
          <w:p w14:paraId="62D16ABD" w14:textId="77777777" w:rsidR="001621FB" w:rsidRPr="00595983" w:rsidRDefault="001621FB" w:rsidP="00190991">
            <w:pPr>
              <w:spacing w:before="60" w:after="60"/>
              <w:ind w:left="22" w:hanging="22"/>
              <w:rPr>
                <w:color w:val="2E74B5"/>
              </w:rPr>
            </w:pPr>
            <w:r w:rsidRPr="00595983">
              <w:rPr>
                <w:color w:val="2E74B5"/>
              </w:rPr>
              <w:t>Transfery veřejným výzkumným institucím (v tom:)</w:t>
            </w:r>
          </w:p>
        </w:tc>
        <w:tc>
          <w:tcPr>
            <w:tcW w:w="1984" w:type="dxa"/>
            <w:tcBorders>
              <w:top w:val="single" w:sz="4" w:space="0" w:color="auto"/>
              <w:bottom w:val="nil"/>
            </w:tcBorders>
            <w:shd w:val="clear" w:color="auto" w:fill="FFFFFF"/>
          </w:tcPr>
          <w:p w14:paraId="16F8B0C0" w14:textId="77777777" w:rsidR="001621FB" w:rsidRPr="00595983" w:rsidRDefault="001621FB" w:rsidP="00190991">
            <w:pPr>
              <w:spacing w:before="60" w:after="60"/>
              <w:jc w:val="right"/>
              <w:rPr>
                <w:color w:val="2E74B5"/>
              </w:rPr>
            </w:pPr>
            <w:r w:rsidRPr="00595983">
              <w:rPr>
                <w:color w:val="2E74B5"/>
              </w:rPr>
              <w:t>141 260 tis. Kč</w:t>
            </w:r>
          </w:p>
        </w:tc>
      </w:tr>
      <w:tr w:rsidR="001621FB" w:rsidRPr="00473066" w14:paraId="46698245" w14:textId="77777777" w:rsidTr="00190991">
        <w:trPr>
          <w:tblHeader/>
        </w:trPr>
        <w:tc>
          <w:tcPr>
            <w:tcW w:w="7366" w:type="dxa"/>
            <w:tcBorders>
              <w:top w:val="nil"/>
              <w:bottom w:val="single" w:sz="4" w:space="0" w:color="auto"/>
            </w:tcBorders>
            <w:shd w:val="clear" w:color="auto" w:fill="FFFFFF"/>
          </w:tcPr>
          <w:p w14:paraId="15AA7819" w14:textId="33993EF4" w:rsidR="001621FB" w:rsidRPr="00D5105F" w:rsidRDefault="001621FB" w:rsidP="00190991">
            <w:pPr>
              <w:spacing w:before="60" w:after="60"/>
              <w:ind w:left="22" w:hanging="22"/>
            </w:pPr>
            <w:r w:rsidRPr="00D5105F">
              <w:t xml:space="preserve">ZED </w:t>
            </w:r>
            <w:r w:rsidR="00B77998">
              <w:t>– Centrum dopravního výzkumu</w:t>
            </w:r>
          </w:p>
        </w:tc>
        <w:tc>
          <w:tcPr>
            <w:tcW w:w="1984" w:type="dxa"/>
            <w:tcBorders>
              <w:top w:val="nil"/>
              <w:bottom w:val="single" w:sz="4" w:space="0" w:color="auto"/>
            </w:tcBorders>
            <w:shd w:val="clear" w:color="auto" w:fill="FFFFFF"/>
          </w:tcPr>
          <w:p w14:paraId="47CE0A2F" w14:textId="77777777" w:rsidR="001621FB" w:rsidRPr="00D5105F" w:rsidRDefault="001621FB" w:rsidP="00190991">
            <w:pPr>
              <w:spacing w:before="60" w:after="60"/>
              <w:jc w:val="right"/>
            </w:pPr>
            <w:r w:rsidRPr="00D5105F">
              <w:t>141 260 tis. Kč</w:t>
            </w:r>
          </w:p>
        </w:tc>
      </w:tr>
      <w:tr w:rsidR="001621FB" w:rsidRPr="00473066" w14:paraId="0606419A" w14:textId="77777777" w:rsidTr="00190991">
        <w:trPr>
          <w:tblHeader/>
        </w:trPr>
        <w:tc>
          <w:tcPr>
            <w:tcW w:w="7366" w:type="dxa"/>
            <w:tcBorders>
              <w:top w:val="single" w:sz="4" w:space="0" w:color="auto"/>
              <w:bottom w:val="nil"/>
            </w:tcBorders>
            <w:shd w:val="clear" w:color="auto" w:fill="FFFFFF"/>
          </w:tcPr>
          <w:p w14:paraId="58B758B2" w14:textId="77777777" w:rsidR="001621FB" w:rsidRPr="00595983" w:rsidRDefault="001621FB" w:rsidP="00190991">
            <w:pPr>
              <w:spacing w:before="60" w:after="60"/>
              <w:ind w:left="22" w:hanging="22"/>
              <w:rPr>
                <w:color w:val="2E74B5"/>
              </w:rPr>
            </w:pPr>
            <w:r w:rsidRPr="00595983">
              <w:rPr>
                <w:color w:val="2E74B5"/>
              </w:rPr>
              <w:t>Transfery neziskovým a podobným organizacím (v tom:)</w:t>
            </w:r>
          </w:p>
        </w:tc>
        <w:tc>
          <w:tcPr>
            <w:tcW w:w="1984" w:type="dxa"/>
            <w:tcBorders>
              <w:top w:val="single" w:sz="4" w:space="0" w:color="auto"/>
              <w:bottom w:val="nil"/>
            </w:tcBorders>
            <w:shd w:val="clear" w:color="auto" w:fill="FFFFFF"/>
          </w:tcPr>
          <w:p w14:paraId="0CD29762" w14:textId="77777777" w:rsidR="001621FB" w:rsidRPr="00595983" w:rsidRDefault="001621FB" w:rsidP="00190991">
            <w:pPr>
              <w:spacing w:before="60" w:after="60"/>
              <w:jc w:val="right"/>
              <w:rPr>
                <w:color w:val="2E74B5"/>
              </w:rPr>
            </w:pPr>
            <w:r w:rsidRPr="00595983">
              <w:rPr>
                <w:color w:val="2E74B5"/>
              </w:rPr>
              <w:t>9 400 tis. Kč</w:t>
            </w:r>
          </w:p>
        </w:tc>
      </w:tr>
      <w:tr w:rsidR="001621FB" w:rsidRPr="00473066" w14:paraId="0A4ACB86" w14:textId="77777777" w:rsidTr="00190991">
        <w:trPr>
          <w:tblHeader/>
        </w:trPr>
        <w:tc>
          <w:tcPr>
            <w:tcW w:w="7366" w:type="dxa"/>
            <w:tcBorders>
              <w:top w:val="nil"/>
            </w:tcBorders>
            <w:shd w:val="clear" w:color="auto" w:fill="FFFFFF"/>
          </w:tcPr>
          <w:p w14:paraId="390F70DC" w14:textId="77777777" w:rsidR="001621FB" w:rsidRPr="00583096" w:rsidRDefault="001621FB" w:rsidP="00190991">
            <w:pPr>
              <w:spacing w:before="60" w:after="60"/>
              <w:ind w:left="22" w:hanging="22"/>
            </w:pPr>
            <w:r w:rsidRPr="00583096">
              <w:t>ZED – Letecká amatérská asociace ČR</w:t>
            </w:r>
          </w:p>
        </w:tc>
        <w:tc>
          <w:tcPr>
            <w:tcW w:w="1984" w:type="dxa"/>
            <w:tcBorders>
              <w:top w:val="nil"/>
            </w:tcBorders>
            <w:shd w:val="clear" w:color="auto" w:fill="FFFFFF"/>
          </w:tcPr>
          <w:p w14:paraId="20697F71" w14:textId="77777777" w:rsidR="001621FB" w:rsidRPr="00583096" w:rsidRDefault="001621FB" w:rsidP="00190991">
            <w:pPr>
              <w:spacing w:before="60" w:after="60"/>
              <w:jc w:val="right"/>
            </w:pPr>
            <w:r w:rsidRPr="00583096">
              <w:t>9 400 tis. Kč</w:t>
            </w:r>
          </w:p>
        </w:tc>
      </w:tr>
      <w:tr w:rsidR="001621FB" w:rsidRPr="00473066" w14:paraId="1E129F89" w14:textId="77777777" w:rsidTr="00190991">
        <w:trPr>
          <w:tblHeader/>
        </w:trPr>
        <w:tc>
          <w:tcPr>
            <w:tcW w:w="7366" w:type="dxa"/>
            <w:tcBorders>
              <w:top w:val="nil"/>
            </w:tcBorders>
            <w:shd w:val="clear" w:color="auto" w:fill="FFFFFF"/>
          </w:tcPr>
          <w:p w14:paraId="726E935E" w14:textId="77777777" w:rsidR="001621FB" w:rsidRPr="00595983" w:rsidRDefault="001621FB" w:rsidP="00190991">
            <w:pPr>
              <w:spacing w:before="60" w:after="60"/>
              <w:ind w:left="22" w:hanging="22"/>
              <w:rPr>
                <w:color w:val="2E74B5"/>
              </w:rPr>
            </w:pPr>
            <w:r w:rsidRPr="00595983">
              <w:rPr>
                <w:color w:val="2E74B5"/>
              </w:rPr>
              <w:t>Transfery do zahraničí</w:t>
            </w:r>
          </w:p>
        </w:tc>
        <w:tc>
          <w:tcPr>
            <w:tcW w:w="1984" w:type="dxa"/>
            <w:tcBorders>
              <w:top w:val="nil"/>
            </w:tcBorders>
            <w:shd w:val="clear" w:color="auto" w:fill="FFFFFF"/>
          </w:tcPr>
          <w:p w14:paraId="17186620" w14:textId="77777777" w:rsidR="001621FB" w:rsidRPr="00595983" w:rsidRDefault="001621FB" w:rsidP="00190991">
            <w:pPr>
              <w:spacing w:before="60" w:after="60"/>
              <w:jc w:val="right"/>
              <w:rPr>
                <w:color w:val="2E74B5"/>
              </w:rPr>
            </w:pPr>
            <w:r w:rsidRPr="00595983">
              <w:rPr>
                <w:color w:val="2E74B5"/>
              </w:rPr>
              <w:t>14 449 tis. Kč</w:t>
            </w:r>
          </w:p>
        </w:tc>
      </w:tr>
      <w:tr w:rsidR="001621FB" w:rsidRPr="00473066" w14:paraId="1A895EFE" w14:textId="77777777" w:rsidTr="00190991">
        <w:trPr>
          <w:tblHeader/>
        </w:trPr>
        <w:tc>
          <w:tcPr>
            <w:tcW w:w="7366" w:type="dxa"/>
            <w:tcBorders>
              <w:top w:val="single" w:sz="4" w:space="0" w:color="auto"/>
              <w:bottom w:val="nil"/>
            </w:tcBorders>
            <w:shd w:val="clear" w:color="auto" w:fill="FFFFFF"/>
          </w:tcPr>
          <w:p w14:paraId="4B7F104D" w14:textId="77777777" w:rsidR="001621FB" w:rsidRPr="00595983" w:rsidRDefault="001621FB" w:rsidP="00190991">
            <w:pPr>
              <w:spacing w:before="60" w:after="60"/>
              <w:ind w:left="22" w:hanging="22"/>
              <w:rPr>
                <w:color w:val="2E74B5"/>
              </w:rPr>
            </w:pPr>
            <w:r w:rsidRPr="00595983">
              <w:rPr>
                <w:color w:val="2E74B5"/>
              </w:rPr>
              <w:t>Transfery nefinančním podnikatelským subjektům (v tom:)</w:t>
            </w:r>
          </w:p>
        </w:tc>
        <w:tc>
          <w:tcPr>
            <w:tcW w:w="1984" w:type="dxa"/>
            <w:tcBorders>
              <w:top w:val="single" w:sz="4" w:space="0" w:color="auto"/>
              <w:bottom w:val="nil"/>
            </w:tcBorders>
            <w:shd w:val="clear" w:color="auto" w:fill="FFFFFF"/>
          </w:tcPr>
          <w:p w14:paraId="64A14964" w14:textId="77777777" w:rsidR="001621FB" w:rsidRPr="00595983" w:rsidRDefault="001621FB" w:rsidP="00190991">
            <w:pPr>
              <w:spacing w:before="60" w:after="60"/>
              <w:jc w:val="right"/>
              <w:rPr>
                <w:color w:val="2E74B5"/>
              </w:rPr>
            </w:pPr>
            <w:r w:rsidRPr="00595983">
              <w:rPr>
                <w:color w:val="2E74B5"/>
              </w:rPr>
              <w:t>198 850 tis. Kč</w:t>
            </w:r>
          </w:p>
        </w:tc>
      </w:tr>
      <w:tr w:rsidR="001621FB" w:rsidRPr="00473066" w14:paraId="7ABA95C7" w14:textId="77777777" w:rsidTr="00190991">
        <w:trPr>
          <w:tblHeader/>
        </w:trPr>
        <w:tc>
          <w:tcPr>
            <w:tcW w:w="7366" w:type="dxa"/>
            <w:tcBorders>
              <w:top w:val="nil"/>
              <w:bottom w:val="nil"/>
            </w:tcBorders>
            <w:shd w:val="clear" w:color="auto" w:fill="FFFFFF"/>
          </w:tcPr>
          <w:p w14:paraId="230DEBB3" w14:textId="77777777" w:rsidR="001621FB" w:rsidRPr="005D6E8D" w:rsidRDefault="001621FB" w:rsidP="00190991">
            <w:pPr>
              <w:spacing w:before="60" w:after="60"/>
              <w:ind w:left="22" w:hanging="22"/>
            </w:pPr>
            <w:r w:rsidRPr="005D6E8D">
              <w:t xml:space="preserve">ZED – Úhrada poplatků vybíraných za LPS poskytované ve </w:t>
            </w:r>
            <w:proofErr w:type="spellStart"/>
            <w:r w:rsidRPr="005D6E8D">
              <w:t>vzd</w:t>
            </w:r>
            <w:proofErr w:type="spellEnd"/>
            <w:r w:rsidRPr="005D6E8D">
              <w:t>. prostoru ČR</w:t>
            </w:r>
          </w:p>
        </w:tc>
        <w:tc>
          <w:tcPr>
            <w:tcW w:w="1984" w:type="dxa"/>
            <w:tcBorders>
              <w:top w:val="nil"/>
              <w:bottom w:val="nil"/>
            </w:tcBorders>
            <w:shd w:val="clear" w:color="auto" w:fill="FFFFFF"/>
          </w:tcPr>
          <w:p w14:paraId="6817F90F" w14:textId="77777777" w:rsidR="001621FB" w:rsidRPr="005D6E8D" w:rsidRDefault="001621FB" w:rsidP="00190991">
            <w:pPr>
              <w:spacing w:before="60" w:after="60"/>
              <w:jc w:val="right"/>
            </w:pPr>
            <w:r w:rsidRPr="005D6E8D">
              <w:t>78 850 tis. Kč</w:t>
            </w:r>
          </w:p>
        </w:tc>
      </w:tr>
      <w:tr w:rsidR="001621FB" w:rsidRPr="00473066" w14:paraId="03CEE711" w14:textId="77777777" w:rsidTr="00190991">
        <w:trPr>
          <w:tblHeader/>
        </w:trPr>
        <w:tc>
          <w:tcPr>
            <w:tcW w:w="7366" w:type="dxa"/>
            <w:tcBorders>
              <w:top w:val="nil"/>
              <w:bottom w:val="nil"/>
            </w:tcBorders>
            <w:shd w:val="clear" w:color="auto" w:fill="FFFFFF"/>
          </w:tcPr>
          <w:p w14:paraId="6310F19F" w14:textId="77777777" w:rsidR="001621FB" w:rsidRPr="005D6E8D" w:rsidRDefault="001621FB" w:rsidP="00190991">
            <w:pPr>
              <w:spacing w:before="60" w:after="60"/>
              <w:ind w:left="22" w:hanging="22"/>
            </w:pPr>
            <w:r w:rsidRPr="005D6E8D">
              <w:t>ZED – Poskytování letových provozních služeb H24 na regionálních letištích</w:t>
            </w:r>
          </w:p>
        </w:tc>
        <w:tc>
          <w:tcPr>
            <w:tcW w:w="1984" w:type="dxa"/>
            <w:tcBorders>
              <w:top w:val="nil"/>
              <w:bottom w:val="nil"/>
            </w:tcBorders>
            <w:shd w:val="clear" w:color="auto" w:fill="FFFFFF"/>
          </w:tcPr>
          <w:p w14:paraId="1C124432" w14:textId="77777777" w:rsidR="001621FB" w:rsidRPr="005D6E8D" w:rsidRDefault="001621FB" w:rsidP="00190991">
            <w:pPr>
              <w:spacing w:before="60" w:after="60"/>
              <w:jc w:val="right"/>
            </w:pPr>
            <w:r w:rsidRPr="005D6E8D">
              <w:t>100 000 tis. Kč</w:t>
            </w:r>
          </w:p>
        </w:tc>
      </w:tr>
      <w:tr w:rsidR="001621FB" w:rsidRPr="00473066" w14:paraId="4175CBA8" w14:textId="77777777" w:rsidTr="00190991">
        <w:trPr>
          <w:tblHeader/>
        </w:trPr>
        <w:tc>
          <w:tcPr>
            <w:tcW w:w="7366" w:type="dxa"/>
            <w:tcBorders>
              <w:top w:val="nil"/>
              <w:bottom w:val="single" w:sz="4" w:space="0" w:color="auto"/>
            </w:tcBorders>
            <w:shd w:val="clear" w:color="auto" w:fill="FFFFFF"/>
          </w:tcPr>
          <w:p w14:paraId="338333CB" w14:textId="77777777" w:rsidR="001621FB" w:rsidRPr="005D6E8D" w:rsidRDefault="001621FB" w:rsidP="00190991">
            <w:pPr>
              <w:spacing w:before="60" w:after="60"/>
              <w:ind w:left="22" w:hanging="22"/>
            </w:pPr>
            <w:r w:rsidRPr="005D6E8D">
              <w:t xml:space="preserve">ZED – Projekt U </w:t>
            </w:r>
            <w:proofErr w:type="spellStart"/>
            <w:r w:rsidRPr="005D6E8D">
              <w:t>Space</w:t>
            </w:r>
            <w:proofErr w:type="spellEnd"/>
            <w:r w:rsidRPr="005D6E8D">
              <w:t xml:space="preserve"> (drony)</w:t>
            </w:r>
          </w:p>
        </w:tc>
        <w:tc>
          <w:tcPr>
            <w:tcW w:w="1984" w:type="dxa"/>
            <w:tcBorders>
              <w:top w:val="nil"/>
              <w:bottom w:val="single" w:sz="4" w:space="0" w:color="auto"/>
            </w:tcBorders>
            <w:shd w:val="clear" w:color="auto" w:fill="FFFFFF"/>
          </w:tcPr>
          <w:p w14:paraId="4B66CA90" w14:textId="77777777" w:rsidR="001621FB" w:rsidRPr="005D6E8D" w:rsidRDefault="001621FB" w:rsidP="00190991">
            <w:pPr>
              <w:spacing w:before="60" w:after="60"/>
              <w:jc w:val="right"/>
            </w:pPr>
            <w:r w:rsidRPr="005D6E8D">
              <w:t>20 000 tis. Kč</w:t>
            </w:r>
          </w:p>
        </w:tc>
      </w:tr>
      <w:tr w:rsidR="001621FB" w:rsidRPr="00473066" w14:paraId="465AF832" w14:textId="77777777" w:rsidTr="00190991">
        <w:trPr>
          <w:tblHeader/>
        </w:trPr>
        <w:tc>
          <w:tcPr>
            <w:tcW w:w="7366" w:type="dxa"/>
            <w:tcBorders>
              <w:bottom w:val="single" w:sz="4" w:space="0" w:color="auto"/>
            </w:tcBorders>
            <w:shd w:val="pct10" w:color="auto" w:fill="FFFFFF"/>
          </w:tcPr>
          <w:p w14:paraId="5F12C199" w14:textId="77777777" w:rsidR="001621FB" w:rsidRPr="00595983" w:rsidRDefault="001621FB" w:rsidP="00190991">
            <w:pPr>
              <w:spacing w:before="60" w:after="60"/>
              <w:rPr>
                <w:b/>
                <w:color w:val="2E74B5"/>
              </w:rPr>
            </w:pPr>
            <w:r w:rsidRPr="00595983">
              <w:rPr>
                <w:b/>
                <w:color w:val="2E74B5"/>
              </w:rPr>
              <w:t xml:space="preserve">Výdaje spojené s kosmickými aktivitami </w:t>
            </w:r>
            <w:r w:rsidRPr="00595983">
              <w:rPr>
                <w:color w:val="2E74B5"/>
              </w:rPr>
              <w:t>(v tom:)</w:t>
            </w:r>
          </w:p>
        </w:tc>
        <w:tc>
          <w:tcPr>
            <w:tcW w:w="1984" w:type="dxa"/>
            <w:tcBorders>
              <w:bottom w:val="single" w:sz="4" w:space="0" w:color="auto"/>
            </w:tcBorders>
            <w:shd w:val="pct10" w:color="auto" w:fill="FFFFFF"/>
            <w:vAlign w:val="center"/>
          </w:tcPr>
          <w:p w14:paraId="6D99F50D" w14:textId="77777777" w:rsidR="001621FB" w:rsidRPr="00595983" w:rsidRDefault="001621FB" w:rsidP="00190991">
            <w:pPr>
              <w:spacing w:before="60" w:after="60"/>
              <w:jc w:val="right"/>
              <w:rPr>
                <w:b/>
                <w:color w:val="2E74B5"/>
              </w:rPr>
            </w:pPr>
            <w:r w:rsidRPr="00595983">
              <w:rPr>
                <w:b/>
                <w:color w:val="2E74B5"/>
              </w:rPr>
              <w:t>1 174 231 tis. Kč</w:t>
            </w:r>
          </w:p>
        </w:tc>
      </w:tr>
      <w:tr w:rsidR="001621FB" w:rsidRPr="00473066" w14:paraId="28DA02CA" w14:textId="77777777" w:rsidTr="00190991">
        <w:trPr>
          <w:tblHeader/>
        </w:trPr>
        <w:tc>
          <w:tcPr>
            <w:tcW w:w="7366" w:type="dxa"/>
            <w:tcBorders>
              <w:top w:val="single" w:sz="4" w:space="0" w:color="auto"/>
              <w:bottom w:val="single" w:sz="4" w:space="0" w:color="auto"/>
            </w:tcBorders>
            <w:shd w:val="clear" w:color="auto" w:fill="FFFFFF"/>
          </w:tcPr>
          <w:p w14:paraId="2AF07566" w14:textId="77777777" w:rsidR="001621FB" w:rsidRPr="00595983" w:rsidRDefault="001621FB" w:rsidP="00190991">
            <w:pPr>
              <w:spacing w:before="60" w:after="60"/>
              <w:rPr>
                <w:color w:val="2E74B5"/>
              </w:rPr>
            </w:pPr>
            <w:r w:rsidRPr="00595983">
              <w:rPr>
                <w:color w:val="2E74B5"/>
              </w:rPr>
              <w:t>Transfery do zahraničí</w:t>
            </w:r>
          </w:p>
        </w:tc>
        <w:tc>
          <w:tcPr>
            <w:tcW w:w="1984" w:type="dxa"/>
            <w:tcBorders>
              <w:top w:val="single" w:sz="4" w:space="0" w:color="auto"/>
              <w:bottom w:val="single" w:sz="4" w:space="0" w:color="auto"/>
            </w:tcBorders>
            <w:shd w:val="clear" w:color="auto" w:fill="FFFFFF"/>
            <w:vAlign w:val="center"/>
          </w:tcPr>
          <w:p w14:paraId="65D49EB9" w14:textId="77777777" w:rsidR="001621FB" w:rsidRPr="00595983" w:rsidRDefault="001621FB" w:rsidP="00190991">
            <w:pPr>
              <w:spacing w:before="60" w:after="60"/>
              <w:jc w:val="right"/>
              <w:rPr>
                <w:color w:val="2E74B5"/>
              </w:rPr>
            </w:pPr>
            <w:r w:rsidRPr="00595983">
              <w:rPr>
                <w:color w:val="2E74B5"/>
              </w:rPr>
              <w:t>1 171 466 tis. Kč</w:t>
            </w:r>
          </w:p>
        </w:tc>
      </w:tr>
      <w:tr w:rsidR="001621FB" w:rsidRPr="00473066" w14:paraId="6EA53331" w14:textId="77777777" w:rsidTr="00190991">
        <w:trPr>
          <w:tblHeader/>
        </w:trPr>
        <w:tc>
          <w:tcPr>
            <w:tcW w:w="7366" w:type="dxa"/>
            <w:tcBorders>
              <w:top w:val="single" w:sz="4" w:space="0" w:color="auto"/>
              <w:bottom w:val="nil"/>
            </w:tcBorders>
            <w:shd w:val="clear" w:color="auto" w:fill="FFFFFF"/>
          </w:tcPr>
          <w:p w14:paraId="4EA9C238" w14:textId="77777777" w:rsidR="001621FB" w:rsidRPr="00595983" w:rsidRDefault="001621FB" w:rsidP="00190991">
            <w:pPr>
              <w:spacing w:before="60" w:after="60"/>
              <w:rPr>
                <w:color w:val="2E74B5"/>
              </w:rPr>
            </w:pPr>
            <w:r w:rsidRPr="00595983">
              <w:rPr>
                <w:color w:val="2E74B5"/>
              </w:rPr>
              <w:t>Výdaje ústředního orgánu MD (z toho:)</w:t>
            </w:r>
          </w:p>
        </w:tc>
        <w:tc>
          <w:tcPr>
            <w:tcW w:w="1984" w:type="dxa"/>
            <w:tcBorders>
              <w:top w:val="single" w:sz="4" w:space="0" w:color="auto"/>
              <w:bottom w:val="nil"/>
            </w:tcBorders>
            <w:shd w:val="clear" w:color="auto" w:fill="FFFFFF"/>
            <w:vAlign w:val="center"/>
          </w:tcPr>
          <w:p w14:paraId="618CB915" w14:textId="77777777" w:rsidR="001621FB" w:rsidRPr="00595983" w:rsidRDefault="001621FB" w:rsidP="00190991">
            <w:pPr>
              <w:spacing w:before="60" w:after="60"/>
              <w:jc w:val="right"/>
              <w:rPr>
                <w:color w:val="2E74B5"/>
              </w:rPr>
            </w:pPr>
            <w:r w:rsidRPr="00595983">
              <w:rPr>
                <w:color w:val="2E74B5"/>
              </w:rPr>
              <w:t>2 764 tis. Kč</w:t>
            </w:r>
          </w:p>
        </w:tc>
      </w:tr>
      <w:tr w:rsidR="001621FB" w:rsidRPr="00473066" w14:paraId="373E8E5E" w14:textId="77777777" w:rsidTr="00190991">
        <w:trPr>
          <w:tblHeader/>
        </w:trPr>
        <w:tc>
          <w:tcPr>
            <w:tcW w:w="7366" w:type="dxa"/>
            <w:tcBorders>
              <w:top w:val="nil"/>
              <w:bottom w:val="single" w:sz="4" w:space="0" w:color="auto"/>
            </w:tcBorders>
            <w:shd w:val="clear" w:color="auto" w:fill="FFFFFF"/>
          </w:tcPr>
          <w:p w14:paraId="52A9D377" w14:textId="77777777" w:rsidR="001621FB" w:rsidRPr="00F47A05" w:rsidRDefault="001621FB" w:rsidP="00190991">
            <w:pPr>
              <w:spacing w:before="60" w:after="60"/>
            </w:pPr>
            <w:r>
              <w:t>Kosmický program Unie</w:t>
            </w:r>
          </w:p>
        </w:tc>
        <w:tc>
          <w:tcPr>
            <w:tcW w:w="1984" w:type="dxa"/>
            <w:tcBorders>
              <w:top w:val="nil"/>
              <w:bottom w:val="single" w:sz="4" w:space="0" w:color="auto"/>
            </w:tcBorders>
            <w:shd w:val="clear" w:color="auto" w:fill="FFFFFF"/>
            <w:vAlign w:val="center"/>
          </w:tcPr>
          <w:p w14:paraId="58224F06" w14:textId="77777777" w:rsidR="001621FB" w:rsidRPr="00F47A05" w:rsidRDefault="001621FB" w:rsidP="00190991">
            <w:pPr>
              <w:spacing w:before="60" w:after="60"/>
              <w:jc w:val="right"/>
            </w:pPr>
            <w:r>
              <w:t>1 tis. Kč</w:t>
            </w:r>
          </w:p>
        </w:tc>
      </w:tr>
    </w:tbl>
    <w:p w14:paraId="75E88948" w14:textId="77777777" w:rsidR="001621FB" w:rsidRPr="00356B2C" w:rsidRDefault="001621FB" w:rsidP="001621FB">
      <w:pPr>
        <w:pStyle w:val="KOMtext"/>
        <w:numPr>
          <w:ilvl w:val="0"/>
          <w:numId w:val="13"/>
        </w:numPr>
        <w:ind w:left="709" w:hanging="425"/>
      </w:pPr>
      <w:r w:rsidRPr="00356B2C">
        <w:t>financované z prostředků fondů Evropské unie (759 849 tis. Kč)</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3"/>
        <w:gridCol w:w="2268"/>
      </w:tblGrid>
      <w:tr w:rsidR="001621FB" w:rsidRPr="00473066" w14:paraId="29100A48" w14:textId="77777777" w:rsidTr="00190991">
        <w:trPr>
          <w:tblHeader/>
        </w:trPr>
        <w:tc>
          <w:tcPr>
            <w:tcW w:w="7083" w:type="dxa"/>
            <w:tcBorders>
              <w:bottom w:val="single" w:sz="4" w:space="0" w:color="auto"/>
            </w:tcBorders>
            <w:shd w:val="pct10" w:color="auto" w:fill="FFFFFF"/>
          </w:tcPr>
          <w:p w14:paraId="74E786E4" w14:textId="77777777" w:rsidR="001621FB" w:rsidRPr="00595983" w:rsidRDefault="001621FB" w:rsidP="00190991">
            <w:pPr>
              <w:spacing w:before="60" w:after="60"/>
              <w:rPr>
                <w:b/>
                <w:color w:val="2E74B5"/>
              </w:rPr>
            </w:pPr>
            <w:r w:rsidRPr="00595983">
              <w:rPr>
                <w:b/>
                <w:color w:val="2E74B5"/>
              </w:rPr>
              <w:t xml:space="preserve">Další výdaje spojené s dopravní politikou státu </w:t>
            </w:r>
            <w:r w:rsidRPr="00595983">
              <w:rPr>
                <w:color w:val="2E74B5"/>
              </w:rPr>
              <w:t>(v tom:)</w:t>
            </w:r>
          </w:p>
        </w:tc>
        <w:tc>
          <w:tcPr>
            <w:tcW w:w="2268" w:type="dxa"/>
            <w:tcBorders>
              <w:bottom w:val="single" w:sz="4" w:space="0" w:color="auto"/>
            </w:tcBorders>
            <w:shd w:val="pct10" w:color="auto" w:fill="FFFFFF"/>
          </w:tcPr>
          <w:p w14:paraId="712EBCDB" w14:textId="77777777" w:rsidR="001621FB" w:rsidRPr="00595983" w:rsidRDefault="001621FB" w:rsidP="00190991">
            <w:pPr>
              <w:spacing w:before="60" w:after="60"/>
              <w:jc w:val="right"/>
              <w:rPr>
                <w:b/>
                <w:color w:val="2E74B5"/>
              </w:rPr>
            </w:pPr>
            <w:r w:rsidRPr="00595983">
              <w:rPr>
                <w:b/>
                <w:color w:val="2E74B5"/>
              </w:rPr>
              <w:t>759 531 tis. Kč</w:t>
            </w:r>
          </w:p>
        </w:tc>
      </w:tr>
      <w:tr w:rsidR="001621FB" w:rsidRPr="00473066" w14:paraId="7B3C1D94" w14:textId="77777777" w:rsidTr="00190991">
        <w:trPr>
          <w:tblHeader/>
        </w:trPr>
        <w:tc>
          <w:tcPr>
            <w:tcW w:w="7083" w:type="dxa"/>
            <w:tcBorders>
              <w:top w:val="nil"/>
              <w:bottom w:val="nil"/>
            </w:tcBorders>
            <w:shd w:val="clear" w:color="auto" w:fill="FFFFFF"/>
          </w:tcPr>
          <w:p w14:paraId="67673536" w14:textId="77777777" w:rsidR="001621FB" w:rsidRPr="00595983" w:rsidRDefault="001621FB" w:rsidP="00190991">
            <w:pPr>
              <w:spacing w:before="60" w:after="60"/>
              <w:ind w:left="22" w:hanging="22"/>
              <w:rPr>
                <w:color w:val="2E74B5"/>
              </w:rPr>
            </w:pPr>
            <w:r w:rsidRPr="00595983">
              <w:rPr>
                <w:color w:val="2E74B5"/>
              </w:rPr>
              <w:t>Výdaje ústředního orgánu MD (v tom:)</w:t>
            </w:r>
          </w:p>
        </w:tc>
        <w:tc>
          <w:tcPr>
            <w:tcW w:w="2268" w:type="dxa"/>
            <w:tcBorders>
              <w:top w:val="nil"/>
              <w:bottom w:val="nil"/>
            </w:tcBorders>
            <w:shd w:val="clear" w:color="auto" w:fill="FFFFFF"/>
          </w:tcPr>
          <w:p w14:paraId="7D713646" w14:textId="77777777" w:rsidR="001621FB" w:rsidRPr="00595983" w:rsidRDefault="001621FB" w:rsidP="00190991">
            <w:pPr>
              <w:spacing w:before="60" w:after="60"/>
              <w:jc w:val="right"/>
              <w:rPr>
                <w:color w:val="2E74B5"/>
              </w:rPr>
            </w:pPr>
            <w:r w:rsidRPr="00595983">
              <w:rPr>
                <w:color w:val="2E74B5"/>
              </w:rPr>
              <w:t>77 540 tis. Kč</w:t>
            </w:r>
          </w:p>
        </w:tc>
      </w:tr>
      <w:tr w:rsidR="001621FB" w:rsidRPr="00473066" w14:paraId="567FC4CC" w14:textId="77777777" w:rsidTr="00190991">
        <w:trPr>
          <w:tblHeader/>
        </w:trPr>
        <w:tc>
          <w:tcPr>
            <w:tcW w:w="7083" w:type="dxa"/>
            <w:tcBorders>
              <w:top w:val="nil"/>
              <w:bottom w:val="nil"/>
            </w:tcBorders>
            <w:shd w:val="clear" w:color="auto" w:fill="FFFFFF"/>
          </w:tcPr>
          <w:p w14:paraId="4C47A43C" w14:textId="77777777" w:rsidR="001621FB" w:rsidRPr="005479DD" w:rsidRDefault="001621FB" w:rsidP="00190991">
            <w:pPr>
              <w:spacing w:before="60" w:after="60"/>
              <w:ind w:left="22" w:hanging="22"/>
            </w:pPr>
            <w:r w:rsidRPr="005479DD">
              <w:t>Operační program Doprava 2014 +</w:t>
            </w:r>
          </w:p>
        </w:tc>
        <w:tc>
          <w:tcPr>
            <w:tcW w:w="2268" w:type="dxa"/>
            <w:tcBorders>
              <w:top w:val="nil"/>
              <w:bottom w:val="nil"/>
            </w:tcBorders>
            <w:shd w:val="clear" w:color="auto" w:fill="FFFFFF"/>
          </w:tcPr>
          <w:p w14:paraId="73747A2B" w14:textId="77777777" w:rsidR="001621FB" w:rsidRPr="005479DD" w:rsidRDefault="001621FB" w:rsidP="00190991">
            <w:pPr>
              <w:spacing w:before="60" w:after="60"/>
              <w:jc w:val="right"/>
            </w:pPr>
            <w:r w:rsidRPr="005479DD">
              <w:t>34 277 tis. Kč</w:t>
            </w:r>
          </w:p>
        </w:tc>
      </w:tr>
      <w:tr w:rsidR="001621FB" w:rsidRPr="00473066" w14:paraId="4D71F982" w14:textId="77777777" w:rsidTr="00190991">
        <w:trPr>
          <w:tblHeader/>
        </w:trPr>
        <w:tc>
          <w:tcPr>
            <w:tcW w:w="7083" w:type="dxa"/>
            <w:tcBorders>
              <w:top w:val="nil"/>
              <w:bottom w:val="nil"/>
            </w:tcBorders>
            <w:shd w:val="clear" w:color="auto" w:fill="FFFFFF"/>
          </w:tcPr>
          <w:p w14:paraId="7EADA5A4" w14:textId="77777777" w:rsidR="001621FB" w:rsidRPr="005479DD" w:rsidRDefault="001621FB" w:rsidP="00190991">
            <w:pPr>
              <w:spacing w:before="60" w:after="60"/>
              <w:ind w:left="22" w:hanging="22"/>
            </w:pPr>
            <w:r w:rsidRPr="005479DD">
              <w:t xml:space="preserve">Komunitární program 2014+ </w:t>
            </w:r>
          </w:p>
        </w:tc>
        <w:tc>
          <w:tcPr>
            <w:tcW w:w="2268" w:type="dxa"/>
            <w:tcBorders>
              <w:top w:val="nil"/>
              <w:bottom w:val="nil"/>
            </w:tcBorders>
            <w:shd w:val="clear" w:color="auto" w:fill="FFFFFF"/>
          </w:tcPr>
          <w:p w14:paraId="66B8751E" w14:textId="77777777" w:rsidR="001621FB" w:rsidRPr="005479DD" w:rsidRDefault="001621FB" w:rsidP="00190991">
            <w:pPr>
              <w:spacing w:before="60" w:after="60"/>
              <w:jc w:val="right"/>
            </w:pPr>
            <w:r w:rsidRPr="005479DD">
              <w:t>646 tis. Kč</w:t>
            </w:r>
          </w:p>
        </w:tc>
      </w:tr>
      <w:tr w:rsidR="001621FB" w:rsidRPr="00473066" w14:paraId="14ADFA44" w14:textId="77777777" w:rsidTr="00190991">
        <w:trPr>
          <w:tblHeader/>
        </w:trPr>
        <w:tc>
          <w:tcPr>
            <w:tcW w:w="7083" w:type="dxa"/>
            <w:tcBorders>
              <w:top w:val="nil"/>
              <w:bottom w:val="nil"/>
            </w:tcBorders>
            <w:shd w:val="clear" w:color="auto" w:fill="FFFFFF"/>
          </w:tcPr>
          <w:p w14:paraId="287DC280" w14:textId="77777777" w:rsidR="001621FB" w:rsidRPr="005479DD" w:rsidRDefault="001621FB" w:rsidP="00190991">
            <w:pPr>
              <w:spacing w:before="60" w:after="60"/>
              <w:ind w:left="22" w:hanging="22"/>
            </w:pPr>
            <w:r w:rsidRPr="005479DD">
              <w:t>Operační program Doprava 2021+</w:t>
            </w:r>
          </w:p>
        </w:tc>
        <w:tc>
          <w:tcPr>
            <w:tcW w:w="2268" w:type="dxa"/>
            <w:tcBorders>
              <w:top w:val="nil"/>
              <w:bottom w:val="nil"/>
            </w:tcBorders>
            <w:shd w:val="clear" w:color="auto" w:fill="FFFFFF"/>
          </w:tcPr>
          <w:p w14:paraId="7B9B6CE8" w14:textId="77777777" w:rsidR="001621FB" w:rsidRPr="005479DD" w:rsidRDefault="001621FB" w:rsidP="00190991">
            <w:pPr>
              <w:spacing w:before="60" w:after="60"/>
              <w:jc w:val="right"/>
            </w:pPr>
            <w:r w:rsidRPr="005479DD">
              <w:t>35 815 tis. Kč</w:t>
            </w:r>
          </w:p>
        </w:tc>
      </w:tr>
      <w:tr w:rsidR="001621FB" w:rsidRPr="00473066" w14:paraId="526A1D57" w14:textId="77777777" w:rsidTr="00190991">
        <w:trPr>
          <w:tblHeader/>
        </w:trPr>
        <w:tc>
          <w:tcPr>
            <w:tcW w:w="7083" w:type="dxa"/>
            <w:tcBorders>
              <w:top w:val="nil"/>
              <w:bottom w:val="nil"/>
            </w:tcBorders>
            <w:shd w:val="clear" w:color="auto" w:fill="FFFFFF"/>
          </w:tcPr>
          <w:p w14:paraId="7166D173" w14:textId="77777777" w:rsidR="001621FB" w:rsidRPr="005479DD" w:rsidRDefault="001621FB" w:rsidP="00190991">
            <w:pPr>
              <w:spacing w:before="60" w:after="60"/>
              <w:ind w:left="22" w:hanging="22"/>
            </w:pPr>
            <w:r w:rsidRPr="005479DD">
              <w:t>Horizont Evropa 2021+</w:t>
            </w:r>
          </w:p>
        </w:tc>
        <w:tc>
          <w:tcPr>
            <w:tcW w:w="2268" w:type="dxa"/>
            <w:tcBorders>
              <w:top w:val="nil"/>
              <w:bottom w:val="nil"/>
            </w:tcBorders>
            <w:shd w:val="clear" w:color="auto" w:fill="FFFFFF"/>
          </w:tcPr>
          <w:p w14:paraId="107E2550" w14:textId="77777777" w:rsidR="001621FB" w:rsidRPr="005479DD" w:rsidRDefault="001621FB" w:rsidP="00190991">
            <w:pPr>
              <w:spacing w:before="60" w:after="60"/>
              <w:jc w:val="right"/>
            </w:pPr>
            <w:r w:rsidRPr="005479DD">
              <w:t>149 tis. Kč</w:t>
            </w:r>
          </w:p>
        </w:tc>
      </w:tr>
      <w:tr w:rsidR="001621FB" w:rsidRPr="00473066" w14:paraId="408027F1" w14:textId="77777777" w:rsidTr="00190991">
        <w:trPr>
          <w:tblHeader/>
        </w:trPr>
        <w:tc>
          <w:tcPr>
            <w:tcW w:w="7083" w:type="dxa"/>
            <w:tcBorders>
              <w:top w:val="nil"/>
              <w:bottom w:val="nil"/>
            </w:tcBorders>
            <w:shd w:val="clear" w:color="auto" w:fill="FFFFFF"/>
          </w:tcPr>
          <w:p w14:paraId="4BF4840C" w14:textId="77777777" w:rsidR="001621FB" w:rsidRPr="005479DD" w:rsidRDefault="001621FB" w:rsidP="00190991">
            <w:pPr>
              <w:spacing w:before="60" w:after="60"/>
              <w:ind w:left="22" w:hanging="22"/>
            </w:pPr>
            <w:r w:rsidRPr="005479DD">
              <w:t>Komunitární program 2021+</w:t>
            </w:r>
          </w:p>
        </w:tc>
        <w:tc>
          <w:tcPr>
            <w:tcW w:w="2268" w:type="dxa"/>
            <w:tcBorders>
              <w:top w:val="nil"/>
              <w:bottom w:val="nil"/>
            </w:tcBorders>
            <w:shd w:val="clear" w:color="auto" w:fill="FFFFFF"/>
          </w:tcPr>
          <w:p w14:paraId="7E7A9A58" w14:textId="77777777" w:rsidR="001621FB" w:rsidRPr="005479DD" w:rsidRDefault="001621FB" w:rsidP="00190991">
            <w:pPr>
              <w:spacing w:before="60" w:after="60"/>
              <w:jc w:val="right"/>
            </w:pPr>
            <w:r w:rsidRPr="005479DD">
              <w:t>5 515 tis. Kč</w:t>
            </w:r>
          </w:p>
        </w:tc>
      </w:tr>
      <w:tr w:rsidR="001621FB" w:rsidRPr="00473066" w14:paraId="6B986612" w14:textId="77777777" w:rsidTr="00190991">
        <w:trPr>
          <w:tblHeader/>
        </w:trPr>
        <w:tc>
          <w:tcPr>
            <w:tcW w:w="7083" w:type="dxa"/>
            <w:tcBorders>
              <w:top w:val="nil"/>
              <w:bottom w:val="single" w:sz="4" w:space="0" w:color="auto"/>
            </w:tcBorders>
            <w:shd w:val="clear" w:color="auto" w:fill="FFFFFF"/>
          </w:tcPr>
          <w:p w14:paraId="0F8919B4" w14:textId="77777777" w:rsidR="001621FB" w:rsidRPr="005479DD" w:rsidRDefault="001621FB" w:rsidP="00190991">
            <w:pPr>
              <w:spacing w:before="60" w:after="60"/>
              <w:ind w:left="22" w:hanging="22"/>
            </w:pPr>
            <w:r w:rsidRPr="005479DD">
              <w:t>Národní plán obnovy</w:t>
            </w:r>
          </w:p>
        </w:tc>
        <w:tc>
          <w:tcPr>
            <w:tcW w:w="2268" w:type="dxa"/>
            <w:tcBorders>
              <w:top w:val="nil"/>
              <w:bottom w:val="single" w:sz="4" w:space="0" w:color="auto"/>
            </w:tcBorders>
            <w:shd w:val="clear" w:color="auto" w:fill="FFFFFF"/>
          </w:tcPr>
          <w:p w14:paraId="19ABB701" w14:textId="77777777" w:rsidR="001621FB" w:rsidRPr="005479DD" w:rsidRDefault="001621FB" w:rsidP="00190991">
            <w:pPr>
              <w:spacing w:before="60" w:after="60"/>
              <w:jc w:val="right"/>
            </w:pPr>
            <w:r w:rsidRPr="005479DD">
              <w:t>1 138 tis. Kč</w:t>
            </w:r>
          </w:p>
        </w:tc>
      </w:tr>
    </w:tbl>
    <w:p w14:paraId="5E804F84" w14:textId="77777777" w:rsidR="00903882" w:rsidRDefault="00903882"/>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3"/>
        <w:gridCol w:w="2268"/>
      </w:tblGrid>
      <w:tr w:rsidR="001621FB" w:rsidRPr="00473066" w14:paraId="6A33EA6F" w14:textId="77777777" w:rsidTr="00190991">
        <w:trPr>
          <w:tblHeader/>
        </w:trPr>
        <w:tc>
          <w:tcPr>
            <w:tcW w:w="7083" w:type="dxa"/>
            <w:tcBorders>
              <w:top w:val="single" w:sz="4" w:space="0" w:color="auto"/>
              <w:bottom w:val="nil"/>
            </w:tcBorders>
            <w:shd w:val="clear" w:color="auto" w:fill="FFFFFF"/>
          </w:tcPr>
          <w:p w14:paraId="5090B008" w14:textId="77777777" w:rsidR="001621FB" w:rsidRPr="00595983" w:rsidRDefault="001621FB" w:rsidP="00190991">
            <w:pPr>
              <w:spacing w:before="60" w:after="60"/>
              <w:ind w:left="22" w:hanging="22"/>
              <w:rPr>
                <w:color w:val="2E74B5"/>
              </w:rPr>
            </w:pPr>
            <w:r w:rsidRPr="00595983">
              <w:rPr>
                <w:color w:val="2E74B5"/>
              </w:rPr>
              <w:lastRenderedPageBreak/>
              <w:t>Výdaje Drážního úřadu (v tom:)</w:t>
            </w:r>
          </w:p>
        </w:tc>
        <w:tc>
          <w:tcPr>
            <w:tcW w:w="2268" w:type="dxa"/>
            <w:tcBorders>
              <w:top w:val="single" w:sz="4" w:space="0" w:color="auto"/>
              <w:bottom w:val="nil"/>
            </w:tcBorders>
            <w:shd w:val="clear" w:color="auto" w:fill="FFFFFF"/>
          </w:tcPr>
          <w:p w14:paraId="59BE0789" w14:textId="77777777" w:rsidR="001621FB" w:rsidRPr="00595983" w:rsidRDefault="001621FB" w:rsidP="00190991">
            <w:pPr>
              <w:spacing w:before="60" w:after="60"/>
              <w:jc w:val="right"/>
              <w:rPr>
                <w:color w:val="2E74B5"/>
              </w:rPr>
            </w:pPr>
            <w:r w:rsidRPr="00595983">
              <w:rPr>
                <w:color w:val="2E74B5"/>
              </w:rPr>
              <w:t>720 tis. Kč</w:t>
            </w:r>
          </w:p>
        </w:tc>
      </w:tr>
      <w:tr w:rsidR="001621FB" w:rsidRPr="00473066" w14:paraId="6EF9A4C4" w14:textId="77777777" w:rsidTr="00190991">
        <w:trPr>
          <w:tblHeader/>
        </w:trPr>
        <w:tc>
          <w:tcPr>
            <w:tcW w:w="7083" w:type="dxa"/>
            <w:tcBorders>
              <w:top w:val="nil"/>
              <w:bottom w:val="single" w:sz="4" w:space="0" w:color="auto"/>
            </w:tcBorders>
            <w:shd w:val="clear" w:color="auto" w:fill="FFFFFF"/>
          </w:tcPr>
          <w:p w14:paraId="64B59218" w14:textId="77777777" w:rsidR="001621FB" w:rsidRPr="00957260" w:rsidRDefault="001621FB" w:rsidP="00190991">
            <w:pPr>
              <w:spacing w:before="60" w:after="60"/>
              <w:ind w:left="22" w:hanging="22"/>
            </w:pPr>
            <w:r w:rsidRPr="00957260">
              <w:t>Jiné zdroje EU 2021+</w:t>
            </w:r>
          </w:p>
        </w:tc>
        <w:tc>
          <w:tcPr>
            <w:tcW w:w="2268" w:type="dxa"/>
            <w:tcBorders>
              <w:top w:val="nil"/>
              <w:bottom w:val="single" w:sz="4" w:space="0" w:color="auto"/>
            </w:tcBorders>
            <w:shd w:val="clear" w:color="auto" w:fill="FFFFFF"/>
          </w:tcPr>
          <w:p w14:paraId="24B28088" w14:textId="77777777" w:rsidR="001621FB" w:rsidRPr="00957260" w:rsidRDefault="001621FB" w:rsidP="00190991">
            <w:pPr>
              <w:spacing w:before="60" w:after="60"/>
              <w:jc w:val="right"/>
            </w:pPr>
            <w:r w:rsidRPr="00957260">
              <w:t>720 tis. Kč</w:t>
            </w:r>
          </w:p>
        </w:tc>
      </w:tr>
      <w:tr w:rsidR="001621FB" w:rsidRPr="00473066" w14:paraId="06DBDED2" w14:textId="77777777" w:rsidTr="00190991">
        <w:trPr>
          <w:tblHeader/>
        </w:trPr>
        <w:tc>
          <w:tcPr>
            <w:tcW w:w="7083" w:type="dxa"/>
            <w:tcBorders>
              <w:top w:val="single" w:sz="4" w:space="0" w:color="auto"/>
              <w:bottom w:val="nil"/>
            </w:tcBorders>
            <w:shd w:val="clear" w:color="auto" w:fill="FFFFFF"/>
          </w:tcPr>
          <w:p w14:paraId="7A32D85A" w14:textId="77777777" w:rsidR="001621FB" w:rsidRPr="00595983" w:rsidRDefault="001621FB" w:rsidP="00190991">
            <w:pPr>
              <w:spacing w:before="60" w:after="60"/>
              <w:ind w:left="22" w:hanging="22"/>
              <w:rPr>
                <w:color w:val="2E74B5"/>
              </w:rPr>
            </w:pPr>
            <w:r w:rsidRPr="00595983">
              <w:rPr>
                <w:color w:val="2E74B5"/>
              </w:rPr>
              <w:t>Výdaje Drážního a energetického stavebního úřadu (v tom:)</w:t>
            </w:r>
          </w:p>
        </w:tc>
        <w:tc>
          <w:tcPr>
            <w:tcW w:w="2268" w:type="dxa"/>
            <w:tcBorders>
              <w:top w:val="single" w:sz="4" w:space="0" w:color="auto"/>
              <w:bottom w:val="nil"/>
            </w:tcBorders>
            <w:shd w:val="clear" w:color="auto" w:fill="FFFFFF"/>
          </w:tcPr>
          <w:p w14:paraId="0BA2FD4B" w14:textId="77777777" w:rsidR="001621FB" w:rsidRPr="00595983" w:rsidRDefault="001621FB" w:rsidP="00190991">
            <w:pPr>
              <w:spacing w:before="60" w:after="60"/>
              <w:jc w:val="right"/>
              <w:rPr>
                <w:color w:val="2E74B5"/>
              </w:rPr>
            </w:pPr>
            <w:r w:rsidRPr="00595983">
              <w:rPr>
                <w:color w:val="2E74B5"/>
              </w:rPr>
              <w:t>8 563 tis. Kč</w:t>
            </w:r>
          </w:p>
        </w:tc>
      </w:tr>
      <w:tr w:rsidR="001621FB" w:rsidRPr="00473066" w14:paraId="3A515201" w14:textId="77777777" w:rsidTr="00190991">
        <w:trPr>
          <w:tblHeader/>
        </w:trPr>
        <w:tc>
          <w:tcPr>
            <w:tcW w:w="7083" w:type="dxa"/>
            <w:tcBorders>
              <w:top w:val="nil"/>
              <w:bottom w:val="nil"/>
            </w:tcBorders>
            <w:shd w:val="clear" w:color="auto" w:fill="FFFFFF"/>
          </w:tcPr>
          <w:p w14:paraId="3BFFD716" w14:textId="77777777" w:rsidR="001621FB" w:rsidRPr="00384F20" w:rsidRDefault="001621FB" w:rsidP="00190991">
            <w:pPr>
              <w:spacing w:before="60" w:after="60"/>
              <w:ind w:left="22" w:hanging="22"/>
            </w:pPr>
            <w:r w:rsidRPr="00384F20">
              <w:t>Národní plán obnovy (z toho:)</w:t>
            </w:r>
          </w:p>
        </w:tc>
        <w:tc>
          <w:tcPr>
            <w:tcW w:w="2268" w:type="dxa"/>
            <w:tcBorders>
              <w:top w:val="nil"/>
              <w:bottom w:val="nil"/>
            </w:tcBorders>
            <w:shd w:val="clear" w:color="auto" w:fill="FFFFFF"/>
          </w:tcPr>
          <w:p w14:paraId="60EB34B1" w14:textId="77777777" w:rsidR="001621FB" w:rsidRPr="00384F20" w:rsidRDefault="001621FB" w:rsidP="00190991">
            <w:pPr>
              <w:spacing w:before="60" w:after="60"/>
              <w:jc w:val="right"/>
            </w:pPr>
            <w:r w:rsidRPr="00384F20">
              <w:t>8 563 tis. Kč</w:t>
            </w:r>
          </w:p>
        </w:tc>
      </w:tr>
      <w:tr w:rsidR="001621FB" w:rsidRPr="00473066" w14:paraId="32D1A5D1" w14:textId="77777777" w:rsidTr="00190991">
        <w:trPr>
          <w:tblHeader/>
        </w:trPr>
        <w:tc>
          <w:tcPr>
            <w:tcW w:w="7083" w:type="dxa"/>
            <w:tcBorders>
              <w:top w:val="nil"/>
              <w:bottom w:val="single" w:sz="4" w:space="0" w:color="auto"/>
            </w:tcBorders>
            <w:shd w:val="clear" w:color="auto" w:fill="FFFFFF"/>
          </w:tcPr>
          <w:p w14:paraId="5CC3B2D3" w14:textId="77777777" w:rsidR="001621FB" w:rsidRPr="00384F20" w:rsidRDefault="001621FB" w:rsidP="00190991">
            <w:pPr>
              <w:spacing w:before="60" w:after="60"/>
              <w:ind w:left="22" w:hanging="22"/>
            </w:pPr>
            <w:r w:rsidRPr="00384F20">
              <w:t xml:space="preserve">SMVS – 127 07 Rozvoj a obnova MTZ systému řízení </w:t>
            </w:r>
            <w:proofErr w:type="gramStart"/>
            <w:r w:rsidRPr="00384F20">
              <w:t>MD - OSS</w:t>
            </w:r>
            <w:proofErr w:type="gramEnd"/>
          </w:p>
        </w:tc>
        <w:tc>
          <w:tcPr>
            <w:tcW w:w="2268" w:type="dxa"/>
            <w:tcBorders>
              <w:top w:val="nil"/>
              <w:bottom w:val="single" w:sz="4" w:space="0" w:color="auto"/>
            </w:tcBorders>
            <w:shd w:val="clear" w:color="auto" w:fill="FFFFFF"/>
          </w:tcPr>
          <w:p w14:paraId="5AB026E9" w14:textId="77777777" w:rsidR="001621FB" w:rsidRPr="00384F20" w:rsidRDefault="001621FB" w:rsidP="00190991">
            <w:pPr>
              <w:spacing w:before="60" w:after="60"/>
              <w:jc w:val="right"/>
            </w:pPr>
            <w:r w:rsidRPr="00384F20">
              <w:t>6 941 tis. Kč</w:t>
            </w:r>
          </w:p>
        </w:tc>
      </w:tr>
      <w:tr w:rsidR="001621FB" w:rsidRPr="00473066" w14:paraId="6DD2CC55" w14:textId="77777777" w:rsidTr="00190991">
        <w:trPr>
          <w:tblHeader/>
        </w:trPr>
        <w:tc>
          <w:tcPr>
            <w:tcW w:w="7083" w:type="dxa"/>
            <w:tcBorders>
              <w:top w:val="single" w:sz="4" w:space="0" w:color="auto"/>
              <w:bottom w:val="nil"/>
            </w:tcBorders>
            <w:shd w:val="clear" w:color="auto" w:fill="FFFFFF"/>
          </w:tcPr>
          <w:p w14:paraId="2FD30F5B" w14:textId="77777777" w:rsidR="001621FB" w:rsidRPr="00595983" w:rsidRDefault="001621FB" w:rsidP="00190991">
            <w:pPr>
              <w:spacing w:before="60" w:after="60"/>
              <w:ind w:left="22" w:hanging="22"/>
              <w:rPr>
                <w:color w:val="2E74B5"/>
              </w:rPr>
            </w:pPr>
            <w:r w:rsidRPr="00595983">
              <w:rPr>
                <w:color w:val="2E74B5"/>
              </w:rPr>
              <w:t>Výdaje Drážní inspekce (v tom:)</w:t>
            </w:r>
          </w:p>
        </w:tc>
        <w:tc>
          <w:tcPr>
            <w:tcW w:w="2268" w:type="dxa"/>
            <w:tcBorders>
              <w:top w:val="single" w:sz="4" w:space="0" w:color="auto"/>
              <w:bottom w:val="nil"/>
            </w:tcBorders>
            <w:shd w:val="clear" w:color="auto" w:fill="FFFFFF"/>
          </w:tcPr>
          <w:p w14:paraId="4F00D406" w14:textId="77777777" w:rsidR="001621FB" w:rsidRPr="00595983" w:rsidRDefault="001621FB" w:rsidP="00190991">
            <w:pPr>
              <w:spacing w:before="60" w:after="60"/>
              <w:jc w:val="right"/>
              <w:rPr>
                <w:color w:val="2E74B5"/>
              </w:rPr>
            </w:pPr>
            <w:r w:rsidRPr="00595983">
              <w:rPr>
                <w:color w:val="2E74B5"/>
              </w:rPr>
              <w:t>1 289 tis. Kč</w:t>
            </w:r>
          </w:p>
        </w:tc>
      </w:tr>
      <w:tr w:rsidR="001621FB" w:rsidRPr="00473066" w14:paraId="5EA79E13" w14:textId="77777777" w:rsidTr="00190991">
        <w:trPr>
          <w:tblHeader/>
        </w:trPr>
        <w:tc>
          <w:tcPr>
            <w:tcW w:w="7083" w:type="dxa"/>
            <w:tcBorders>
              <w:top w:val="nil"/>
              <w:bottom w:val="nil"/>
            </w:tcBorders>
            <w:shd w:val="clear" w:color="auto" w:fill="FFFFFF"/>
          </w:tcPr>
          <w:p w14:paraId="4AF5D722" w14:textId="77777777" w:rsidR="001621FB" w:rsidRPr="001A46E3" w:rsidRDefault="001621FB" w:rsidP="00190991">
            <w:pPr>
              <w:spacing w:before="60" w:after="60"/>
              <w:ind w:left="22" w:hanging="22"/>
            </w:pPr>
            <w:r w:rsidRPr="001A46E3">
              <w:t>Operační program Zaměstnanost 2014+ (z toho:)</w:t>
            </w:r>
          </w:p>
        </w:tc>
        <w:tc>
          <w:tcPr>
            <w:tcW w:w="2268" w:type="dxa"/>
            <w:tcBorders>
              <w:top w:val="nil"/>
              <w:bottom w:val="nil"/>
            </w:tcBorders>
            <w:shd w:val="clear" w:color="auto" w:fill="FFFFFF"/>
          </w:tcPr>
          <w:p w14:paraId="544B0FBD" w14:textId="77777777" w:rsidR="001621FB" w:rsidRPr="001A46E3" w:rsidRDefault="001621FB" w:rsidP="00190991">
            <w:pPr>
              <w:spacing w:before="60" w:after="60"/>
              <w:jc w:val="right"/>
            </w:pPr>
            <w:r w:rsidRPr="001A46E3">
              <w:t>1 289 tis. Kč</w:t>
            </w:r>
          </w:p>
        </w:tc>
      </w:tr>
      <w:tr w:rsidR="001621FB" w:rsidRPr="00473066" w14:paraId="5BE5653F" w14:textId="77777777" w:rsidTr="00190991">
        <w:trPr>
          <w:tblHeader/>
        </w:trPr>
        <w:tc>
          <w:tcPr>
            <w:tcW w:w="7083" w:type="dxa"/>
            <w:tcBorders>
              <w:top w:val="nil"/>
              <w:bottom w:val="single" w:sz="4" w:space="0" w:color="auto"/>
            </w:tcBorders>
            <w:shd w:val="clear" w:color="auto" w:fill="FFFFFF"/>
          </w:tcPr>
          <w:p w14:paraId="5F6825A1" w14:textId="77777777" w:rsidR="001621FB" w:rsidRPr="001A46E3" w:rsidRDefault="001621FB" w:rsidP="00190991">
            <w:pPr>
              <w:spacing w:before="60" w:after="60"/>
              <w:ind w:left="22" w:hanging="22"/>
            </w:pPr>
            <w:r w:rsidRPr="001A46E3">
              <w:t xml:space="preserve">SMVS – 127 03 Rozvoj a obnova MTZ systému řízení </w:t>
            </w:r>
            <w:proofErr w:type="gramStart"/>
            <w:r w:rsidRPr="001A46E3">
              <w:t>MD - OSS</w:t>
            </w:r>
            <w:proofErr w:type="gramEnd"/>
          </w:p>
        </w:tc>
        <w:tc>
          <w:tcPr>
            <w:tcW w:w="2268" w:type="dxa"/>
            <w:tcBorders>
              <w:top w:val="nil"/>
              <w:bottom w:val="single" w:sz="4" w:space="0" w:color="auto"/>
            </w:tcBorders>
            <w:shd w:val="clear" w:color="auto" w:fill="FFFFFF"/>
          </w:tcPr>
          <w:p w14:paraId="39786C74" w14:textId="77777777" w:rsidR="001621FB" w:rsidRPr="001A46E3" w:rsidRDefault="001621FB" w:rsidP="00190991">
            <w:pPr>
              <w:spacing w:before="60" w:after="60"/>
              <w:jc w:val="right"/>
            </w:pPr>
            <w:r w:rsidRPr="001A46E3">
              <w:t>564 tis. Kč</w:t>
            </w:r>
          </w:p>
        </w:tc>
      </w:tr>
      <w:tr w:rsidR="001621FB" w:rsidRPr="00473066" w14:paraId="56BF58CF" w14:textId="77777777" w:rsidTr="00190991">
        <w:trPr>
          <w:tblHeader/>
        </w:trPr>
        <w:tc>
          <w:tcPr>
            <w:tcW w:w="7083" w:type="dxa"/>
            <w:tcBorders>
              <w:top w:val="single" w:sz="4" w:space="0" w:color="auto"/>
              <w:bottom w:val="nil"/>
            </w:tcBorders>
            <w:shd w:val="clear" w:color="auto" w:fill="FFFFFF"/>
          </w:tcPr>
          <w:p w14:paraId="0A6A0A31" w14:textId="77777777" w:rsidR="001621FB" w:rsidRPr="00595983" w:rsidRDefault="001621FB" w:rsidP="00190991">
            <w:pPr>
              <w:spacing w:before="60" w:after="60"/>
              <w:ind w:left="22" w:hanging="22"/>
              <w:rPr>
                <w:color w:val="2E74B5"/>
              </w:rPr>
            </w:pPr>
            <w:r w:rsidRPr="00595983">
              <w:rPr>
                <w:color w:val="2E74B5"/>
              </w:rPr>
              <w:t>Transfery nefinančním podnikatelským subjektům (v tom:)</w:t>
            </w:r>
          </w:p>
        </w:tc>
        <w:tc>
          <w:tcPr>
            <w:tcW w:w="2268" w:type="dxa"/>
            <w:tcBorders>
              <w:top w:val="single" w:sz="4" w:space="0" w:color="auto"/>
              <w:bottom w:val="nil"/>
            </w:tcBorders>
            <w:shd w:val="clear" w:color="auto" w:fill="FFFFFF"/>
          </w:tcPr>
          <w:p w14:paraId="2115A749" w14:textId="77777777" w:rsidR="001621FB" w:rsidRPr="00595983" w:rsidRDefault="001621FB" w:rsidP="00190991">
            <w:pPr>
              <w:spacing w:before="60" w:after="60"/>
              <w:jc w:val="right"/>
              <w:rPr>
                <w:color w:val="2E74B5"/>
              </w:rPr>
            </w:pPr>
            <w:r w:rsidRPr="00595983">
              <w:rPr>
                <w:color w:val="2E74B5"/>
              </w:rPr>
              <w:t>242 105 tis. Kč</w:t>
            </w:r>
          </w:p>
        </w:tc>
      </w:tr>
      <w:tr w:rsidR="001621FB" w:rsidRPr="00473066" w14:paraId="3DDB0925" w14:textId="77777777" w:rsidTr="00190991">
        <w:trPr>
          <w:tblHeader/>
        </w:trPr>
        <w:tc>
          <w:tcPr>
            <w:tcW w:w="7083" w:type="dxa"/>
            <w:tcBorders>
              <w:top w:val="nil"/>
              <w:bottom w:val="nil"/>
            </w:tcBorders>
            <w:shd w:val="clear" w:color="auto" w:fill="FFFFFF"/>
          </w:tcPr>
          <w:p w14:paraId="05BEED5F" w14:textId="77777777" w:rsidR="001621FB" w:rsidRPr="00855019" w:rsidRDefault="001621FB" w:rsidP="00190991">
            <w:pPr>
              <w:spacing w:before="60" w:after="60"/>
              <w:ind w:left="22" w:hanging="22"/>
            </w:pPr>
            <w:r w:rsidRPr="00855019">
              <w:t>EDS – 127 77 Podpora financování dopravy</w:t>
            </w:r>
            <w:r>
              <w:t xml:space="preserve"> (OPD 2014+)</w:t>
            </w:r>
          </w:p>
        </w:tc>
        <w:tc>
          <w:tcPr>
            <w:tcW w:w="2268" w:type="dxa"/>
            <w:tcBorders>
              <w:top w:val="nil"/>
              <w:bottom w:val="nil"/>
            </w:tcBorders>
            <w:shd w:val="clear" w:color="auto" w:fill="FFFFFF"/>
          </w:tcPr>
          <w:p w14:paraId="08A505C5" w14:textId="77777777" w:rsidR="001621FB" w:rsidRPr="00855019" w:rsidRDefault="001621FB" w:rsidP="00190991">
            <w:pPr>
              <w:spacing w:before="60" w:after="60"/>
              <w:jc w:val="right"/>
            </w:pPr>
            <w:r>
              <w:t>242</w:t>
            </w:r>
            <w:r w:rsidRPr="00855019">
              <w:t> </w:t>
            </w:r>
            <w:r>
              <w:t>105</w:t>
            </w:r>
            <w:r w:rsidRPr="00855019">
              <w:t xml:space="preserve"> tis. Kč</w:t>
            </w:r>
          </w:p>
        </w:tc>
      </w:tr>
      <w:tr w:rsidR="001621FB" w:rsidRPr="00473066" w14:paraId="4ECA4362" w14:textId="77777777" w:rsidTr="00190991">
        <w:trPr>
          <w:tblHeader/>
        </w:trPr>
        <w:tc>
          <w:tcPr>
            <w:tcW w:w="7083" w:type="dxa"/>
            <w:tcBorders>
              <w:top w:val="single" w:sz="4" w:space="0" w:color="auto"/>
              <w:bottom w:val="nil"/>
            </w:tcBorders>
            <w:shd w:val="clear" w:color="auto" w:fill="FFFFFF"/>
          </w:tcPr>
          <w:p w14:paraId="16FA9B39" w14:textId="77777777" w:rsidR="001621FB" w:rsidRPr="00595983" w:rsidRDefault="001621FB" w:rsidP="00190991">
            <w:pPr>
              <w:spacing w:before="60" w:after="60"/>
              <w:ind w:left="22" w:hanging="22"/>
              <w:rPr>
                <w:color w:val="2E74B5"/>
              </w:rPr>
            </w:pPr>
            <w:r w:rsidRPr="00595983">
              <w:rPr>
                <w:color w:val="2E74B5"/>
              </w:rPr>
              <w:t>Výdaje příspěvkových organizací (v tom:)</w:t>
            </w:r>
          </w:p>
        </w:tc>
        <w:tc>
          <w:tcPr>
            <w:tcW w:w="2268" w:type="dxa"/>
            <w:tcBorders>
              <w:top w:val="single" w:sz="4" w:space="0" w:color="auto"/>
              <w:bottom w:val="nil"/>
            </w:tcBorders>
            <w:shd w:val="clear" w:color="auto" w:fill="FFFFFF"/>
          </w:tcPr>
          <w:p w14:paraId="272197D3" w14:textId="77777777" w:rsidR="001621FB" w:rsidRPr="00595983" w:rsidRDefault="001621FB" w:rsidP="00190991">
            <w:pPr>
              <w:spacing w:before="60" w:after="60"/>
              <w:jc w:val="right"/>
              <w:rPr>
                <w:color w:val="2E74B5"/>
              </w:rPr>
            </w:pPr>
            <w:r w:rsidRPr="00595983">
              <w:rPr>
                <w:color w:val="2E74B5"/>
              </w:rPr>
              <w:t>429 315 tis. Kč</w:t>
            </w:r>
          </w:p>
        </w:tc>
      </w:tr>
      <w:tr w:rsidR="001621FB" w:rsidRPr="00473066" w14:paraId="651DF177" w14:textId="77777777" w:rsidTr="00190991">
        <w:trPr>
          <w:tblHeader/>
        </w:trPr>
        <w:tc>
          <w:tcPr>
            <w:tcW w:w="7083" w:type="dxa"/>
            <w:tcBorders>
              <w:top w:val="nil"/>
              <w:bottom w:val="single" w:sz="4" w:space="0" w:color="auto"/>
            </w:tcBorders>
            <w:shd w:val="clear" w:color="auto" w:fill="FFFFFF"/>
          </w:tcPr>
          <w:p w14:paraId="4087D640" w14:textId="77777777" w:rsidR="001621FB" w:rsidRPr="00473066" w:rsidRDefault="001621FB" w:rsidP="00190991">
            <w:pPr>
              <w:spacing w:before="60" w:after="60"/>
              <w:ind w:left="22" w:hanging="22"/>
              <w:rPr>
                <w:color w:val="FF0000"/>
              </w:rPr>
            </w:pPr>
            <w:r w:rsidRPr="00793C9D">
              <w:t>SMVS – 127 06 Rozvoj a obnova MTZ systému řízení MD – PO, SFDI</w:t>
            </w:r>
            <w:r>
              <w:t xml:space="preserve"> (OPIC 2014+)</w:t>
            </w:r>
          </w:p>
        </w:tc>
        <w:tc>
          <w:tcPr>
            <w:tcW w:w="2268" w:type="dxa"/>
            <w:tcBorders>
              <w:top w:val="nil"/>
              <w:bottom w:val="single" w:sz="4" w:space="0" w:color="auto"/>
            </w:tcBorders>
            <w:shd w:val="clear" w:color="auto" w:fill="FFFFFF"/>
          </w:tcPr>
          <w:p w14:paraId="36333250" w14:textId="77777777" w:rsidR="001621FB" w:rsidRPr="005D78E2" w:rsidRDefault="001621FB" w:rsidP="00190991">
            <w:pPr>
              <w:spacing w:before="180" w:after="60"/>
              <w:jc w:val="right"/>
            </w:pPr>
            <w:r w:rsidRPr="005D78E2">
              <w:t>429 315 tis. Kč</w:t>
            </w:r>
          </w:p>
        </w:tc>
      </w:tr>
      <w:tr w:rsidR="001621FB" w:rsidRPr="00473066" w14:paraId="2B742E58" w14:textId="77777777" w:rsidTr="00190991">
        <w:trPr>
          <w:tblHeader/>
        </w:trPr>
        <w:tc>
          <w:tcPr>
            <w:tcW w:w="7083" w:type="dxa"/>
            <w:tcBorders>
              <w:top w:val="single" w:sz="4" w:space="0" w:color="auto"/>
              <w:bottom w:val="single" w:sz="4" w:space="0" w:color="auto"/>
            </w:tcBorders>
            <w:shd w:val="clear" w:color="auto" w:fill="E8E8E8"/>
          </w:tcPr>
          <w:p w14:paraId="48C54A3B" w14:textId="77777777" w:rsidR="001621FB" w:rsidRPr="00595983" w:rsidRDefault="001621FB" w:rsidP="00190991">
            <w:pPr>
              <w:spacing w:before="60" w:after="60"/>
              <w:ind w:left="22" w:hanging="22"/>
              <w:rPr>
                <w:b/>
                <w:color w:val="2E74B5"/>
              </w:rPr>
            </w:pPr>
            <w:r w:rsidRPr="00595983">
              <w:rPr>
                <w:b/>
                <w:color w:val="2E74B5"/>
              </w:rPr>
              <w:t>Výdaje spojené s kosmickými aktivitami (v tom:)</w:t>
            </w:r>
          </w:p>
        </w:tc>
        <w:tc>
          <w:tcPr>
            <w:tcW w:w="2268" w:type="dxa"/>
            <w:tcBorders>
              <w:top w:val="single" w:sz="4" w:space="0" w:color="auto"/>
              <w:bottom w:val="single" w:sz="4" w:space="0" w:color="auto"/>
            </w:tcBorders>
            <w:shd w:val="clear" w:color="auto" w:fill="E8E8E8"/>
            <w:vAlign w:val="center"/>
          </w:tcPr>
          <w:p w14:paraId="53BD97C4" w14:textId="77777777" w:rsidR="001621FB" w:rsidRPr="00595983" w:rsidRDefault="001621FB" w:rsidP="00190991">
            <w:pPr>
              <w:spacing w:before="60" w:after="60"/>
              <w:jc w:val="right"/>
              <w:rPr>
                <w:b/>
                <w:color w:val="2E74B5"/>
              </w:rPr>
            </w:pPr>
            <w:r w:rsidRPr="00595983">
              <w:rPr>
                <w:b/>
                <w:color w:val="2E74B5"/>
              </w:rPr>
              <w:t>318 tis. Kč</w:t>
            </w:r>
          </w:p>
        </w:tc>
      </w:tr>
      <w:tr w:rsidR="001621FB" w:rsidRPr="00473066" w14:paraId="6DCD2EFC" w14:textId="77777777" w:rsidTr="00190991">
        <w:trPr>
          <w:tblHeader/>
        </w:trPr>
        <w:tc>
          <w:tcPr>
            <w:tcW w:w="7083" w:type="dxa"/>
            <w:tcBorders>
              <w:top w:val="single" w:sz="4" w:space="0" w:color="auto"/>
              <w:bottom w:val="single" w:sz="4" w:space="0" w:color="auto"/>
            </w:tcBorders>
          </w:tcPr>
          <w:p w14:paraId="2322AE47" w14:textId="77777777" w:rsidR="001621FB" w:rsidRPr="00595983" w:rsidRDefault="001621FB" w:rsidP="00190991">
            <w:pPr>
              <w:spacing w:before="60" w:after="60"/>
              <w:ind w:left="22" w:hanging="22"/>
              <w:rPr>
                <w:bCs/>
                <w:color w:val="2E74B5"/>
              </w:rPr>
            </w:pPr>
            <w:r w:rsidRPr="00595983">
              <w:rPr>
                <w:bCs/>
                <w:color w:val="2E74B5"/>
              </w:rPr>
              <w:t>Výdaje ústředního orgánu MD (Kosmický program Unie)</w:t>
            </w:r>
          </w:p>
        </w:tc>
        <w:tc>
          <w:tcPr>
            <w:tcW w:w="2268" w:type="dxa"/>
            <w:tcBorders>
              <w:top w:val="single" w:sz="4" w:space="0" w:color="auto"/>
              <w:bottom w:val="single" w:sz="4" w:space="0" w:color="auto"/>
            </w:tcBorders>
            <w:vAlign w:val="center"/>
          </w:tcPr>
          <w:p w14:paraId="04849823" w14:textId="77777777" w:rsidR="001621FB" w:rsidRPr="00595983" w:rsidRDefault="001621FB" w:rsidP="00190991">
            <w:pPr>
              <w:spacing w:before="60" w:after="60"/>
              <w:jc w:val="right"/>
              <w:rPr>
                <w:bCs/>
                <w:color w:val="2E74B5"/>
              </w:rPr>
            </w:pPr>
            <w:r w:rsidRPr="00595983">
              <w:rPr>
                <w:bCs/>
                <w:color w:val="2E74B5"/>
              </w:rPr>
              <w:t>318 tis. Kč</w:t>
            </w:r>
          </w:p>
        </w:tc>
      </w:tr>
    </w:tbl>
    <w:p w14:paraId="4366C74B" w14:textId="48D0AFB0" w:rsidR="00041405" w:rsidRPr="006B6D61" w:rsidRDefault="00041405" w:rsidP="00E20BD6">
      <w:pPr>
        <w:pStyle w:val="KOMnadp3"/>
      </w:pPr>
      <w:bookmarkStart w:id="121" w:name="_Toc128397660"/>
      <w:bookmarkStart w:id="122" w:name="_Toc128397793"/>
      <w:bookmarkStart w:id="123" w:name="_Toc128398016"/>
      <w:bookmarkStart w:id="124" w:name="_Toc128398359"/>
      <w:bookmarkStart w:id="125" w:name="_Toc128398485"/>
      <w:bookmarkStart w:id="126" w:name="_Toc128398699"/>
      <w:bookmarkStart w:id="127" w:name="_Toc128400015"/>
      <w:bookmarkStart w:id="128" w:name="_Toc128401255"/>
      <w:bookmarkStart w:id="129" w:name="_Toc128401383"/>
      <w:bookmarkStart w:id="130" w:name="_Toc128401870"/>
      <w:bookmarkStart w:id="131" w:name="_Toc128400016"/>
      <w:bookmarkStart w:id="132" w:name="_Toc162269244"/>
      <w:bookmarkEnd w:id="121"/>
      <w:bookmarkEnd w:id="122"/>
      <w:bookmarkEnd w:id="123"/>
      <w:bookmarkEnd w:id="124"/>
      <w:bookmarkEnd w:id="125"/>
      <w:bookmarkEnd w:id="126"/>
      <w:bookmarkEnd w:id="127"/>
      <w:bookmarkEnd w:id="128"/>
      <w:bookmarkEnd w:id="129"/>
      <w:bookmarkEnd w:id="130"/>
      <w:r w:rsidRPr="006B6D61">
        <w:t>Výdaje spojené s</w:t>
      </w:r>
      <w:r w:rsidR="00FE1E42" w:rsidRPr="006B6D61">
        <w:t> výkonem předsednictví ČR v Radě Evropské unie</w:t>
      </w:r>
      <w:bookmarkEnd w:id="131"/>
      <w:bookmarkEnd w:id="132"/>
    </w:p>
    <w:p w14:paraId="08A3CDF0" w14:textId="394879C0" w:rsidR="007C7984" w:rsidRPr="006651E4" w:rsidRDefault="007C7984" w:rsidP="007C7984">
      <w:pPr>
        <w:pStyle w:val="KOMtext"/>
      </w:pPr>
      <w:r w:rsidRPr="006651E4">
        <w:t>Výdajový blok zahrnuje výdaje určené na předsednictví ČR v Radě Evropské unie. Česká republika se v druhé polovině roku 2022 ujala půlročního předsednictví v Radě Evropské unie</w:t>
      </w:r>
      <w:r>
        <w:t>.</w:t>
      </w:r>
      <w:r w:rsidRPr="006651E4">
        <w:t xml:space="preserve"> Rozpočet pro rok 2023 byl schválen ve výši 3 152 tis. Kč, v průběhu roku došlo ke zvýšení </w:t>
      </w:r>
      <w:r w:rsidRPr="006651E4">
        <w:br/>
        <w:t xml:space="preserve">o 4 511 tis. Kč na částku 7 663 tis. Kč. Skutečné čerpání dosáhlo částky ve výši </w:t>
      </w:r>
      <w:r w:rsidRPr="006651E4">
        <w:rPr>
          <w:b/>
        </w:rPr>
        <w:t xml:space="preserve">5 434 tis. Kč, </w:t>
      </w:r>
      <w:r w:rsidRPr="006651E4">
        <w:t>z toho: nároky 175 tis. Kč.</w:t>
      </w:r>
    </w:p>
    <w:p w14:paraId="0F202B3C" w14:textId="77777777" w:rsidR="007C7984" w:rsidRPr="006651E4" w:rsidRDefault="007C7984" w:rsidP="007C7984">
      <w:pPr>
        <w:pStyle w:val="KOMtext"/>
        <w:ind w:left="284" w:hanging="284"/>
        <w:rPr>
          <w:b/>
        </w:rPr>
      </w:pPr>
      <w:r w:rsidRPr="006651E4">
        <w:rPr>
          <w:b/>
        </w:rPr>
        <w:t xml:space="preserve">Členění ukazatele podle zdroje financování: </w:t>
      </w:r>
    </w:p>
    <w:p w14:paraId="6027555E" w14:textId="77777777" w:rsidR="007C7984" w:rsidRPr="009E323C" w:rsidRDefault="007C7984" w:rsidP="007C7984">
      <w:pPr>
        <w:pStyle w:val="KOMtext"/>
        <w:numPr>
          <w:ilvl w:val="0"/>
          <w:numId w:val="13"/>
        </w:numPr>
        <w:ind w:left="709" w:hanging="425"/>
      </w:pPr>
      <w:r w:rsidRPr="009E323C">
        <w:t>financované z prostředků státního rozpočtu (5 434 tis. Kč)</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5"/>
        <w:gridCol w:w="2126"/>
      </w:tblGrid>
      <w:tr w:rsidR="007C7984" w:rsidRPr="009E323C" w14:paraId="3F9FCAC1" w14:textId="77777777" w:rsidTr="00190991">
        <w:trPr>
          <w:tblHeader/>
        </w:trPr>
        <w:tc>
          <w:tcPr>
            <w:tcW w:w="7225" w:type="dxa"/>
            <w:tcBorders>
              <w:bottom w:val="single" w:sz="4" w:space="0" w:color="auto"/>
            </w:tcBorders>
            <w:shd w:val="pct15" w:color="auto" w:fill="FFFFFF"/>
          </w:tcPr>
          <w:p w14:paraId="6002D64E" w14:textId="77777777" w:rsidR="007C7984" w:rsidRPr="00F468FF" w:rsidRDefault="007C7984" w:rsidP="00190991">
            <w:pPr>
              <w:spacing w:before="60" w:after="60"/>
              <w:rPr>
                <w:rFonts w:cstheme="minorHAnsi"/>
                <w:b/>
                <w:color w:val="2E74B5"/>
              </w:rPr>
            </w:pPr>
            <w:r w:rsidRPr="00F468FF">
              <w:rPr>
                <w:rFonts w:cstheme="minorHAnsi"/>
                <w:b/>
                <w:color w:val="2E74B5"/>
              </w:rPr>
              <w:t xml:space="preserve">Výdaje spojené s výkonem předsednictví ČR v Radě EU </w:t>
            </w:r>
            <w:r w:rsidRPr="00F468FF">
              <w:rPr>
                <w:rFonts w:cstheme="minorHAnsi"/>
                <w:color w:val="2E74B5"/>
              </w:rPr>
              <w:t>(v tom:)</w:t>
            </w:r>
          </w:p>
        </w:tc>
        <w:tc>
          <w:tcPr>
            <w:tcW w:w="2126" w:type="dxa"/>
            <w:tcBorders>
              <w:bottom w:val="single" w:sz="4" w:space="0" w:color="auto"/>
            </w:tcBorders>
            <w:shd w:val="pct15" w:color="auto" w:fill="FFFFFF"/>
          </w:tcPr>
          <w:p w14:paraId="67E46266" w14:textId="77777777" w:rsidR="007C7984" w:rsidRPr="00F468FF" w:rsidRDefault="007C7984" w:rsidP="00190991">
            <w:pPr>
              <w:spacing w:before="60" w:after="60"/>
              <w:jc w:val="right"/>
              <w:rPr>
                <w:rFonts w:cstheme="minorHAnsi"/>
                <w:b/>
                <w:color w:val="2E74B5"/>
              </w:rPr>
            </w:pPr>
            <w:r w:rsidRPr="00F468FF">
              <w:rPr>
                <w:rFonts w:cstheme="minorHAnsi"/>
                <w:b/>
                <w:color w:val="2E74B5"/>
              </w:rPr>
              <w:t>5 434 tis. Kč</w:t>
            </w:r>
          </w:p>
        </w:tc>
      </w:tr>
      <w:tr w:rsidR="007C7984" w:rsidRPr="009E323C" w14:paraId="2EC3C9BC" w14:textId="77777777" w:rsidTr="00190991">
        <w:trPr>
          <w:tblHeader/>
        </w:trPr>
        <w:tc>
          <w:tcPr>
            <w:tcW w:w="7225" w:type="dxa"/>
            <w:tcBorders>
              <w:top w:val="single" w:sz="4" w:space="0" w:color="auto"/>
              <w:bottom w:val="single" w:sz="4" w:space="0" w:color="auto"/>
            </w:tcBorders>
            <w:shd w:val="clear" w:color="auto" w:fill="FFFFFF"/>
          </w:tcPr>
          <w:p w14:paraId="703236EF" w14:textId="77777777" w:rsidR="007C7984" w:rsidRPr="009E323C" w:rsidRDefault="007C7984" w:rsidP="00190991">
            <w:pPr>
              <w:pStyle w:val="Odstavecseseznamem"/>
              <w:spacing w:before="60" w:after="60"/>
              <w:ind w:left="0"/>
            </w:pPr>
            <w:r w:rsidRPr="009E323C">
              <w:t xml:space="preserve">Výdaje ústředního orgánu MD </w:t>
            </w:r>
          </w:p>
        </w:tc>
        <w:tc>
          <w:tcPr>
            <w:tcW w:w="2126" w:type="dxa"/>
            <w:tcBorders>
              <w:top w:val="single" w:sz="4" w:space="0" w:color="auto"/>
              <w:bottom w:val="single" w:sz="4" w:space="0" w:color="auto"/>
            </w:tcBorders>
            <w:shd w:val="clear" w:color="auto" w:fill="FFFFFF"/>
          </w:tcPr>
          <w:p w14:paraId="51727372" w14:textId="77777777" w:rsidR="007C7984" w:rsidRPr="009E323C" w:rsidRDefault="007C7984" w:rsidP="00190991">
            <w:pPr>
              <w:spacing w:before="60" w:after="60"/>
              <w:jc w:val="right"/>
            </w:pPr>
            <w:r w:rsidRPr="009E323C">
              <w:t>5 434 tis. Kč</w:t>
            </w:r>
          </w:p>
        </w:tc>
      </w:tr>
    </w:tbl>
    <w:p w14:paraId="281F0BAA" w14:textId="77777777" w:rsidR="007C7984" w:rsidRPr="009E323C" w:rsidRDefault="007C7984" w:rsidP="007C7984">
      <w:pPr>
        <w:pStyle w:val="KOMtext"/>
        <w:rPr>
          <w:rFonts w:cstheme="minorHAnsi"/>
        </w:rPr>
      </w:pPr>
      <w:r w:rsidRPr="009E323C">
        <w:t>Jednotlivé programy RISPF – EDS, SMVS, ZED jsou detailně popsány v kapitole 3.5</w:t>
      </w:r>
      <w:r w:rsidRPr="009E323C">
        <w:rPr>
          <w:rFonts w:cstheme="minorHAnsi"/>
        </w:rPr>
        <w:t xml:space="preserve"> a detailní čerpání prostředků fondů EU jsou popsány v kapitole 3.3.</w:t>
      </w:r>
    </w:p>
    <w:p w14:paraId="4A0F2E7B" w14:textId="6B5C6C7B" w:rsidR="007C7984" w:rsidRPr="009E323C" w:rsidRDefault="007C7984" w:rsidP="007C7984">
      <w:pPr>
        <w:pStyle w:val="KOMGrafy"/>
      </w:pPr>
      <w:bookmarkStart w:id="133" w:name="_Toc130477234"/>
      <w:bookmarkStart w:id="134" w:name="_Toc160457124"/>
      <w:r w:rsidRPr="009E323C">
        <w:lastRenderedPageBreak/>
        <w:t xml:space="preserve">Graf č. </w:t>
      </w:r>
      <w:r w:rsidRPr="009E323C">
        <w:rPr>
          <w:noProof/>
        </w:rPr>
        <w:fldChar w:fldCharType="begin"/>
      </w:r>
      <w:r w:rsidRPr="009E323C">
        <w:rPr>
          <w:noProof/>
        </w:rPr>
        <w:instrText xml:space="preserve"> SEQ Graf_č. \* ARABIC </w:instrText>
      </w:r>
      <w:r w:rsidRPr="009E323C">
        <w:rPr>
          <w:noProof/>
        </w:rPr>
        <w:fldChar w:fldCharType="separate"/>
      </w:r>
      <w:r w:rsidR="00013820">
        <w:rPr>
          <w:noProof/>
        </w:rPr>
        <w:t>7</w:t>
      </w:r>
      <w:r w:rsidRPr="009E323C">
        <w:rPr>
          <w:noProof/>
        </w:rPr>
        <w:fldChar w:fldCharType="end"/>
      </w:r>
      <w:r w:rsidRPr="009E323C">
        <w:t>: Specifické výdajové ukazatele kapitoly 327-MD za rok 202</w:t>
      </w:r>
      <w:bookmarkEnd w:id="133"/>
      <w:r>
        <w:t>3</w:t>
      </w:r>
      <w:bookmarkEnd w:id="134"/>
    </w:p>
    <w:p w14:paraId="07DFDB05" w14:textId="43770797" w:rsidR="001621FB" w:rsidRPr="0077128B" w:rsidRDefault="007C7984" w:rsidP="007C7984">
      <w:pPr>
        <w:pStyle w:val="KOMtext"/>
        <w:rPr>
          <w:color w:val="FF0000"/>
        </w:rPr>
      </w:pPr>
      <w:r w:rsidRPr="00473066">
        <w:rPr>
          <w:i/>
          <w:noProof/>
          <w:color w:val="FF0000"/>
          <w:szCs w:val="24"/>
        </w:rPr>
        <w:drawing>
          <wp:inline distT="0" distB="0" distL="0" distR="0" wp14:anchorId="486AFCB4" wp14:editId="4B6D5EDB">
            <wp:extent cx="5486400" cy="1800000"/>
            <wp:effectExtent l="0" t="0" r="0" b="0"/>
            <wp:docPr id="1704355591" name="Graf 170435559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B8EBF0D" w14:textId="1F90C948" w:rsidR="002A3A99" w:rsidRPr="006B6D61" w:rsidRDefault="002A3A99" w:rsidP="00FE67C5">
      <w:pPr>
        <w:pStyle w:val="KOMnadp2"/>
      </w:pPr>
      <w:bookmarkStart w:id="135" w:name="_Toc128397662"/>
      <w:bookmarkStart w:id="136" w:name="_Toc128397795"/>
      <w:bookmarkStart w:id="137" w:name="_Toc128398018"/>
      <w:bookmarkStart w:id="138" w:name="_Toc128398361"/>
      <w:bookmarkStart w:id="139" w:name="_Toc128398487"/>
      <w:bookmarkStart w:id="140" w:name="_Toc128398701"/>
      <w:bookmarkStart w:id="141" w:name="_Toc128400017"/>
      <w:bookmarkStart w:id="142" w:name="_Toc128401257"/>
      <w:bookmarkStart w:id="143" w:name="_Toc128401385"/>
      <w:bookmarkStart w:id="144" w:name="_Toc128401872"/>
      <w:bookmarkStart w:id="145" w:name="_Toc128400018"/>
      <w:bookmarkStart w:id="146" w:name="_Toc162269245"/>
      <w:bookmarkEnd w:id="135"/>
      <w:bookmarkEnd w:id="136"/>
      <w:bookmarkEnd w:id="137"/>
      <w:bookmarkEnd w:id="138"/>
      <w:bookmarkEnd w:id="139"/>
      <w:bookmarkEnd w:id="140"/>
      <w:bookmarkEnd w:id="141"/>
      <w:bookmarkEnd w:id="142"/>
      <w:bookmarkEnd w:id="143"/>
      <w:bookmarkEnd w:id="144"/>
      <w:r w:rsidRPr="006B6D61">
        <w:t>Výdaje na platy a ostatní platby za provedenou práci (ostatní osobní náklady) a počty zaměstnanců u OSS, PO</w:t>
      </w:r>
      <w:bookmarkEnd w:id="145"/>
      <w:bookmarkEnd w:id="146"/>
    </w:p>
    <w:p w14:paraId="59E9AB63" w14:textId="421A8B14" w:rsidR="0049127E" w:rsidRPr="00660D88" w:rsidRDefault="0049127E" w:rsidP="0049127E">
      <w:pPr>
        <w:pStyle w:val="KOMtext"/>
        <w:rPr>
          <w:rFonts w:cstheme="minorHAnsi"/>
        </w:rPr>
      </w:pPr>
      <w:r w:rsidRPr="00660D88">
        <w:rPr>
          <w:rFonts w:cstheme="minorHAnsi"/>
        </w:rPr>
        <w:t>Schválený rozpočet na platy a ostatní platby za provedenou práci organizačních složek státu (ústřední orgán MD, Úřad pro civilní letectví, Státní plavební správa, Drážní úřad, Drážní inspekce, Ústav pro odborné zjišťování příčin leteckých nehod</w:t>
      </w:r>
      <w:r>
        <w:rPr>
          <w:rFonts w:cstheme="minorHAnsi"/>
        </w:rPr>
        <w:t xml:space="preserve"> </w:t>
      </w:r>
      <w:r w:rsidRPr="00660D88">
        <w:rPr>
          <w:rFonts w:cstheme="minorHAnsi"/>
        </w:rPr>
        <w:t xml:space="preserve">a Ředitelství vodních cest ČR) </w:t>
      </w:r>
      <w:r>
        <w:rPr>
          <w:rFonts w:cstheme="minorHAnsi"/>
        </w:rPr>
        <w:br/>
      </w:r>
      <w:r w:rsidRPr="00660D88">
        <w:rPr>
          <w:rFonts w:cstheme="minorHAnsi"/>
        </w:rPr>
        <w:t xml:space="preserve">a schválený limit nákladů na platy a ostatní osobní náklady příspěvkové organizace (Centrum služeb pro silniční dopravy) byl stanoven v rámci kapitoly 327 MD v celkové výši </w:t>
      </w:r>
      <w:r w:rsidR="00235198">
        <w:rPr>
          <w:rFonts w:cstheme="minorHAnsi"/>
        </w:rPr>
        <w:br/>
      </w:r>
      <w:r w:rsidRPr="00660D88">
        <w:rPr>
          <w:rFonts w:cstheme="minorHAnsi"/>
        </w:rPr>
        <w:t xml:space="preserve">630 362 tis. Kč. </w:t>
      </w:r>
    </w:p>
    <w:p w14:paraId="7460DE3C" w14:textId="77777777" w:rsidR="0049127E" w:rsidRPr="009344A0" w:rsidRDefault="0049127E" w:rsidP="0049127E">
      <w:pPr>
        <w:pStyle w:val="KOMtext"/>
        <w:rPr>
          <w:rFonts w:cstheme="minorHAnsi"/>
        </w:rPr>
      </w:pPr>
      <w:r w:rsidRPr="00D34F88">
        <w:rPr>
          <w:rFonts w:cstheme="minorHAnsi"/>
        </w:rPr>
        <w:t xml:space="preserve">V průběhu roku byl rozpočet navýšen o částku 6 280 tis. Kč, tj. na částku </w:t>
      </w:r>
      <w:r w:rsidRPr="00D34F88">
        <w:rPr>
          <w:rFonts w:cstheme="minorHAnsi"/>
        </w:rPr>
        <w:br/>
        <w:t>636 642 tis. Kč</w:t>
      </w:r>
      <w:r w:rsidRPr="009344A0">
        <w:rPr>
          <w:rFonts w:cstheme="minorHAnsi"/>
        </w:rPr>
        <w:t>. Navýšení prostředků na platy bylo způsobeno zejména vznikem od 1. 7. 2023 nové organizační složky státu Dopravní a energetický stavební úřad a vyplacením mimořádných odměn pro zaměstnance, kteří se podíleli na výkon</w:t>
      </w:r>
      <w:r>
        <w:rPr>
          <w:rFonts w:cstheme="minorHAnsi"/>
        </w:rPr>
        <w:t>u</w:t>
      </w:r>
      <w:r w:rsidRPr="009344A0">
        <w:rPr>
          <w:rFonts w:cstheme="minorHAnsi"/>
        </w:rPr>
        <w:t xml:space="preserve"> předsednictví České republiky v Radě Evropské unie. </w:t>
      </w:r>
    </w:p>
    <w:p w14:paraId="433AABDE" w14:textId="77777777" w:rsidR="0049127E" w:rsidRPr="00877413" w:rsidRDefault="0049127E" w:rsidP="0049127E">
      <w:pPr>
        <w:pStyle w:val="KOMtext"/>
        <w:rPr>
          <w:rFonts w:cstheme="minorHAnsi"/>
        </w:rPr>
      </w:pPr>
      <w:r w:rsidRPr="00877413">
        <w:rPr>
          <w:rFonts w:cstheme="minorHAnsi"/>
        </w:rPr>
        <w:t>Skutečné čerpání dosáhlo částky 620 988 tis. Kč, tj. 97,54 % rozpočtu po změnách, a to včetně čerpání nároků z nespotřebovaných výdajů ve výši 3</w:t>
      </w:r>
      <w:r>
        <w:rPr>
          <w:rFonts w:cstheme="minorHAnsi"/>
        </w:rPr>
        <w:t>1</w:t>
      </w:r>
      <w:r w:rsidRPr="00877413">
        <w:rPr>
          <w:rFonts w:cstheme="minorHAnsi"/>
        </w:rPr>
        <w:t xml:space="preserve"> </w:t>
      </w:r>
      <w:r>
        <w:rPr>
          <w:rFonts w:cstheme="minorHAnsi"/>
        </w:rPr>
        <w:t>808</w:t>
      </w:r>
      <w:r w:rsidRPr="00877413">
        <w:rPr>
          <w:rFonts w:cstheme="minorHAnsi"/>
        </w:rPr>
        <w:t xml:space="preserve"> tis. Kč a mimorozpočtových zdrojů ve výši 6 117 tis. Kč. </w:t>
      </w:r>
    </w:p>
    <w:p w14:paraId="3CE03818" w14:textId="77777777" w:rsidR="0049127E" w:rsidRPr="00473066" w:rsidRDefault="0049127E" w:rsidP="0049127E">
      <w:pPr>
        <w:pStyle w:val="KOMtext"/>
        <w:rPr>
          <w:rFonts w:cstheme="minorHAnsi"/>
          <w:color w:val="FF0000"/>
        </w:rPr>
      </w:pPr>
      <w:r w:rsidRPr="00473066">
        <w:rPr>
          <w:rFonts w:cstheme="minorHAnsi"/>
          <w:noProof/>
          <w:color w:val="FF0000"/>
        </w:rPr>
        <w:drawing>
          <wp:inline distT="0" distB="0" distL="0" distR="0" wp14:anchorId="7CBF54E3" wp14:editId="53288871">
            <wp:extent cx="5709600" cy="1314450"/>
            <wp:effectExtent l="0" t="0" r="0" b="57150"/>
            <wp:docPr id="1704355593" name="Diagram 170435559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00D4BF66" w14:textId="0F564693" w:rsidR="0049127E" w:rsidRPr="00A947A6" w:rsidRDefault="0049127E" w:rsidP="0049127E">
      <w:pPr>
        <w:pStyle w:val="KOMtext"/>
        <w:rPr>
          <w:rFonts w:cstheme="minorHAnsi"/>
        </w:rPr>
      </w:pPr>
      <w:r w:rsidRPr="00A947A6">
        <w:rPr>
          <w:rFonts w:cstheme="minorHAnsi"/>
        </w:rPr>
        <w:lastRenderedPageBreak/>
        <w:t xml:space="preserve">Rozbor zaměstnanosti a čerpání prostředků na platy, ostatní platby za provedenou práci/ostatní osobní náklady za rok 2023 je uveden v tabulce č. 8. </w:t>
      </w:r>
      <w:r>
        <w:rPr>
          <w:rFonts w:cstheme="minorHAnsi"/>
        </w:rPr>
        <w:t>„</w:t>
      </w:r>
      <w:r w:rsidRPr="00A947A6">
        <w:rPr>
          <w:rFonts w:cstheme="minorHAnsi"/>
        </w:rPr>
        <w:t xml:space="preserve">Rozbor zaměstnanosti </w:t>
      </w:r>
      <w:r w:rsidRPr="00A947A6">
        <w:rPr>
          <w:rFonts w:cstheme="minorHAnsi"/>
        </w:rPr>
        <w:br/>
        <w:t>a čerpání prostředků na platy a ostatní platby za provedenou práci</w:t>
      </w:r>
      <w:r>
        <w:rPr>
          <w:rFonts w:cstheme="minorHAnsi"/>
        </w:rPr>
        <w:t xml:space="preserve">/ostatní osobní náklady </w:t>
      </w:r>
      <w:r w:rsidR="00235198">
        <w:rPr>
          <w:rFonts w:cstheme="minorHAnsi"/>
        </w:rPr>
        <w:br/>
      </w:r>
      <w:r>
        <w:rPr>
          <w:rFonts w:cstheme="minorHAnsi"/>
        </w:rPr>
        <w:t>za rok 2023“ a v tabulce č. 9 „Rozbor zaměstnanosti a čerpání prostředků na platy a ostatní platby za provedenou práci/ostatní osobní náklady</w:t>
      </w:r>
      <w:r w:rsidRPr="00A947A6">
        <w:rPr>
          <w:rFonts w:cstheme="minorHAnsi"/>
        </w:rPr>
        <w:t xml:space="preserve"> zapojených do programů/projektů financovaných a spolufinancovaných z rozpočtu Evropské unie nebo finančních mechanismů</w:t>
      </w:r>
      <w:r>
        <w:rPr>
          <w:rFonts w:cstheme="minorHAnsi"/>
        </w:rPr>
        <w:t>“.</w:t>
      </w:r>
      <w:r w:rsidRPr="00A947A6">
        <w:rPr>
          <w:rFonts w:cstheme="minorHAnsi"/>
        </w:rPr>
        <w:t xml:space="preserve"> </w:t>
      </w:r>
    </w:p>
    <w:p w14:paraId="67288F57" w14:textId="2FC857FB" w:rsidR="00FE1E42" w:rsidRPr="006B6D61" w:rsidRDefault="00FE1E42" w:rsidP="00E20BD6">
      <w:pPr>
        <w:pStyle w:val="KOMnadp3"/>
      </w:pPr>
      <w:bookmarkStart w:id="147" w:name="_Toc128670296"/>
      <w:bookmarkStart w:id="148" w:name="_Toc162269246"/>
      <w:bookmarkEnd w:id="147"/>
      <w:r w:rsidRPr="006B6D61">
        <w:t xml:space="preserve">Výdaje na platy a ostatní platby za provedenou práci a počty zaměstnanců </w:t>
      </w:r>
      <w:r w:rsidRPr="006B6D61">
        <w:br/>
        <w:t>u organizačních složek státu</w:t>
      </w:r>
      <w:bookmarkEnd w:id="148"/>
      <w:r w:rsidRPr="006B6D61">
        <w:t xml:space="preserve"> </w:t>
      </w:r>
    </w:p>
    <w:p w14:paraId="14A4C4C7" w14:textId="75982F20" w:rsidR="00223A26" w:rsidRPr="005325FB" w:rsidRDefault="00223A26" w:rsidP="00223A26">
      <w:pPr>
        <w:pStyle w:val="KOMtext"/>
        <w:rPr>
          <w:rFonts w:cstheme="minorHAnsi"/>
        </w:rPr>
      </w:pPr>
      <w:r w:rsidRPr="005325FB">
        <w:rPr>
          <w:rFonts w:cstheme="minorHAnsi"/>
        </w:rPr>
        <w:t xml:space="preserve">Schválený rozpočet prostředků na platy a ostatní platby za provedenou práci u organizačních složek státu ve výši 594 106 tis. Kč byl v průběhu roku navýšen o částku 7 108 tis. Kč, </w:t>
      </w:r>
      <w:r w:rsidRPr="005325FB">
        <w:rPr>
          <w:rFonts w:cstheme="minorHAnsi"/>
        </w:rPr>
        <w:br/>
        <w:t xml:space="preserve">tj. na částku 601 214 tis. Kč. </w:t>
      </w:r>
    </w:p>
    <w:p w14:paraId="101DC383" w14:textId="77777777" w:rsidR="00223A26" w:rsidRPr="0057039D" w:rsidRDefault="00223A26" w:rsidP="00223A26">
      <w:pPr>
        <w:pStyle w:val="KOMtext"/>
        <w:spacing w:after="0"/>
        <w:rPr>
          <w:rFonts w:cstheme="minorHAnsi"/>
          <w:b/>
          <w:color w:val="2E74B5" w:themeColor="accent1" w:themeShade="BF"/>
          <w:u w:val="single"/>
        </w:rPr>
      </w:pPr>
      <w:r w:rsidRPr="0057039D">
        <w:rPr>
          <w:rFonts w:cstheme="minorHAnsi"/>
          <w:b/>
          <w:color w:val="2E74B5" w:themeColor="accent1" w:themeShade="BF"/>
          <w:u w:val="single"/>
        </w:rPr>
        <w:t xml:space="preserve">Ke změně závazných ukazatelů u organizačních složek státu došlo v průběhu roku 2023: </w:t>
      </w:r>
    </w:p>
    <w:p w14:paraId="60E23B6D" w14:textId="77777777" w:rsidR="00223A26" w:rsidRPr="00976B90" w:rsidRDefault="00223A26" w:rsidP="00223A26">
      <w:pPr>
        <w:pStyle w:val="KOMtext"/>
        <w:keepNext/>
        <w:spacing w:before="60" w:after="0"/>
        <w:rPr>
          <w:rFonts w:cstheme="minorHAnsi"/>
        </w:rPr>
      </w:pPr>
      <w:r w:rsidRPr="00976B90">
        <w:rPr>
          <w:rFonts w:cstheme="minorHAnsi"/>
        </w:rPr>
        <w:t>a) v souvislosti se změnou systemizace služebních a pracovních míst s účinnost</w:t>
      </w:r>
      <w:r>
        <w:rPr>
          <w:rFonts w:cstheme="minorHAnsi"/>
        </w:rPr>
        <w:t>í</w:t>
      </w:r>
      <w:r w:rsidRPr="00976B90">
        <w:rPr>
          <w:rFonts w:cstheme="minorHAnsi"/>
        </w:rPr>
        <w:t xml:space="preserve"> od 1. 1. 2023 schválenou usnesením vlády č. 1076 ze dne 21. 12. 2022 </w:t>
      </w:r>
    </w:p>
    <w:p w14:paraId="620E9F56" w14:textId="7BDE33BD" w:rsidR="00223A26" w:rsidRPr="005D579C" w:rsidRDefault="00223A26" w:rsidP="00223A26">
      <w:pPr>
        <w:pStyle w:val="KOModrky"/>
        <w:spacing w:line="276" w:lineRule="auto"/>
      </w:pPr>
      <w:r w:rsidRPr="005D579C">
        <w:t xml:space="preserve">ústřední orgán MD – </w:t>
      </w:r>
      <w:r>
        <w:t>přesunul</w:t>
      </w:r>
      <w:r w:rsidRPr="005D579C">
        <w:t xml:space="preserve"> 1 systemizované služební mís</w:t>
      </w:r>
      <w:r>
        <w:t>to</w:t>
      </w:r>
      <w:r w:rsidRPr="005D579C">
        <w:t xml:space="preserve"> a prostředk</w:t>
      </w:r>
      <w:r>
        <w:t>y</w:t>
      </w:r>
      <w:r w:rsidRPr="005D579C">
        <w:t xml:space="preserve"> na platy </w:t>
      </w:r>
      <w:r w:rsidR="00235198">
        <w:br/>
      </w:r>
      <w:r w:rsidRPr="005D579C">
        <w:t xml:space="preserve">ve výši 463 tis. Kč na Úřad vlády ČR, jednalo se o trvalý vliv; </w:t>
      </w:r>
    </w:p>
    <w:p w14:paraId="66037ECE" w14:textId="1673DEA9" w:rsidR="00223A26" w:rsidRPr="005D579C" w:rsidRDefault="00223A26" w:rsidP="00223A26">
      <w:pPr>
        <w:pStyle w:val="KOModrky"/>
        <w:spacing w:line="276" w:lineRule="auto"/>
      </w:pPr>
      <w:r w:rsidRPr="005D579C">
        <w:t>Státní plavební správa – zruš</w:t>
      </w:r>
      <w:r>
        <w:t>ila</w:t>
      </w:r>
      <w:r w:rsidRPr="005D579C">
        <w:t xml:space="preserve"> 1 systemizovaného služebního místa bez vazby </w:t>
      </w:r>
      <w:r w:rsidR="00235198">
        <w:br/>
      </w:r>
      <w:r w:rsidRPr="005D579C">
        <w:t>na úpravu finančních prostředků, jednalo se o trvalý vliv.</w:t>
      </w:r>
    </w:p>
    <w:p w14:paraId="2F249980" w14:textId="77777777" w:rsidR="00223A26" w:rsidRPr="005B459B" w:rsidRDefault="00223A26" w:rsidP="00223A26">
      <w:pPr>
        <w:pStyle w:val="KOMtext"/>
        <w:spacing w:before="60" w:after="0"/>
        <w:rPr>
          <w:rFonts w:cstheme="minorHAnsi"/>
        </w:rPr>
      </w:pPr>
      <w:r w:rsidRPr="005B459B">
        <w:rPr>
          <w:rFonts w:cstheme="minorHAnsi"/>
        </w:rPr>
        <w:t>b) v souvislosti se schváleným usnesením vlády č. 32 ze dne 11. 1. 2023 k vyplacení mimořádných odměn pro zaměstnance, kteří se podíleli na výkonu předsednictví České republiky v Radě Evropské unie v roce 2022</w:t>
      </w:r>
    </w:p>
    <w:p w14:paraId="2A219639" w14:textId="77777777" w:rsidR="00223A26" w:rsidRPr="005B459B" w:rsidRDefault="00223A26" w:rsidP="00223A26">
      <w:pPr>
        <w:pStyle w:val="KOMtext"/>
        <w:numPr>
          <w:ilvl w:val="0"/>
          <w:numId w:val="13"/>
        </w:numPr>
        <w:spacing w:before="60" w:after="0"/>
        <w:ind w:left="709" w:hanging="425"/>
        <w:rPr>
          <w:rFonts w:cstheme="minorHAnsi"/>
        </w:rPr>
      </w:pPr>
      <w:r>
        <w:rPr>
          <w:rFonts w:cstheme="minorHAnsi"/>
        </w:rPr>
        <w:t>ú</w:t>
      </w:r>
      <w:r w:rsidRPr="005B459B">
        <w:rPr>
          <w:rFonts w:cstheme="minorHAnsi"/>
        </w:rPr>
        <w:t>střední orgán MD – navýšil prostředky ve výši 3 322 tis. Kč z kapitoly 398 Všeobecná pokladní správa (vládní rozpočtová rezerva), bez trvalého vlivu</w:t>
      </w:r>
      <w:r>
        <w:rPr>
          <w:rFonts w:cstheme="minorHAnsi"/>
        </w:rPr>
        <w:t>.</w:t>
      </w:r>
    </w:p>
    <w:p w14:paraId="658CD090" w14:textId="77777777" w:rsidR="00223A26" w:rsidRPr="00976B90" w:rsidRDefault="00223A26" w:rsidP="00223A26">
      <w:pPr>
        <w:pStyle w:val="KOMtext"/>
        <w:keepNext/>
        <w:spacing w:before="60" w:after="0"/>
        <w:rPr>
          <w:rFonts w:cstheme="minorHAnsi"/>
        </w:rPr>
      </w:pPr>
      <w:r>
        <w:rPr>
          <w:rFonts w:cstheme="minorHAnsi"/>
        </w:rPr>
        <w:t>c</w:t>
      </w:r>
      <w:r w:rsidRPr="00976B90">
        <w:rPr>
          <w:rFonts w:cstheme="minorHAnsi"/>
        </w:rPr>
        <w:t>) v souvislosti se změnou systemizace služebních a pracovních míst s účinnost</w:t>
      </w:r>
      <w:r>
        <w:rPr>
          <w:rFonts w:cstheme="minorHAnsi"/>
        </w:rPr>
        <w:t>í</w:t>
      </w:r>
      <w:r w:rsidRPr="00976B90">
        <w:rPr>
          <w:rFonts w:cstheme="minorHAnsi"/>
        </w:rPr>
        <w:t xml:space="preserve"> od 1. </w:t>
      </w:r>
      <w:r>
        <w:rPr>
          <w:rFonts w:cstheme="minorHAnsi"/>
        </w:rPr>
        <w:t>4</w:t>
      </w:r>
      <w:r w:rsidRPr="00976B90">
        <w:rPr>
          <w:rFonts w:cstheme="minorHAnsi"/>
        </w:rPr>
        <w:t xml:space="preserve">. 2023 schválenou usnesením vlády č. </w:t>
      </w:r>
      <w:r>
        <w:rPr>
          <w:rFonts w:cstheme="minorHAnsi"/>
        </w:rPr>
        <w:t>205</w:t>
      </w:r>
      <w:r w:rsidRPr="00976B90">
        <w:rPr>
          <w:rFonts w:cstheme="minorHAnsi"/>
        </w:rPr>
        <w:t xml:space="preserve"> ze dne 2</w:t>
      </w:r>
      <w:r>
        <w:rPr>
          <w:rFonts w:cstheme="minorHAnsi"/>
        </w:rPr>
        <w:t>2</w:t>
      </w:r>
      <w:r w:rsidRPr="00976B90">
        <w:rPr>
          <w:rFonts w:cstheme="minorHAnsi"/>
        </w:rPr>
        <w:t xml:space="preserve">. </w:t>
      </w:r>
      <w:r>
        <w:rPr>
          <w:rFonts w:cstheme="minorHAnsi"/>
        </w:rPr>
        <w:t>3</w:t>
      </w:r>
      <w:r w:rsidRPr="00976B90">
        <w:rPr>
          <w:rFonts w:cstheme="minorHAnsi"/>
        </w:rPr>
        <w:t>. 202</w:t>
      </w:r>
      <w:r>
        <w:rPr>
          <w:rFonts w:cstheme="minorHAnsi"/>
        </w:rPr>
        <w:t>3</w:t>
      </w:r>
      <w:r w:rsidRPr="00976B90">
        <w:rPr>
          <w:rFonts w:cstheme="minorHAnsi"/>
        </w:rPr>
        <w:t xml:space="preserve"> </w:t>
      </w:r>
    </w:p>
    <w:p w14:paraId="662A0591" w14:textId="77777777" w:rsidR="00223A26" w:rsidRDefault="00223A26" w:rsidP="00223A26">
      <w:pPr>
        <w:pStyle w:val="KOModrky"/>
        <w:spacing w:line="276" w:lineRule="auto"/>
      </w:pPr>
      <w:r>
        <w:t>ústřední orgán MD – přesunul 3 systemizovaná pracovní místa na systemizovaná služební místa bez vazby na úpravu finančních prostředků, jednalo se o trvalý vliv;</w:t>
      </w:r>
    </w:p>
    <w:p w14:paraId="75248309" w14:textId="77777777" w:rsidR="00223A26" w:rsidRPr="005D579C" w:rsidRDefault="00223A26" w:rsidP="00223A26">
      <w:pPr>
        <w:pStyle w:val="KOModrky"/>
        <w:spacing w:line="276" w:lineRule="auto"/>
      </w:pPr>
      <w:r w:rsidRPr="005D579C">
        <w:t xml:space="preserve">Státní plavební správa – </w:t>
      </w:r>
      <w:r>
        <w:t>přesunula</w:t>
      </w:r>
      <w:r w:rsidRPr="005D579C">
        <w:t xml:space="preserve"> 1 systemizované služební míst</w:t>
      </w:r>
      <w:r>
        <w:t>o na systemizované pracovní místo a současně přesunula částku ve výši 380 tis. Kč</w:t>
      </w:r>
      <w:r w:rsidRPr="005D579C">
        <w:t>, jednalo se o trvalý vliv.</w:t>
      </w:r>
    </w:p>
    <w:p w14:paraId="14C3D7AC" w14:textId="77777777" w:rsidR="00223A26" w:rsidRPr="006412BA" w:rsidRDefault="00223A26" w:rsidP="00223A26">
      <w:pPr>
        <w:pStyle w:val="KOMtext"/>
        <w:spacing w:before="60" w:after="0"/>
        <w:rPr>
          <w:rFonts w:cstheme="minorHAnsi"/>
        </w:rPr>
      </w:pPr>
      <w:r>
        <w:rPr>
          <w:rFonts w:cstheme="minorHAnsi"/>
        </w:rPr>
        <w:t>d</w:t>
      </w:r>
      <w:r w:rsidRPr="006412BA">
        <w:rPr>
          <w:rFonts w:cstheme="minorHAnsi"/>
        </w:rPr>
        <w:t xml:space="preserve">) v souvislosti se změnou systemizace služebních a pracovních míst s účinností od 1. 7. 2023 schválenou usnesením vlády č. 492 ze dne 28. 6. 2023 </w:t>
      </w:r>
    </w:p>
    <w:p w14:paraId="3835AE70" w14:textId="77777777" w:rsidR="00223A26" w:rsidRPr="006412BA" w:rsidRDefault="00223A26" w:rsidP="00223A26">
      <w:pPr>
        <w:pStyle w:val="KOModrky"/>
        <w:spacing w:line="276" w:lineRule="auto"/>
      </w:pPr>
      <w:r w:rsidRPr="006412BA">
        <w:t xml:space="preserve">Dopravní a energetický stavební úřad – navýšil 10 systemizovaných míst (v tom: </w:t>
      </w:r>
      <w:r>
        <w:br/>
      </w:r>
      <w:r w:rsidRPr="006412BA">
        <w:t xml:space="preserve">3 systemizovaná pracovní místa, 7 systemizovaných služebních míst) a částku ve výši 3 273 tis. Kč z důvodu delimitace z kapitoly 317 Ministerstvo pro místní rozvoj, jednalo se o trvalý vliv; </w:t>
      </w:r>
    </w:p>
    <w:p w14:paraId="7E71C711" w14:textId="77777777" w:rsidR="00223A26" w:rsidRPr="006412BA" w:rsidRDefault="00223A26" w:rsidP="00223A26">
      <w:pPr>
        <w:pStyle w:val="KOModrky"/>
        <w:spacing w:line="276" w:lineRule="auto"/>
      </w:pPr>
      <w:r w:rsidRPr="006412BA">
        <w:lastRenderedPageBreak/>
        <w:t xml:space="preserve">ústřední orgán MD – navýšil 4 systemizovaná pracovní místa a částku ve výši </w:t>
      </w:r>
      <w:r>
        <w:br/>
      </w:r>
      <w:r w:rsidRPr="006412BA">
        <w:t>829 tis. Kč, jednalo se o trvalý vliv</w:t>
      </w:r>
      <w:r>
        <w:t xml:space="preserve"> (přesun agendy BESIP z Centra služeb pro silniční dopravu)</w:t>
      </w:r>
      <w:r w:rsidRPr="006412BA">
        <w:t>;</w:t>
      </w:r>
    </w:p>
    <w:p w14:paraId="6DEEC2D8" w14:textId="77777777" w:rsidR="00223A26" w:rsidRPr="006412BA" w:rsidRDefault="00223A26" w:rsidP="00223A26">
      <w:pPr>
        <w:pStyle w:val="KOModrky"/>
        <w:spacing w:line="276" w:lineRule="auto"/>
      </w:pPr>
      <w:r w:rsidRPr="006412BA">
        <w:t>ústřední orgán MD – přesunul částku ve výši 1 164 tis. Kč do kapitoly 313 Ministerstvo práce a sociálních věcí, bez trvalého vlivu;</w:t>
      </w:r>
    </w:p>
    <w:p w14:paraId="7BB5D96B" w14:textId="77777777" w:rsidR="00223A26" w:rsidRPr="006412BA" w:rsidRDefault="00223A26" w:rsidP="00223A26">
      <w:pPr>
        <w:pStyle w:val="KOModrky"/>
        <w:spacing w:line="276" w:lineRule="auto"/>
      </w:pPr>
      <w:r w:rsidRPr="006412BA">
        <w:t>ústřední orgán MD – souvztažně navýšil příjmy a výdajů u rámci Národního programu obnovy, tj. došlo k navýšení prostředků ve výši 1 164 tis. Kč, bez trvalého vlivu.</w:t>
      </w:r>
    </w:p>
    <w:p w14:paraId="0A62CEF1" w14:textId="77777777" w:rsidR="00223A26" w:rsidRPr="004305C8" w:rsidRDefault="00223A26" w:rsidP="00223A26">
      <w:pPr>
        <w:pStyle w:val="KOMtext"/>
        <w:spacing w:before="60" w:after="0"/>
        <w:rPr>
          <w:rFonts w:cstheme="minorHAnsi"/>
        </w:rPr>
      </w:pPr>
      <w:r>
        <w:rPr>
          <w:rFonts w:cstheme="minorHAnsi"/>
        </w:rPr>
        <w:t>e</w:t>
      </w:r>
      <w:r w:rsidRPr="004305C8">
        <w:rPr>
          <w:rFonts w:cstheme="minorHAnsi"/>
        </w:rPr>
        <w:t>) v souvislosti se změnou systemizace služebních míst s účinností od 1. 12. 2023 schválenou Ministerstvem vnitra dne 24. 11. 2023</w:t>
      </w:r>
    </w:p>
    <w:p w14:paraId="0BA9AAC7" w14:textId="77777777" w:rsidR="00223A26" w:rsidRPr="004305C8" w:rsidRDefault="00223A26" w:rsidP="00223A26">
      <w:pPr>
        <w:pStyle w:val="KOModrky"/>
        <w:spacing w:line="276" w:lineRule="auto"/>
      </w:pPr>
      <w:r w:rsidRPr="004305C8">
        <w:t xml:space="preserve">ústřední orgán MD – navýšil prostředky na platy ve služebním poměru ve výši </w:t>
      </w:r>
      <w:r w:rsidRPr="004305C8">
        <w:br/>
        <w:t>147 tis. Kč z kapitoly 398 Všeobecná pokladní správa určených na financování stáže zaměstnance v instituci Evropské unie;</w:t>
      </w:r>
    </w:p>
    <w:p w14:paraId="070942C1" w14:textId="77777777" w:rsidR="00223A26" w:rsidRPr="004305C8" w:rsidRDefault="00223A26" w:rsidP="00223A26">
      <w:pPr>
        <w:pStyle w:val="KOModrky"/>
        <w:spacing w:line="276" w:lineRule="auto"/>
      </w:pPr>
      <w:r w:rsidRPr="004305C8">
        <w:t>Drážní úřad – přesunul prostředky výši 300 tis. Kč z prostředků na platy zaměstnanců v pracovním poměru na prostředky na platy státních zaměstnanců, bez trvalého vlivu.</w:t>
      </w:r>
    </w:p>
    <w:p w14:paraId="09528AE8" w14:textId="77777777" w:rsidR="00223A26" w:rsidRPr="00260F62" w:rsidRDefault="00223A26" w:rsidP="00223A26">
      <w:pPr>
        <w:pStyle w:val="KOMtext"/>
        <w:spacing w:after="0"/>
        <w:rPr>
          <w:rFonts w:cstheme="minorHAnsi"/>
        </w:rPr>
      </w:pPr>
      <w:r w:rsidRPr="00260F62">
        <w:rPr>
          <w:rFonts w:cstheme="minorHAnsi"/>
        </w:rPr>
        <w:t xml:space="preserve">Konečný rozpočet prostředků na platy a ostatní platby za provedenou práci byl 633 287 tis. Kč, ve kterém se projevilo na jedné straně zapojení nároků z nespotřebovaných výdajů ve výši </w:t>
      </w:r>
      <w:r w:rsidRPr="00260F62">
        <w:rPr>
          <w:rFonts w:cstheme="minorHAnsi"/>
        </w:rPr>
        <w:br/>
        <w:t xml:space="preserve">55 620 tis. Kč a na druhé straně vázání výdajů za neobsazená místa ve výši 17 880 tis. Kč. </w:t>
      </w:r>
    </w:p>
    <w:p w14:paraId="3EA7A0E0" w14:textId="77777777" w:rsidR="00223A26" w:rsidRPr="0057039D" w:rsidRDefault="00223A26" w:rsidP="00223A26">
      <w:pPr>
        <w:pStyle w:val="Odstavecseseznamem"/>
        <w:spacing w:before="240" w:after="60"/>
        <w:ind w:left="0"/>
        <w:jc w:val="both"/>
        <w:rPr>
          <w:rFonts w:cstheme="minorHAnsi"/>
          <w:b/>
          <w:color w:val="2E74B5" w:themeColor="accent1" w:themeShade="BF"/>
          <w:sz w:val="24"/>
          <w:szCs w:val="24"/>
          <w:u w:val="single"/>
        </w:rPr>
      </w:pPr>
      <w:r w:rsidRPr="0057039D">
        <w:rPr>
          <w:rFonts w:cstheme="minorHAnsi"/>
          <w:b/>
          <w:color w:val="2E74B5" w:themeColor="accent1" w:themeShade="BF"/>
          <w:sz w:val="24"/>
          <w:szCs w:val="24"/>
          <w:u w:val="single"/>
        </w:rPr>
        <w:t>Přehled vázáných prostředků na platy za neobsazená místa:</w:t>
      </w:r>
    </w:p>
    <w:p w14:paraId="3FD38CDD" w14:textId="77777777" w:rsidR="00223A26" w:rsidRPr="00E556EB" w:rsidRDefault="00223A26" w:rsidP="00223A26">
      <w:pPr>
        <w:pStyle w:val="KOModrky"/>
        <w:spacing w:line="276" w:lineRule="auto"/>
        <w:rPr>
          <w:u w:val="single"/>
        </w:rPr>
      </w:pPr>
      <w:r w:rsidRPr="00E556EB">
        <w:t>Ústřední orgán MD ve výši 11 903 tis. Kč;</w:t>
      </w:r>
    </w:p>
    <w:p w14:paraId="31CFCBCF" w14:textId="77777777" w:rsidR="00223A26" w:rsidRPr="00E556EB" w:rsidRDefault="00223A26" w:rsidP="00223A26">
      <w:pPr>
        <w:pStyle w:val="KOModrky"/>
        <w:spacing w:line="276" w:lineRule="auto"/>
        <w:rPr>
          <w:u w:val="single"/>
        </w:rPr>
      </w:pPr>
      <w:r w:rsidRPr="00E556EB">
        <w:t>Státní plavební správa ve výši 202 tis. Kč;</w:t>
      </w:r>
    </w:p>
    <w:p w14:paraId="0BCA8FA8" w14:textId="77777777" w:rsidR="00223A26" w:rsidRPr="00E556EB" w:rsidRDefault="00223A26" w:rsidP="00223A26">
      <w:pPr>
        <w:pStyle w:val="KOModrky"/>
        <w:spacing w:line="276" w:lineRule="auto"/>
        <w:rPr>
          <w:u w:val="single"/>
        </w:rPr>
      </w:pPr>
      <w:r w:rsidRPr="00E556EB">
        <w:t>Úřad pro civilní letectví ve výši 3 394 tis. Kč;</w:t>
      </w:r>
    </w:p>
    <w:p w14:paraId="74F5D022" w14:textId="77777777" w:rsidR="00223A26" w:rsidRPr="00E556EB" w:rsidRDefault="00223A26" w:rsidP="00223A26">
      <w:pPr>
        <w:pStyle w:val="KOModrky"/>
        <w:spacing w:line="276" w:lineRule="auto"/>
        <w:rPr>
          <w:u w:val="single"/>
        </w:rPr>
      </w:pPr>
      <w:r w:rsidRPr="00E556EB">
        <w:t>Drážní úřad ve výši 1 338 tis. Kč;</w:t>
      </w:r>
    </w:p>
    <w:p w14:paraId="153E99B9" w14:textId="77777777" w:rsidR="00223A26" w:rsidRPr="00E556EB" w:rsidRDefault="00223A26" w:rsidP="00223A26">
      <w:pPr>
        <w:pStyle w:val="KOModrky"/>
        <w:spacing w:line="276" w:lineRule="auto"/>
        <w:rPr>
          <w:u w:val="single"/>
        </w:rPr>
      </w:pPr>
      <w:r w:rsidRPr="00E556EB">
        <w:t>Drážní inspekce ve výši 523 tis. Kč;</w:t>
      </w:r>
    </w:p>
    <w:p w14:paraId="1D9BFAF1" w14:textId="77777777" w:rsidR="00223A26" w:rsidRPr="00E556EB" w:rsidRDefault="00223A26" w:rsidP="00223A26">
      <w:pPr>
        <w:pStyle w:val="KOModrky"/>
        <w:spacing w:line="276" w:lineRule="auto"/>
        <w:rPr>
          <w:u w:val="single"/>
        </w:rPr>
      </w:pPr>
      <w:r w:rsidRPr="00E556EB">
        <w:t>Úřad pro odborné zjišťování příčin leteckých nehod ve výši 109 tis. Kč;</w:t>
      </w:r>
    </w:p>
    <w:p w14:paraId="03F6B3E4" w14:textId="77777777" w:rsidR="00223A26" w:rsidRPr="00E556EB" w:rsidRDefault="00223A26" w:rsidP="00223A26">
      <w:pPr>
        <w:pStyle w:val="KOModrky"/>
        <w:spacing w:line="276" w:lineRule="auto"/>
        <w:rPr>
          <w:u w:val="single"/>
        </w:rPr>
      </w:pPr>
      <w:r w:rsidRPr="00E556EB">
        <w:t>Dopravní a energetický stavební úřad ve výši 410 tis. Kč.</w:t>
      </w:r>
    </w:p>
    <w:p w14:paraId="2A5FD81E" w14:textId="32E548D5" w:rsidR="00223A26" w:rsidRPr="00E5315D" w:rsidRDefault="00223A26" w:rsidP="00223A26">
      <w:pPr>
        <w:pStyle w:val="KOMGrafy"/>
      </w:pPr>
      <w:bookmarkStart w:id="149" w:name="_Toc130477235"/>
      <w:bookmarkStart w:id="150" w:name="_Toc160457125"/>
      <w:r w:rsidRPr="00E5315D">
        <w:lastRenderedPageBreak/>
        <w:t xml:space="preserve">Graf č. </w:t>
      </w:r>
      <w:r w:rsidRPr="00E5315D">
        <w:rPr>
          <w:noProof/>
        </w:rPr>
        <w:fldChar w:fldCharType="begin"/>
      </w:r>
      <w:r w:rsidRPr="00E5315D">
        <w:rPr>
          <w:noProof/>
        </w:rPr>
        <w:instrText xml:space="preserve"> SEQ Graf_č. \* ARABIC </w:instrText>
      </w:r>
      <w:r w:rsidRPr="00E5315D">
        <w:rPr>
          <w:noProof/>
        </w:rPr>
        <w:fldChar w:fldCharType="separate"/>
      </w:r>
      <w:r w:rsidR="00013820">
        <w:rPr>
          <w:noProof/>
        </w:rPr>
        <w:t>8</w:t>
      </w:r>
      <w:r w:rsidRPr="00E5315D">
        <w:fldChar w:fldCharType="end"/>
      </w:r>
      <w:r w:rsidRPr="00E5315D">
        <w:t>: Srovnání vázaných platových prostředků v kapitole 327 MD (v tis. Kč)</w:t>
      </w:r>
      <w:bookmarkEnd w:id="149"/>
      <w:bookmarkEnd w:id="150"/>
    </w:p>
    <w:p w14:paraId="39F2C9C5" w14:textId="77777777" w:rsidR="00223A26" w:rsidRPr="00473066" w:rsidRDefault="00223A26" w:rsidP="00223A26">
      <w:pPr>
        <w:pStyle w:val="KOMtext"/>
        <w:spacing w:after="0"/>
        <w:rPr>
          <w:rFonts w:cstheme="minorHAnsi"/>
          <w:color w:val="FF0000"/>
          <w:szCs w:val="24"/>
        </w:rPr>
      </w:pPr>
      <w:r w:rsidRPr="00473066">
        <w:rPr>
          <w:noProof/>
          <w:color w:val="FF0000"/>
        </w:rPr>
        <w:drawing>
          <wp:inline distT="0" distB="0" distL="0" distR="0" wp14:anchorId="2A313311" wp14:editId="3C80DFE7">
            <wp:extent cx="5715000" cy="2867025"/>
            <wp:effectExtent l="0" t="0" r="0" b="9525"/>
            <wp:docPr id="1704355594" name="Graf 170435559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233605C" w14:textId="77777777" w:rsidR="00223A26" w:rsidRPr="00F35414" w:rsidRDefault="00223A26" w:rsidP="00223A26">
      <w:pPr>
        <w:pStyle w:val="KOMtext"/>
        <w:rPr>
          <w:rFonts w:cstheme="minorHAnsi"/>
        </w:rPr>
      </w:pPr>
      <w:r w:rsidRPr="00F35414">
        <w:rPr>
          <w:rFonts w:cstheme="minorHAnsi"/>
        </w:rPr>
        <w:t>Skutečné čerpání prostředků na platy a ostatní platby za provedenou práci u organizačních složek státu činilo 580 141 tis. Kč, tj. 96,49 % rozpočtu po změnách a 91,61 % konečného rozpočtu, a to včetně čerpání nároků z nespotřebovaných výdajů ve výši 31 808 tis. Kč</w:t>
      </w:r>
      <w:r>
        <w:rPr>
          <w:rFonts w:cstheme="minorHAnsi"/>
        </w:rPr>
        <w:t xml:space="preserve"> </w:t>
      </w:r>
      <w:r>
        <w:rPr>
          <w:rFonts w:cstheme="minorHAnsi"/>
        </w:rPr>
        <w:br/>
        <w:t>a mimorozpočtových zdrojů ve výši 450 tis. Kč</w:t>
      </w:r>
      <w:r w:rsidRPr="00F35414">
        <w:rPr>
          <w:rFonts w:cstheme="minorHAnsi"/>
        </w:rPr>
        <w:t xml:space="preserve">. Oproti roku 2022 došlo ke zvýšení čerpaných prostředků o 14 893 tis. Kč (v roce 2022 bylo čerpáno 565 248 tis. Kč), tj. o 2,63 %. </w:t>
      </w:r>
    </w:p>
    <w:p w14:paraId="7804826F" w14:textId="77777777" w:rsidR="00223A26" w:rsidRPr="0057039D" w:rsidRDefault="00223A26" w:rsidP="008A0E44">
      <w:pPr>
        <w:pStyle w:val="KOMnadp4"/>
      </w:pPr>
      <w:r w:rsidRPr="0057039D">
        <w:t xml:space="preserve">Přehled čerpání nároků z nespotřebovaných výdajů: </w:t>
      </w:r>
    </w:p>
    <w:p w14:paraId="600CD46F" w14:textId="77777777" w:rsidR="00223A26" w:rsidRPr="00D66D22" w:rsidRDefault="00223A26" w:rsidP="00223A26">
      <w:pPr>
        <w:pStyle w:val="KOMtext"/>
        <w:numPr>
          <w:ilvl w:val="0"/>
          <w:numId w:val="10"/>
        </w:numPr>
        <w:spacing w:before="120" w:after="120"/>
        <w:ind w:left="284" w:hanging="284"/>
        <w:rPr>
          <w:rFonts w:cstheme="minorHAnsi"/>
          <w:szCs w:val="24"/>
          <w:u w:val="single"/>
        </w:rPr>
      </w:pPr>
      <w:r w:rsidRPr="00D66D22">
        <w:rPr>
          <w:rFonts w:cstheme="minorHAnsi"/>
          <w:szCs w:val="24"/>
        </w:rPr>
        <w:t xml:space="preserve">Ústřední orgán MD v celkové výši 19 873 tis. Kč: </w:t>
      </w:r>
    </w:p>
    <w:p w14:paraId="673E86C1" w14:textId="77777777" w:rsidR="00223A26" w:rsidRPr="004F6228" w:rsidRDefault="00223A26" w:rsidP="00223A26">
      <w:pPr>
        <w:pStyle w:val="KOModrky"/>
        <w:spacing w:line="276" w:lineRule="auto"/>
      </w:pPr>
      <w:r w:rsidRPr="00D66D22">
        <w:t xml:space="preserve">na platy zaměstnanců v pracovním poměru ve výši 9 102 tis. Kč </w:t>
      </w:r>
      <w:r w:rsidRPr="004F6228">
        <w:t xml:space="preserve">(z toho prostředky </w:t>
      </w:r>
      <w:r w:rsidRPr="004F6228">
        <w:br/>
        <w:t>EU ve výši 2</w:t>
      </w:r>
      <w:r>
        <w:t>36</w:t>
      </w:r>
      <w:r w:rsidRPr="004F6228">
        <w:t xml:space="preserve"> tis. Kč); </w:t>
      </w:r>
    </w:p>
    <w:p w14:paraId="64C4918C" w14:textId="735BBB99" w:rsidR="00223A26" w:rsidRPr="004F6228" w:rsidRDefault="00223A26" w:rsidP="00223A26">
      <w:pPr>
        <w:pStyle w:val="KOModrky"/>
        <w:spacing w:line="276" w:lineRule="auto"/>
      </w:pPr>
      <w:r w:rsidRPr="004F6228">
        <w:t xml:space="preserve">na platy státních zaměstnanců ve výši 9 522 tis. Kč (z toho prostředky </w:t>
      </w:r>
      <w:r>
        <w:t>E</w:t>
      </w:r>
      <w:r w:rsidRPr="004F6228">
        <w:t>U ve výši</w:t>
      </w:r>
      <w:r>
        <w:t xml:space="preserve"> </w:t>
      </w:r>
      <w:r>
        <w:br/>
      </w:r>
      <w:r w:rsidRPr="004F6228">
        <w:t>2 </w:t>
      </w:r>
      <w:r w:rsidR="005C6B40">
        <w:t>191</w:t>
      </w:r>
      <w:r w:rsidRPr="004F6228">
        <w:t xml:space="preserve"> tis. Kč); </w:t>
      </w:r>
    </w:p>
    <w:p w14:paraId="6410963A" w14:textId="67E4C863" w:rsidR="00223A26" w:rsidRPr="004F6228" w:rsidRDefault="00223A26" w:rsidP="00223A26">
      <w:pPr>
        <w:pStyle w:val="KOModrky"/>
        <w:spacing w:line="276" w:lineRule="auto"/>
      </w:pPr>
      <w:r w:rsidRPr="004F6228">
        <w:t xml:space="preserve">na ostatní osobní </w:t>
      </w:r>
      <w:r w:rsidR="005C6B40">
        <w:t>výdaje</w:t>
      </w:r>
      <w:r w:rsidRPr="004F6228">
        <w:t xml:space="preserve"> ve výši 1 249 tis. Kč (z toho prostředky EU ve výši </w:t>
      </w:r>
      <w:r w:rsidR="005C6B40">
        <w:t>344</w:t>
      </w:r>
      <w:r w:rsidRPr="004F6228">
        <w:t xml:space="preserve"> tis. Kč).</w:t>
      </w:r>
    </w:p>
    <w:p w14:paraId="6B601E43" w14:textId="77777777" w:rsidR="00223A26" w:rsidRPr="00E85D87" w:rsidRDefault="00223A26" w:rsidP="00223A26">
      <w:pPr>
        <w:pStyle w:val="KOMtext"/>
        <w:numPr>
          <w:ilvl w:val="0"/>
          <w:numId w:val="11"/>
        </w:numPr>
        <w:spacing w:before="120" w:after="120"/>
        <w:ind w:left="284" w:hanging="284"/>
        <w:rPr>
          <w:rFonts w:cstheme="minorHAnsi"/>
          <w:szCs w:val="24"/>
          <w:u w:val="single"/>
        </w:rPr>
      </w:pPr>
      <w:r w:rsidRPr="00E85D87">
        <w:rPr>
          <w:rFonts w:cstheme="minorHAnsi"/>
          <w:szCs w:val="24"/>
        </w:rPr>
        <w:t xml:space="preserve">Státní plavební správa v celkové výši 5 tis. Kč: </w:t>
      </w:r>
    </w:p>
    <w:p w14:paraId="6175DF75" w14:textId="77777777" w:rsidR="00223A26" w:rsidRPr="00E85D87" w:rsidRDefault="00223A26" w:rsidP="00223A26">
      <w:pPr>
        <w:pStyle w:val="KOModrky"/>
        <w:spacing w:line="276" w:lineRule="auto"/>
      </w:pPr>
      <w:r w:rsidRPr="00E85D87">
        <w:t>na platy zaměstnanců v pracovním poměru ve výši 5 tis. Kč.</w:t>
      </w:r>
    </w:p>
    <w:p w14:paraId="020A73BC" w14:textId="77777777" w:rsidR="00223A26" w:rsidRPr="004D1ED2" w:rsidRDefault="00223A26" w:rsidP="00223A26">
      <w:pPr>
        <w:pStyle w:val="KOMtext"/>
        <w:numPr>
          <w:ilvl w:val="0"/>
          <w:numId w:val="12"/>
        </w:numPr>
        <w:spacing w:before="120" w:after="120"/>
        <w:ind w:left="284" w:hanging="284"/>
        <w:rPr>
          <w:rFonts w:cstheme="minorHAnsi"/>
          <w:szCs w:val="24"/>
          <w:u w:val="single"/>
        </w:rPr>
      </w:pPr>
      <w:r w:rsidRPr="004D1ED2">
        <w:rPr>
          <w:rFonts w:cstheme="minorHAnsi"/>
          <w:szCs w:val="24"/>
        </w:rPr>
        <w:t xml:space="preserve">Úřad pro civilní letectví výši 11 500 tis. Kč: </w:t>
      </w:r>
    </w:p>
    <w:p w14:paraId="660699CF" w14:textId="77777777" w:rsidR="00223A26" w:rsidRPr="004D1ED2" w:rsidRDefault="00223A26" w:rsidP="00223A26">
      <w:pPr>
        <w:pStyle w:val="KOModrky"/>
        <w:spacing w:line="276" w:lineRule="auto"/>
      </w:pPr>
      <w:r w:rsidRPr="004D1ED2">
        <w:t xml:space="preserve">na platy zaměstnanců v pracovním poměru ve výši 1 500 tis. Kč; </w:t>
      </w:r>
    </w:p>
    <w:p w14:paraId="264781FB" w14:textId="77777777" w:rsidR="00223A26" w:rsidRPr="004D1ED2" w:rsidRDefault="00223A26" w:rsidP="00223A26">
      <w:pPr>
        <w:pStyle w:val="KOModrky"/>
        <w:spacing w:line="276" w:lineRule="auto"/>
      </w:pPr>
      <w:r w:rsidRPr="004D1ED2">
        <w:t>na platy státních zaměstnanců ve výši 10 000 tis. Kč;</w:t>
      </w:r>
    </w:p>
    <w:p w14:paraId="20523441" w14:textId="77777777" w:rsidR="00223A26" w:rsidRPr="00D66D22" w:rsidRDefault="00223A26" w:rsidP="00223A26">
      <w:pPr>
        <w:pStyle w:val="KOModrky"/>
        <w:numPr>
          <w:ilvl w:val="0"/>
          <w:numId w:val="12"/>
        </w:numPr>
        <w:spacing w:line="276" w:lineRule="auto"/>
        <w:ind w:left="284" w:hanging="284"/>
        <w:rPr>
          <w:u w:val="single"/>
        </w:rPr>
      </w:pPr>
      <w:r>
        <w:t>Drážní inspekce</w:t>
      </w:r>
      <w:r w:rsidRPr="00D66D22">
        <w:t xml:space="preserve"> v celkové výši </w:t>
      </w:r>
      <w:r>
        <w:t>430</w:t>
      </w:r>
      <w:r w:rsidRPr="00D66D22">
        <w:t xml:space="preserve"> tis. Kč: </w:t>
      </w:r>
    </w:p>
    <w:p w14:paraId="0CAB72B0" w14:textId="77777777" w:rsidR="00223A26" w:rsidRDefault="00223A26" w:rsidP="00223A26">
      <w:pPr>
        <w:pStyle w:val="KOModrky"/>
        <w:spacing w:line="276" w:lineRule="auto"/>
      </w:pPr>
      <w:r w:rsidRPr="00D66D22">
        <w:t xml:space="preserve">na platy </w:t>
      </w:r>
      <w:r>
        <w:t xml:space="preserve">státních </w:t>
      </w:r>
      <w:r w:rsidRPr="00D66D22">
        <w:t xml:space="preserve">zaměstnanců ve výši </w:t>
      </w:r>
      <w:r>
        <w:t>430</w:t>
      </w:r>
      <w:r w:rsidRPr="00D66D22">
        <w:t xml:space="preserve"> tis. Kč </w:t>
      </w:r>
      <w:r w:rsidRPr="004D1ED2">
        <w:t>(z toho prostředky</w:t>
      </w:r>
      <w:r>
        <w:t xml:space="preserve"> </w:t>
      </w:r>
      <w:r w:rsidRPr="004D1ED2">
        <w:t xml:space="preserve">EU ve výši </w:t>
      </w:r>
      <w:r>
        <w:br/>
        <w:t>348</w:t>
      </w:r>
      <w:r w:rsidRPr="004D1ED2">
        <w:t xml:space="preserve"> tis. Kč).</w:t>
      </w:r>
    </w:p>
    <w:p w14:paraId="285B91F2" w14:textId="77777777" w:rsidR="00223A26" w:rsidRPr="0057039D" w:rsidRDefault="00223A26" w:rsidP="008A0E44">
      <w:pPr>
        <w:pStyle w:val="KOMnadp4"/>
      </w:pPr>
      <w:r w:rsidRPr="0057039D">
        <w:lastRenderedPageBreak/>
        <w:t xml:space="preserve">Přehled mimorozpočtových zdrojů: </w:t>
      </w:r>
    </w:p>
    <w:p w14:paraId="5BFAB9BE" w14:textId="77777777" w:rsidR="00223A26" w:rsidRPr="00D66D22" w:rsidRDefault="00223A26" w:rsidP="00223A26">
      <w:pPr>
        <w:pStyle w:val="KOMtext"/>
        <w:numPr>
          <w:ilvl w:val="0"/>
          <w:numId w:val="10"/>
        </w:numPr>
        <w:spacing w:before="120" w:after="120"/>
        <w:ind w:left="284" w:hanging="284"/>
        <w:rPr>
          <w:rFonts w:cstheme="minorHAnsi"/>
          <w:szCs w:val="24"/>
          <w:u w:val="single"/>
        </w:rPr>
      </w:pPr>
      <w:r>
        <w:rPr>
          <w:rFonts w:cstheme="minorHAnsi"/>
          <w:szCs w:val="24"/>
        </w:rPr>
        <w:t>Drážní úřad</w:t>
      </w:r>
      <w:r w:rsidRPr="00D66D22">
        <w:rPr>
          <w:rFonts w:cstheme="minorHAnsi"/>
          <w:szCs w:val="24"/>
        </w:rPr>
        <w:t xml:space="preserve"> v celkové výši </w:t>
      </w:r>
      <w:r>
        <w:rPr>
          <w:rFonts w:cstheme="minorHAnsi"/>
          <w:szCs w:val="24"/>
        </w:rPr>
        <w:t>450</w:t>
      </w:r>
      <w:r w:rsidRPr="00D66D22">
        <w:rPr>
          <w:rFonts w:cstheme="minorHAnsi"/>
          <w:szCs w:val="24"/>
        </w:rPr>
        <w:t xml:space="preserve"> tis. Kč: </w:t>
      </w:r>
    </w:p>
    <w:p w14:paraId="3CB49D25" w14:textId="77777777" w:rsidR="00223A26" w:rsidRPr="00FD0AC6" w:rsidRDefault="00223A26" w:rsidP="00223A26">
      <w:pPr>
        <w:pStyle w:val="KOModrky"/>
        <w:spacing w:line="276" w:lineRule="auto"/>
      </w:pPr>
      <w:r w:rsidRPr="00D66D22">
        <w:t>na platy</w:t>
      </w:r>
      <w:r>
        <w:t xml:space="preserve"> státních</w:t>
      </w:r>
      <w:r w:rsidRPr="00D66D22">
        <w:t xml:space="preserve"> zaměstnanců ve výši </w:t>
      </w:r>
      <w:r>
        <w:t>450</w:t>
      </w:r>
      <w:r w:rsidRPr="00D66D22">
        <w:t xml:space="preserve"> tis. Kč</w:t>
      </w:r>
      <w:r>
        <w:t>,</w:t>
      </w:r>
      <w:r w:rsidRPr="00D66D22">
        <w:t xml:space="preserve"> </w:t>
      </w:r>
      <w:r>
        <w:t>v plné výši se jednalo o p</w:t>
      </w:r>
      <w:r w:rsidRPr="00FD0AC6">
        <w:t xml:space="preserve">rostředky </w:t>
      </w:r>
      <w:r>
        <w:t>E</w:t>
      </w:r>
      <w:r w:rsidRPr="00FD0AC6">
        <w:t>U</w:t>
      </w:r>
      <w:r>
        <w:t>.</w:t>
      </w:r>
    </w:p>
    <w:p w14:paraId="77FD563A" w14:textId="77777777" w:rsidR="00223A26" w:rsidRPr="008F0E79" w:rsidRDefault="00223A26" w:rsidP="00223A26">
      <w:pPr>
        <w:pStyle w:val="KOMtext"/>
        <w:rPr>
          <w:rFonts w:cstheme="minorHAnsi"/>
          <w:szCs w:val="24"/>
        </w:rPr>
      </w:pPr>
      <w:r w:rsidRPr="008F0E79">
        <w:rPr>
          <w:rFonts w:cstheme="minorHAnsi"/>
          <w:szCs w:val="24"/>
        </w:rPr>
        <w:t xml:space="preserve">Ve skutečnosti není uvedeno čerpání prostředků na platy a ostatní platby </w:t>
      </w:r>
      <w:r w:rsidRPr="008F0E79">
        <w:rPr>
          <w:rFonts w:cstheme="minorHAnsi"/>
          <w:szCs w:val="24"/>
        </w:rPr>
        <w:br/>
        <w:t>za provedenou práci z mimorozpočtových zdrojů u</w:t>
      </w:r>
      <w:r w:rsidRPr="008F0E79">
        <w:rPr>
          <w:rFonts w:cstheme="minorHAnsi"/>
          <w:b/>
          <w:szCs w:val="24"/>
        </w:rPr>
        <w:t xml:space="preserve"> </w:t>
      </w:r>
      <w:r w:rsidRPr="008F0E79">
        <w:rPr>
          <w:rFonts w:cstheme="minorHAnsi"/>
          <w:szCs w:val="24"/>
        </w:rPr>
        <w:t xml:space="preserve">Ředitelství vodních cest ČR, které čerpalo prostředky z rozpočtu SFDI na platy ve výši 16 859 tis. Kč, ostatní platby za provedenou práci ve výši 1 800 tis. Kč, tj. celkem 18 660 tis. Kč v souladu s § 2 odst. 3 zákona č. 104/2000 Sb., </w:t>
      </w:r>
      <w:r w:rsidRPr="008F0E79">
        <w:rPr>
          <w:rFonts w:cstheme="minorHAnsi"/>
          <w:szCs w:val="24"/>
        </w:rPr>
        <w:br/>
        <w:t>o Státním fondu dopravní infrastruktury</w:t>
      </w:r>
      <w:r>
        <w:rPr>
          <w:rFonts w:cstheme="minorHAnsi"/>
          <w:szCs w:val="24"/>
        </w:rPr>
        <w:t>, v platném znění</w:t>
      </w:r>
      <w:r w:rsidRPr="008F0E79">
        <w:rPr>
          <w:rFonts w:cstheme="minorHAnsi"/>
          <w:szCs w:val="24"/>
        </w:rPr>
        <w:t>.</w:t>
      </w:r>
    </w:p>
    <w:p w14:paraId="4CE1DB57" w14:textId="041DA0B7" w:rsidR="00223A26" w:rsidRPr="005D65F2" w:rsidRDefault="00223A26" w:rsidP="00223A26">
      <w:pPr>
        <w:pStyle w:val="KOMtext"/>
        <w:rPr>
          <w:rFonts w:cstheme="minorHAnsi"/>
        </w:rPr>
      </w:pPr>
      <w:r w:rsidRPr="005D65F2">
        <w:rPr>
          <w:rFonts w:cstheme="minorHAnsi"/>
        </w:rPr>
        <w:t>Skutečný počet 819 zaměstnanců u organizačních složek státu ve vztahu k rozpočtu po změnách, tj. 90</w:t>
      </w:r>
      <w:r w:rsidR="004C5256">
        <w:rPr>
          <w:rFonts w:cstheme="minorHAnsi"/>
        </w:rPr>
        <w:t>6</w:t>
      </w:r>
      <w:r w:rsidRPr="005D65F2">
        <w:rPr>
          <w:rFonts w:cstheme="minorHAnsi"/>
        </w:rPr>
        <w:t xml:space="preserve"> zaměstnanců, představuje plnění ve výši 90,</w:t>
      </w:r>
      <w:r w:rsidR="004C5256">
        <w:rPr>
          <w:rFonts w:cstheme="minorHAnsi"/>
        </w:rPr>
        <w:t>40</w:t>
      </w:r>
      <w:r w:rsidRPr="005D65F2">
        <w:rPr>
          <w:rFonts w:cstheme="minorHAnsi"/>
        </w:rPr>
        <w:t xml:space="preserve"> %. Skutečnost je bez </w:t>
      </w:r>
      <w:r w:rsidRPr="005D65F2">
        <w:rPr>
          <w:rFonts w:cstheme="minorHAnsi"/>
        </w:rPr>
        <w:br/>
        <w:t>20,82 úvazků mimo limit regulace zaměstnanosti týkající se Ředitelství vodních cest ČR (viz předch</w:t>
      </w:r>
      <w:r>
        <w:rPr>
          <w:rFonts w:cstheme="minorHAnsi"/>
        </w:rPr>
        <w:t>ozí</w:t>
      </w:r>
      <w:r w:rsidRPr="005D65F2">
        <w:rPr>
          <w:rFonts w:cstheme="minorHAnsi"/>
        </w:rPr>
        <w:t xml:space="preserve"> odstavec). </w:t>
      </w:r>
    </w:p>
    <w:p w14:paraId="0FA88495" w14:textId="381B5190" w:rsidR="00223A26" w:rsidRPr="003B519B" w:rsidRDefault="00223A26" w:rsidP="00223A26">
      <w:pPr>
        <w:pStyle w:val="KOMtext"/>
        <w:rPr>
          <w:rFonts w:cstheme="minorHAnsi"/>
        </w:rPr>
      </w:pPr>
      <w:r w:rsidRPr="003B519B">
        <w:rPr>
          <w:rFonts w:cstheme="minorHAnsi"/>
        </w:rPr>
        <w:t>Organizační složky státu, které vykonávají státní správu, tj. ústřední orgán MD, ÚCL, SPS, DÚ, DI, DESÚ a ÚZPLN, plnily počtem 805 zaměstnanců rozpočet po změnách, tj. 89</w:t>
      </w:r>
      <w:r w:rsidR="004C5256">
        <w:rPr>
          <w:rFonts w:cstheme="minorHAnsi"/>
        </w:rPr>
        <w:t>1</w:t>
      </w:r>
      <w:r w:rsidRPr="003B519B">
        <w:rPr>
          <w:rFonts w:cstheme="minorHAnsi"/>
        </w:rPr>
        <w:t xml:space="preserve"> zaměstnanců, </w:t>
      </w:r>
      <w:r w:rsidRPr="003B519B">
        <w:rPr>
          <w:rFonts w:cstheme="minorHAnsi"/>
        </w:rPr>
        <w:br/>
        <w:t>na 90,</w:t>
      </w:r>
      <w:r w:rsidR="004C5256">
        <w:rPr>
          <w:rFonts w:cstheme="minorHAnsi"/>
        </w:rPr>
        <w:t>3</w:t>
      </w:r>
      <w:r w:rsidRPr="003B519B">
        <w:rPr>
          <w:rFonts w:cstheme="minorHAnsi"/>
        </w:rPr>
        <w:t xml:space="preserve">5 %. </w:t>
      </w:r>
    </w:p>
    <w:p w14:paraId="4EF2F1CA" w14:textId="77777777" w:rsidR="00223A26" w:rsidRPr="00FF0695" w:rsidRDefault="00223A26" w:rsidP="00223A26">
      <w:pPr>
        <w:pStyle w:val="KOMtext"/>
        <w:rPr>
          <w:rFonts w:cstheme="minorHAnsi"/>
        </w:rPr>
      </w:pPr>
      <w:r w:rsidRPr="003B519B">
        <w:rPr>
          <w:rFonts w:cstheme="minorHAnsi"/>
        </w:rPr>
        <w:t xml:space="preserve">Vysoká neobsazenost je způsobena různými důvody, např. práce ve státní správě zejména </w:t>
      </w:r>
      <w:r w:rsidRPr="003B519B">
        <w:rPr>
          <w:rFonts w:cstheme="minorHAnsi"/>
        </w:rPr>
        <w:br/>
        <w:t xml:space="preserve">u vysokoškolsky vzdělaných zaměstnanců není finančně atraktivní oproti soukromému sektoru (týká se např. absolventů, ekonomů, právníků, IT specialistů, zaměstnanců s technickým vzděláním), proces výběrového řízení trvá příliš dlouhou dobu, soukromá sféra nabízí více benefitů atd. Vazbu na neobsazená místa má vysoký počet neúspěšných výběrových řízení, která proběhla u jednotlivých organizačních složek státu. </w:t>
      </w:r>
      <w:r w:rsidRPr="007D2D9C">
        <w:rPr>
          <w:rFonts w:cstheme="minorHAnsi"/>
        </w:rPr>
        <w:t xml:space="preserve">V roce 2023 proběhlo </w:t>
      </w:r>
      <w:r w:rsidRPr="007D2D9C">
        <w:rPr>
          <w:rFonts w:cstheme="minorHAnsi"/>
        </w:rPr>
        <w:br/>
        <w:t>u organizačních složek státu celkem 283 výběrových řízení, z toho neúspěšných bylo 156 řízení</w:t>
      </w:r>
      <w:r>
        <w:rPr>
          <w:rFonts w:cstheme="minorHAnsi"/>
        </w:rPr>
        <w:t>, tj. 55,12 %</w:t>
      </w:r>
      <w:r w:rsidRPr="007D2D9C">
        <w:rPr>
          <w:rFonts w:cstheme="minorHAnsi"/>
        </w:rPr>
        <w:t>.</w:t>
      </w:r>
      <w:r w:rsidRPr="007D2D9C">
        <w:rPr>
          <w:rFonts w:cstheme="minorHAnsi"/>
          <w:color w:val="FF0000"/>
        </w:rPr>
        <w:t xml:space="preserve"> </w:t>
      </w:r>
      <w:r w:rsidRPr="007D2D9C">
        <w:rPr>
          <w:rFonts w:cstheme="minorHAnsi"/>
        </w:rPr>
        <w:t xml:space="preserve">Ústřední orgán MD přijal ke konci roku 2022 Strategii náboru státních zaměstnanců </w:t>
      </w:r>
      <w:r w:rsidRPr="007D2D9C">
        <w:rPr>
          <w:rFonts w:cstheme="minorHAnsi"/>
        </w:rPr>
        <w:br/>
        <w:t xml:space="preserve">a zaměstnanců v Ministerstvu dopravy na období let 2023 až 2026. Jde o soubor opatření týkající se např. rozšířené inzerce vyhlášených výběrových řízení, účasti na pracovních veletrzích, nabídek pracovních stáží studentům vysokých škol. Ve vazbě na neobsazená místa jednotlivé organizační složky státu musely vázat platové prostředky, v rámci kapitoly 327 MD </w:t>
      </w:r>
      <w:r w:rsidRPr="00473066">
        <w:rPr>
          <w:rFonts w:cstheme="minorHAnsi"/>
          <w:color w:val="FF0000"/>
        </w:rPr>
        <w:br/>
      </w:r>
      <w:r w:rsidRPr="00FF0695">
        <w:rPr>
          <w:rFonts w:cstheme="minorHAnsi"/>
        </w:rPr>
        <w:t>se jednalo v roce 2023 o celkovou částku ve výši 17 880 tis. Kč oproti minulému roku došlo k nárůstu o částku ve výši 5 653 tis. Kč (viz podrobně text u konečného rozpočtu).</w:t>
      </w:r>
    </w:p>
    <w:p w14:paraId="5932ABEC" w14:textId="135E8848" w:rsidR="00223A26" w:rsidRPr="00EB00B7" w:rsidRDefault="00223A26" w:rsidP="00223A26">
      <w:pPr>
        <w:pStyle w:val="KOMGrafy"/>
      </w:pPr>
      <w:bookmarkStart w:id="151" w:name="_Toc130477236"/>
      <w:bookmarkStart w:id="152" w:name="_Toc160457126"/>
      <w:r w:rsidRPr="00EB00B7">
        <w:lastRenderedPageBreak/>
        <w:t xml:space="preserve">Graf č. </w:t>
      </w:r>
      <w:r w:rsidRPr="00EB00B7">
        <w:rPr>
          <w:noProof/>
        </w:rPr>
        <w:fldChar w:fldCharType="begin"/>
      </w:r>
      <w:r w:rsidRPr="00EB00B7">
        <w:rPr>
          <w:noProof/>
        </w:rPr>
        <w:instrText xml:space="preserve"> SEQ Graf_č. \* ARABIC </w:instrText>
      </w:r>
      <w:r w:rsidRPr="00EB00B7">
        <w:rPr>
          <w:noProof/>
        </w:rPr>
        <w:fldChar w:fldCharType="separate"/>
      </w:r>
      <w:r w:rsidR="00013820">
        <w:rPr>
          <w:noProof/>
        </w:rPr>
        <w:t>9</w:t>
      </w:r>
      <w:r w:rsidRPr="00EB00B7">
        <w:rPr>
          <w:noProof/>
        </w:rPr>
        <w:fldChar w:fldCharType="end"/>
      </w:r>
      <w:r w:rsidRPr="00EB00B7">
        <w:t>: Přehled neúspěšných výběrových řízení u organizačních složek státu za rok 202</w:t>
      </w:r>
      <w:bookmarkEnd w:id="151"/>
      <w:r w:rsidRPr="00EB00B7">
        <w:t>3</w:t>
      </w:r>
      <w:bookmarkEnd w:id="152"/>
    </w:p>
    <w:p w14:paraId="6400041B" w14:textId="53AAD1AE" w:rsidR="002A3A99" w:rsidRPr="0077128B" w:rsidRDefault="00223A26" w:rsidP="002A3A99">
      <w:pPr>
        <w:pStyle w:val="KOMtext"/>
        <w:rPr>
          <w:rFonts w:cstheme="minorHAnsi"/>
          <w:b/>
          <w:color w:val="FF0000"/>
        </w:rPr>
      </w:pPr>
      <w:r w:rsidRPr="00473066">
        <w:rPr>
          <w:noProof/>
          <w:color w:val="FF0000"/>
        </w:rPr>
        <w:drawing>
          <wp:inline distT="0" distB="0" distL="0" distR="0" wp14:anchorId="371A7AC2" wp14:editId="0DE43627">
            <wp:extent cx="5760000" cy="2160000"/>
            <wp:effectExtent l="0" t="0" r="12700" b="12065"/>
            <wp:docPr id="1704355595" name="Graf 170435559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510CA6A" w14:textId="0F319E06" w:rsidR="00FE1E42" w:rsidRPr="006B6D61" w:rsidRDefault="00FE1E42" w:rsidP="00E20BD6">
      <w:pPr>
        <w:pStyle w:val="KOMnadp3"/>
      </w:pPr>
      <w:bookmarkStart w:id="153" w:name="_Toc162269247"/>
      <w:r w:rsidRPr="006B6D61">
        <w:t>Výdaje na platy a ostatní osobní náklady, počty zaměstnanců u příspěvkových organizací</w:t>
      </w:r>
      <w:bookmarkEnd w:id="153"/>
      <w:r w:rsidRPr="006B6D61">
        <w:t xml:space="preserve"> </w:t>
      </w:r>
    </w:p>
    <w:p w14:paraId="1FBE6793" w14:textId="029AB51C" w:rsidR="00BD5539" w:rsidRPr="007D6249" w:rsidRDefault="00BD5539" w:rsidP="00BD5539">
      <w:pPr>
        <w:pStyle w:val="KOMtext"/>
        <w:rPr>
          <w:rFonts w:cstheme="minorHAnsi"/>
        </w:rPr>
      </w:pPr>
      <w:r w:rsidRPr="007D6249">
        <w:rPr>
          <w:rFonts w:cstheme="minorHAnsi"/>
        </w:rPr>
        <w:t xml:space="preserve">Limit mzdových nákladů u příspěvkové organizace (tj. Centrum služeb pro silniční dopravu) </w:t>
      </w:r>
      <w:r w:rsidR="008F3E91">
        <w:rPr>
          <w:rFonts w:cstheme="minorHAnsi"/>
        </w:rPr>
        <w:br/>
      </w:r>
      <w:r w:rsidRPr="007D6249">
        <w:rPr>
          <w:rFonts w:cstheme="minorHAnsi"/>
        </w:rPr>
        <w:t xml:space="preserve">ve výši 36 257 tis. Kč byl v průběhu roku snížen o částku 829 tis. Kč, tj. na částku 35 428 tis. Kč. </w:t>
      </w:r>
    </w:p>
    <w:p w14:paraId="669825CD" w14:textId="77777777" w:rsidR="00BD5539" w:rsidRPr="0057039D" w:rsidRDefault="00BD5539" w:rsidP="00BD5539">
      <w:pPr>
        <w:pStyle w:val="KOMtext"/>
        <w:spacing w:after="0"/>
        <w:rPr>
          <w:rFonts w:cstheme="minorHAnsi"/>
          <w:b/>
          <w:color w:val="2E74B5" w:themeColor="accent1" w:themeShade="BF"/>
          <w:u w:val="single"/>
        </w:rPr>
      </w:pPr>
      <w:r w:rsidRPr="0057039D">
        <w:rPr>
          <w:rFonts w:cstheme="minorHAnsi"/>
          <w:b/>
          <w:color w:val="2E74B5" w:themeColor="accent1" w:themeShade="BF"/>
          <w:u w:val="single"/>
        </w:rPr>
        <w:t xml:space="preserve">Ke změně závazných ukazatelů u příspěvkové organizace došlo v průběhu roku: </w:t>
      </w:r>
    </w:p>
    <w:p w14:paraId="75EF1A89" w14:textId="77777777" w:rsidR="00BD5539" w:rsidRPr="005955F4" w:rsidRDefault="00BD5539" w:rsidP="00BD5539">
      <w:pPr>
        <w:pStyle w:val="KOMtext"/>
        <w:spacing w:after="0"/>
        <w:rPr>
          <w:rFonts w:cstheme="minorHAnsi"/>
        </w:rPr>
      </w:pPr>
      <w:r w:rsidRPr="005955F4">
        <w:rPr>
          <w:rFonts w:cstheme="minorHAnsi"/>
        </w:rPr>
        <w:t xml:space="preserve">a)  v souvislosti se změnou systemizace služebních a pracovních míst s účinností od 1. 7. 2023 schválenou usnesením vlády č. 492 ze dne 28. 6. 2023 </w:t>
      </w:r>
    </w:p>
    <w:p w14:paraId="70D9FDA4" w14:textId="77777777" w:rsidR="00BD5539" w:rsidRPr="00473066" w:rsidRDefault="00BD5539" w:rsidP="00BD5539">
      <w:pPr>
        <w:pStyle w:val="KOModrky"/>
        <w:spacing w:line="276" w:lineRule="auto"/>
        <w:rPr>
          <w:color w:val="FF0000"/>
        </w:rPr>
      </w:pPr>
      <w:r w:rsidRPr="005955F4">
        <w:t xml:space="preserve">Centrum služeb pro silniční dopravu – snížil 4 systemizovaná </w:t>
      </w:r>
      <w:r w:rsidRPr="006412BA">
        <w:t>pracovní místa a částku ve výši 829 tis. Kč, jednalo se o trvalý vliv</w:t>
      </w:r>
      <w:r>
        <w:t xml:space="preserve"> (přesun agendy BESIP na ústřední orgán MD).</w:t>
      </w:r>
    </w:p>
    <w:p w14:paraId="75E470CA" w14:textId="77777777" w:rsidR="00BD5539" w:rsidRPr="004200F2" w:rsidRDefault="00BD5539" w:rsidP="00BD5539">
      <w:pPr>
        <w:pStyle w:val="KOMtext"/>
        <w:rPr>
          <w:rFonts w:cstheme="minorHAnsi"/>
        </w:rPr>
      </w:pPr>
      <w:r w:rsidRPr="004200F2">
        <w:rPr>
          <w:rFonts w:cstheme="minorHAnsi"/>
        </w:rPr>
        <w:t xml:space="preserve">Skutečné čerpání prostředků na platy a ostatní osobní náklady u příspěvkové organizace činilo 40 847 tis. Kč, tj. 115,3 % rozpočtu po změnách, a to v důsledku překročení limitu prostředků na platy o 5 667 tis. Kč, které bylo uhrazeno z fondu odměn. Ve srovnání s rokem 2022 došlo k navýšení čerpání mzdových nákladů o 1 036 tis. Kč (v roce 2022 bylo čerpáno 39 811 tis. Kč), tj. o </w:t>
      </w:r>
      <w:r>
        <w:rPr>
          <w:rFonts w:cstheme="minorHAnsi"/>
        </w:rPr>
        <w:t>2</w:t>
      </w:r>
      <w:r w:rsidRPr="004200F2">
        <w:rPr>
          <w:rFonts w:cstheme="minorHAnsi"/>
        </w:rPr>
        <w:t>,</w:t>
      </w:r>
      <w:r>
        <w:rPr>
          <w:rFonts w:cstheme="minorHAnsi"/>
        </w:rPr>
        <w:t>6</w:t>
      </w:r>
      <w:r w:rsidRPr="004200F2">
        <w:rPr>
          <w:rFonts w:cstheme="minorHAnsi"/>
        </w:rPr>
        <w:t xml:space="preserve"> %. </w:t>
      </w:r>
    </w:p>
    <w:p w14:paraId="57C7EB18" w14:textId="77777777" w:rsidR="00BD5539" w:rsidRPr="004200F2" w:rsidRDefault="00BD5539" w:rsidP="00BD5539">
      <w:pPr>
        <w:pStyle w:val="KOMtext"/>
        <w:rPr>
          <w:rFonts w:cstheme="minorHAnsi"/>
        </w:rPr>
      </w:pPr>
      <w:r w:rsidRPr="004200F2">
        <w:rPr>
          <w:rFonts w:cstheme="minorHAnsi"/>
        </w:rPr>
        <w:t xml:space="preserve">Skutečný počet 77 zaměstnanců ve vztahu k rozpočtu po změnách, tj. 82 zaměstnanců, představuje plnění 93,9 %. </w:t>
      </w:r>
    </w:p>
    <w:p w14:paraId="2B92DF59" w14:textId="77777777" w:rsidR="00BD5539" w:rsidRPr="002F71BE" w:rsidRDefault="00BD5539" w:rsidP="00BD5539">
      <w:pPr>
        <w:pStyle w:val="KOMtext"/>
        <w:rPr>
          <w:rFonts w:cstheme="minorHAnsi"/>
        </w:rPr>
      </w:pPr>
      <w:r w:rsidRPr="002F71BE">
        <w:rPr>
          <w:rFonts w:cstheme="minorHAnsi"/>
        </w:rPr>
        <w:t>Obdobně i u příspěvkové organizace Centrum služeb pro silniční dopravu byl problém s obsazením volných pracovních míst. V roce 2023 proběhlo celkem 15 výběrových řízení, z toho neúspěšných bylo 6 řízení</w:t>
      </w:r>
      <w:r>
        <w:rPr>
          <w:rFonts w:cstheme="minorHAnsi"/>
        </w:rPr>
        <w:t>, tj. 40,0 %</w:t>
      </w:r>
      <w:r w:rsidRPr="002F71BE">
        <w:rPr>
          <w:rFonts w:cstheme="minorHAnsi"/>
        </w:rPr>
        <w:t xml:space="preserve">. </w:t>
      </w:r>
    </w:p>
    <w:p w14:paraId="27670E48" w14:textId="77777777" w:rsidR="000E4E3E" w:rsidRPr="0077128B" w:rsidRDefault="000E4E3E" w:rsidP="00FE1E42">
      <w:pPr>
        <w:pStyle w:val="KOMtext"/>
        <w:rPr>
          <w:rFonts w:cstheme="minorHAnsi"/>
          <w:color w:val="FF0000"/>
        </w:rPr>
      </w:pPr>
    </w:p>
    <w:p w14:paraId="031EE751" w14:textId="03088089" w:rsidR="002A3A99" w:rsidRPr="0077128B" w:rsidRDefault="002A3A99" w:rsidP="002A3A99">
      <w:pPr>
        <w:pStyle w:val="KOMtext"/>
        <w:rPr>
          <w:rFonts w:cstheme="minorHAnsi"/>
          <w:color w:val="FF0000"/>
        </w:rPr>
      </w:pPr>
    </w:p>
    <w:p w14:paraId="12B26DD4" w14:textId="2165BA1F" w:rsidR="00FE1E42" w:rsidRPr="006B6D61" w:rsidRDefault="00FE1E42" w:rsidP="00E20BD6">
      <w:pPr>
        <w:pStyle w:val="KOMnadp3"/>
      </w:pPr>
      <w:bookmarkStart w:id="154" w:name="_Toc162269248"/>
      <w:r w:rsidRPr="006B6D61">
        <w:lastRenderedPageBreak/>
        <w:t>Průměrný plat</w:t>
      </w:r>
      <w:bookmarkEnd w:id="154"/>
    </w:p>
    <w:p w14:paraId="1F662C85" w14:textId="5921E3A0" w:rsidR="003F3296" w:rsidRPr="00D56961" w:rsidRDefault="003F3296" w:rsidP="003F3296">
      <w:pPr>
        <w:pStyle w:val="KOMtext"/>
        <w:rPr>
          <w:rFonts w:cstheme="minorHAnsi"/>
        </w:rPr>
      </w:pPr>
      <w:r w:rsidRPr="00D56961">
        <w:rPr>
          <w:rFonts w:cstheme="minorHAnsi"/>
        </w:rPr>
        <w:t xml:space="preserve">Průměrný plat v rámci kapitoly 327 MD byl schválen ve výši 51 971 Kč. V průběhu roku došlo k jeho změnám, které vedly k nepatrnému zvýšení průměrného platu na částku </w:t>
      </w:r>
      <w:r w:rsidRPr="00D56961">
        <w:rPr>
          <w:rFonts w:cstheme="minorHAnsi"/>
        </w:rPr>
        <w:br/>
        <w:t xml:space="preserve">52 344 Kč, jednalo se o navýšení prostředků na platy ve výši 6 279 tis. Kč. </w:t>
      </w:r>
    </w:p>
    <w:p w14:paraId="2DC69B05" w14:textId="77777777" w:rsidR="003F3296" w:rsidRPr="00CE5B09" w:rsidRDefault="003F3296" w:rsidP="003F3296">
      <w:pPr>
        <w:pStyle w:val="KOMtext"/>
        <w:rPr>
          <w:rFonts w:cstheme="minorHAnsi"/>
        </w:rPr>
      </w:pPr>
      <w:r w:rsidRPr="00CE5B09">
        <w:rPr>
          <w:rFonts w:cstheme="minorHAnsi"/>
        </w:rPr>
        <w:t>Skutečný průměrný plat v roce 2023 dosáhl částky 56 782 Kč. Navýšení bylo způsobeno zejména vznikem od 1. 7. 2023 nové organizační složky státu Dopravní a energetický stavební úřad</w:t>
      </w:r>
      <w:r>
        <w:rPr>
          <w:rFonts w:cstheme="minorHAnsi"/>
        </w:rPr>
        <w:t>,</w:t>
      </w:r>
      <w:r w:rsidRPr="00CE5B09">
        <w:rPr>
          <w:rFonts w:cstheme="minorHAnsi"/>
        </w:rPr>
        <w:t xml:space="preserve"> vyplacením mimořádných odměn pro zaměstnance, kteří se podíleli na výkonu předsednictví České republiky v Radě Evropské unie. Současně došlo u příspěvkové organizace k překročení limitu o 5 667 tis. Kč z fondu odměn</w:t>
      </w:r>
      <w:r>
        <w:rPr>
          <w:rFonts w:cstheme="minorHAnsi"/>
        </w:rPr>
        <w:t xml:space="preserve"> a u Drážního úřadu byly čerpané mimorozpočtové prostředky z rezervního fondu ve výši 450 tis. Kč</w:t>
      </w:r>
      <w:r w:rsidRPr="00CE5B09">
        <w:rPr>
          <w:rFonts w:cstheme="minorHAnsi"/>
        </w:rPr>
        <w:t xml:space="preserve">. Tyto skutečnosti </w:t>
      </w:r>
      <w:r>
        <w:rPr>
          <w:rFonts w:cstheme="minorHAnsi"/>
        </w:rPr>
        <w:t>p</w:t>
      </w:r>
      <w:r w:rsidRPr="00CE5B09">
        <w:rPr>
          <w:rFonts w:cstheme="minorHAnsi"/>
        </w:rPr>
        <w:t xml:space="preserve">odstatným způsobem ovlivnily skutečnou výši průměrného platu. </w:t>
      </w:r>
    </w:p>
    <w:p w14:paraId="3735EB34" w14:textId="77777777" w:rsidR="003F3296" w:rsidRPr="00793C6F" w:rsidRDefault="003F3296" w:rsidP="003F3296">
      <w:pPr>
        <w:pStyle w:val="KOMtext"/>
        <w:rPr>
          <w:rFonts w:cstheme="minorHAnsi"/>
        </w:rPr>
      </w:pPr>
      <w:r w:rsidRPr="00793C6F">
        <w:rPr>
          <w:rFonts w:cstheme="minorHAnsi"/>
        </w:rPr>
        <w:t>Ve srovnání s rokem 2022 došlo k nárůstu průměrného platu o 2 581 Kč, tj. 4,</w:t>
      </w:r>
      <w:r>
        <w:rPr>
          <w:rFonts w:cstheme="minorHAnsi"/>
        </w:rPr>
        <w:t>76</w:t>
      </w:r>
      <w:r w:rsidRPr="00793C6F">
        <w:rPr>
          <w:rFonts w:cstheme="minorHAnsi"/>
        </w:rPr>
        <w:t xml:space="preserve"> %.</w:t>
      </w:r>
    </w:p>
    <w:p w14:paraId="35086BF2" w14:textId="64994E2C" w:rsidR="00317EBF" w:rsidRPr="0077128B" w:rsidRDefault="003F3296" w:rsidP="00FE1E42">
      <w:pPr>
        <w:pStyle w:val="KOMtext"/>
        <w:rPr>
          <w:rFonts w:cstheme="minorHAnsi"/>
          <w:color w:val="FF0000"/>
        </w:rPr>
      </w:pPr>
      <w:r w:rsidRPr="00473066">
        <w:rPr>
          <w:rFonts w:cstheme="minorHAnsi"/>
          <w:noProof/>
          <w:color w:val="FF0000"/>
        </w:rPr>
        <w:drawing>
          <wp:inline distT="0" distB="0" distL="0" distR="0" wp14:anchorId="7E9E510F" wp14:editId="1A98ADC7">
            <wp:extent cx="5709600" cy="1314450"/>
            <wp:effectExtent l="19050" t="0" r="43815" b="0"/>
            <wp:docPr id="1704355596" name="Diagram 170435559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3A1455C1" w14:textId="4B047370" w:rsidR="00FE1E42" w:rsidRPr="006B6D61" w:rsidRDefault="00FE1E42" w:rsidP="00E20BD6">
      <w:pPr>
        <w:pStyle w:val="KOMnadp3"/>
      </w:pPr>
      <w:bookmarkStart w:id="155" w:name="_Toc162269249"/>
      <w:r w:rsidRPr="006B6D61">
        <w:t>Prostředky z rozpočtu EU a finančních mechanismů</w:t>
      </w:r>
      <w:bookmarkEnd w:id="155"/>
    </w:p>
    <w:p w14:paraId="511E7698" w14:textId="5C9A746A" w:rsidR="0040467D" w:rsidRPr="00752725" w:rsidRDefault="0040467D" w:rsidP="0040467D">
      <w:pPr>
        <w:pStyle w:val="KOMtext"/>
        <w:spacing w:after="120"/>
        <w:rPr>
          <w:rFonts w:cstheme="minorHAnsi"/>
          <w:u w:val="single"/>
        </w:rPr>
      </w:pPr>
      <w:r w:rsidRPr="00752725">
        <w:rPr>
          <w:rFonts w:cstheme="minorHAnsi"/>
          <w:u w:val="single"/>
        </w:rPr>
        <w:t>Operační program Doprava 2014+ (týká se ÚO MD; podíl SR 15 %, podíl EU 85 %)</w:t>
      </w:r>
    </w:p>
    <w:p w14:paraId="18B898B0" w14:textId="77777777" w:rsidR="0040467D" w:rsidRPr="00D445F7" w:rsidRDefault="0040467D" w:rsidP="0040467D">
      <w:pPr>
        <w:pStyle w:val="KOModrky"/>
        <w:spacing w:line="276" w:lineRule="auto"/>
      </w:pPr>
      <w:r w:rsidRPr="00D445F7">
        <w:t xml:space="preserve">skutečné čerpání prostředků na platy bylo ve výši 3 874 tis. Kč (z toho nároky </w:t>
      </w:r>
      <w:r w:rsidRPr="00D445F7">
        <w:br/>
        <w:t>428 tis. Kč) ze státního rozpočtu a 21 952 tis. Kč (z toho nároky 2 427 tis. Kč) z rozpočtu EU, celkem ve výši 25 826 tis. Kč (z toho nároky 2 855 tis. Kč);</w:t>
      </w:r>
    </w:p>
    <w:p w14:paraId="7CC647E3" w14:textId="05BA9C6A" w:rsidR="0040467D" w:rsidRPr="00960E2A" w:rsidRDefault="0040467D" w:rsidP="0040467D">
      <w:pPr>
        <w:pStyle w:val="KOModrky"/>
        <w:spacing w:line="276" w:lineRule="auto"/>
      </w:pPr>
      <w:r w:rsidRPr="00960E2A">
        <w:t xml:space="preserve">skutečné čerpání ostatních plateb za provedenou práci bylo ve výši 56 tis. Kč </w:t>
      </w:r>
      <w:r w:rsidR="00692292">
        <w:br/>
      </w:r>
      <w:r w:rsidRPr="00960E2A">
        <w:t>ze státního rozpočtu a 316 tis. Kč z rozpočtu EU, celkem ve výši 372 tis. Kč</w:t>
      </w:r>
      <w:r>
        <w:t xml:space="preserve">, v plné výši se jednalo o </w:t>
      </w:r>
      <w:r w:rsidRPr="00960E2A">
        <w:t>nároky;</w:t>
      </w:r>
    </w:p>
    <w:p w14:paraId="5DC0D942" w14:textId="77777777" w:rsidR="0040467D" w:rsidRPr="00960E2A" w:rsidRDefault="0040467D" w:rsidP="0040467D">
      <w:pPr>
        <w:pStyle w:val="KOModrky"/>
        <w:spacing w:line="276" w:lineRule="auto"/>
      </w:pPr>
      <w:r w:rsidRPr="00960E2A">
        <w:t>skutečný počet zaměstnanců: 2,81 (kmenoví zaměstnanci) a 27,52 (jednorázové navýšení).</w:t>
      </w:r>
    </w:p>
    <w:p w14:paraId="4A5B9450" w14:textId="77777777" w:rsidR="0040467D" w:rsidRPr="00A170CF" w:rsidRDefault="0040467D" w:rsidP="0040467D">
      <w:pPr>
        <w:pStyle w:val="KOMtext"/>
        <w:spacing w:after="120"/>
        <w:rPr>
          <w:rFonts w:cstheme="minorHAnsi"/>
          <w:u w:val="single"/>
        </w:rPr>
      </w:pPr>
      <w:r w:rsidRPr="00A170CF">
        <w:rPr>
          <w:rFonts w:cstheme="minorHAnsi"/>
          <w:u w:val="single"/>
        </w:rPr>
        <w:t>Komunitární programy 2014+ (týká se ÚO MD)</w:t>
      </w:r>
    </w:p>
    <w:p w14:paraId="3655AB03" w14:textId="77777777" w:rsidR="0040467D" w:rsidRPr="001A0866" w:rsidRDefault="0040467D" w:rsidP="0040467D">
      <w:pPr>
        <w:pStyle w:val="KOMtext"/>
        <w:numPr>
          <w:ilvl w:val="0"/>
          <w:numId w:val="9"/>
        </w:numPr>
        <w:spacing w:after="60"/>
        <w:ind w:left="284" w:hanging="284"/>
        <w:rPr>
          <w:rFonts w:cstheme="minorHAnsi"/>
        </w:rPr>
      </w:pPr>
      <w:r w:rsidRPr="00A170CF">
        <w:rPr>
          <w:rFonts w:cstheme="minorHAnsi"/>
        </w:rPr>
        <w:t>C-</w:t>
      </w:r>
      <w:r w:rsidRPr="001A0866">
        <w:rPr>
          <w:rFonts w:cstheme="minorHAnsi"/>
        </w:rPr>
        <w:t xml:space="preserve">ROADS </w:t>
      </w:r>
      <w:proofErr w:type="spellStart"/>
      <w:r w:rsidRPr="001A0866">
        <w:rPr>
          <w:rFonts w:cstheme="minorHAnsi"/>
        </w:rPr>
        <w:t>Austria</w:t>
      </w:r>
      <w:proofErr w:type="spellEnd"/>
      <w:r w:rsidRPr="001A0866">
        <w:rPr>
          <w:rFonts w:cstheme="minorHAnsi"/>
        </w:rPr>
        <w:t xml:space="preserve"> 2 (podíl SR 50 %, podíl EU 50 %)</w:t>
      </w:r>
    </w:p>
    <w:p w14:paraId="0F8E65CA" w14:textId="77777777" w:rsidR="0040467D" w:rsidRPr="001A0866" w:rsidRDefault="0040467D" w:rsidP="0040467D">
      <w:pPr>
        <w:pStyle w:val="KOModrky"/>
        <w:spacing w:line="276" w:lineRule="auto"/>
      </w:pPr>
      <w:r w:rsidRPr="001A0866">
        <w:t xml:space="preserve">skutečné čerpání prostředků na platy bylo ve výši 15 tis. Kč ze státního rozpočtu </w:t>
      </w:r>
      <w:r w:rsidRPr="001A0866">
        <w:br/>
        <w:t xml:space="preserve">a 15 tis. Kč z rozpočtu EU, celkem ve výši 30 tis. Kč; </w:t>
      </w:r>
    </w:p>
    <w:p w14:paraId="64E3A5BC" w14:textId="77777777" w:rsidR="0040467D" w:rsidRPr="00A170CF" w:rsidRDefault="0040467D" w:rsidP="0040467D">
      <w:pPr>
        <w:pStyle w:val="KOModrky"/>
        <w:spacing w:line="276" w:lineRule="auto"/>
      </w:pPr>
      <w:r w:rsidRPr="00A170CF">
        <w:t>skutečný počet zaměstnanců: 2 (motivace).</w:t>
      </w:r>
    </w:p>
    <w:p w14:paraId="0C5A15B6" w14:textId="77777777" w:rsidR="0040467D" w:rsidRPr="00E43701" w:rsidRDefault="0040467D" w:rsidP="0040467D">
      <w:pPr>
        <w:pStyle w:val="KOMtext"/>
        <w:numPr>
          <w:ilvl w:val="0"/>
          <w:numId w:val="9"/>
        </w:numPr>
        <w:spacing w:after="60"/>
        <w:ind w:left="284" w:hanging="284"/>
        <w:rPr>
          <w:rFonts w:cstheme="minorHAnsi"/>
        </w:rPr>
      </w:pPr>
      <w:r w:rsidRPr="00E43701">
        <w:rPr>
          <w:rFonts w:cstheme="minorHAnsi"/>
        </w:rPr>
        <w:lastRenderedPageBreak/>
        <w:t>CEF PSA NAPCORE (podíl SR 15 %, podíl EU 85 %)</w:t>
      </w:r>
    </w:p>
    <w:p w14:paraId="76FF969E" w14:textId="77777777" w:rsidR="0040467D" w:rsidRPr="007930DF" w:rsidRDefault="0040467D" w:rsidP="0040467D">
      <w:pPr>
        <w:pStyle w:val="KOModrky"/>
        <w:spacing w:line="276" w:lineRule="auto"/>
      </w:pPr>
      <w:r w:rsidRPr="007930DF">
        <w:t xml:space="preserve">skutečné čerpání prostředků na platy bylo ve výši 18 tis. Kč ze státního rozpočtu </w:t>
      </w:r>
      <w:r w:rsidRPr="007930DF">
        <w:br/>
        <w:t>a 102 tis. Kč z rozpočtu EU, celkem ve výši 120 tis. Kč;</w:t>
      </w:r>
    </w:p>
    <w:p w14:paraId="464231BF" w14:textId="630F4BA6" w:rsidR="0040467D" w:rsidRPr="00473066" w:rsidRDefault="0040467D" w:rsidP="0040467D">
      <w:pPr>
        <w:pStyle w:val="KOModrky"/>
        <w:spacing w:line="276" w:lineRule="auto"/>
        <w:rPr>
          <w:color w:val="FF0000"/>
        </w:rPr>
      </w:pPr>
      <w:r w:rsidRPr="007930DF">
        <w:t xml:space="preserve">skutečné čerpání ostatních plateb za provedenou práci bylo ve výši 42 tis. Kč </w:t>
      </w:r>
      <w:r w:rsidR="00692292">
        <w:br/>
      </w:r>
      <w:r w:rsidRPr="007930DF">
        <w:t>ze státního rozpočtu a 241 tis. Kč z rozpočtu EU, celkem ve výši 283 tis. Kč</w:t>
      </w:r>
      <w:r>
        <w:t>;</w:t>
      </w:r>
    </w:p>
    <w:p w14:paraId="747B3A16" w14:textId="77777777" w:rsidR="0040467D" w:rsidRPr="001151E4" w:rsidRDefault="0040467D" w:rsidP="0040467D">
      <w:pPr>
        <w:pStyle w:val="KOModrky"/>
        <w:spacing w:line="276" w:lineRule="auto"/>
      </w:pPr>
      <w:r w:rsidRPr="001151E4">
        <w:t>skutečný počet zaměstnanců: 3 (motivace).</w:t>
      </w:r>
    </w:p>
    <w:p w14:paraId="367045B2" w14:textId="77777777" w:rsidR="0040467D" w:rsidRPr="00DE1A5A" w:rsidRDefault="0040467D" w:rsidP="0040467D">
      <w:pPr>
        <w:pStyle w:val="KOMtext"/>
        <w:spacing w:after="120"/>
        <w:rPr>
          <w:rFonts w:cstheme="minorHAnsi"/>
          <w:u w:val="single"/>
        </w:rPr>
      </w:pPr>
      <w:r w:rsidRPr="00DE1A5A">
        <w:rPr>
          <w:rFonts w:cstheme="minorHAnsi"/>
          <w:u w:val="single"/>
        </w:rPr>
        <w:t>Operační program Zaměstnanost 2014+ (týká se DI, podíl SR 19,14 %, podíl EU 80,86 %)</w:t>
      </w:r>
    </w:p>
    <w:p w14:paraId="0C2E8021" w14:textId="77777777" w:rsidR="0040467D" w:rsidRPr="00DE1A5A" w:rsidRDefault="0040467D" w:rsidP="0040467D">
      <w:pPr>
        <w:pStyle w:val="KOModrky"/>
        <w:spacing w:line="276" w:lineRule="auto"/>
      </w:pPr>
      <w:r w:rsidRPr="00DE1A5A">
        <w:t xml:space="preserve">skutečné čerpání prostředků na platy bylo ve výši 82 tis. Kč ze státního rozpočtu </w:t>
      </w:r>
      <w:r w:rsidRPr="00DE1A5A">
        <w:br/>
        <w:t>a 348 tis. Kč z rozpočtu EU, celkem ve výši 430 tis. Kč, v plné výši se jednalo o nároky;</w:t>
      </w:r>
    </w:p>
    <w:p w14:paraId="6EF629E2" w14:textId="77777777" w:rsidR="0040467D" w:rsidRPr="00AC444B" w:rsidRDefault="0040467D" w:rsidP="0040467D">
      <w:pPr>
        <w:pStyle w:val="KOModrky"/>
        <w:spacing w:line="276" w:lineRule="auto"/>
      </w:pPr>
      <w:r w:rsidRPr="00AC444B">
        <w:t>skutečný počet zaměstnanců: 34 (motivace).</w:t>
      </w:r>
    </w:p>
    <w:p w14:paraId="74B1B045" w14:textId="77777777" w:rsidR="0040467D" w:rsidRPr="00752725" w:rsidRDefault="0040467D" w:rsidP="0040467D">
      <w:pPr>
        <w:pStyle w:val="KOMtext"/>
        <w:spacing w:after="120"/>
        <w:rPr>
          <w:rFonts w:cstheme="minorHAnsi"/>
          <w:u w:val="single"/>
        </w:rPr>
      </w:pPr>
      <w:r w:rsidRPr="00752725">
        <w:rPr>
          <w:rFonts w:cstheme="minorHAnsi"/>
          <w:u w:val="single"/>
        </w:rPr>
        <w:t>Operační program Doprava 20</w:t>
      </w:r>
      <w:r>
        <w:rPr>
          <w:rFonts w:cstheme="minorHAnsi"/>
          <w:u w:val="single"/>
        </w:rPr>
        <w:t>21</w:t>
      </w:r>
      <w:r w:rsidRPr="00752725">
        <w:rPr>
          <w:rFonts w:cstheme="minorHAnsi"/>
          <w:u w:val="single"/>
        </w:rPr>
        <w:t>+ (týká se ÚO MD; podíl SR 15 %, podíl EU 85 %)</w:t>
      </w:r>
    </w:p>
    <w:p w14:paraId="5FC439EE" w14:textId="77777777" w:rsidR="0040467D" w:rsidRPr="00D445F7" w:rsidRDefault="0040467D" w:rsidP="0040467D">
      <w:pPr>
        <w:pStyle w:val="KOModrky"/>
        <w:spacing w:line="276" w:lineRule="auto"/>
      </w:pPr>
      <w:r w:rsidRPr="00D445F7">
        <w:t xml:space="preserve">skutečné čerpání prostředků na platy bylo ve výši </w:t>
      </w:r>
      <w:r>
        <w:t>4</w:t>
      </w:r>
      <w:r w:rsidRPr="00D445F7">
        <w:t xml:space="preserve"> </w:t>
      </w:r>
      <w:r>
        <w:t>311</w:t>
      </w:r>
      <w:r w:rsidRPr="00D445F7">
        <w:t xml:space="preserve"> tis. Kč ze státního rozpočtu </w:t>
      </w:r>
      <w:r>
        <w:br/>
      </w:r>
      <w:r w:rsidRPr="00D445F7">
        <w:t xml:space="preserve">a </w:t>
      </w:r>
      <w:r>
        <w:t>24 427</w:t>
      </w:r>
      <w:r w:rsidRPr="00D445F7">
        <w:t xml:space="preserve"> tis. Kč z rozpočtu EU, celkem ve výši </w:t>
      </w:r>
      <w:r>
        <w:t xml:space="preserve">28 738 </w:t>
      </w:r>
      <w:r w:rsidRPr="00D445F7">
        <w:t>tis. Kč;</w:t>
      </w:r>
    </w:p>
    <w:p w14:paraId="05EF4AD6" w14:textId="5CD60189" w:rsidR="0040467D" w:rsidRPr="00960E2A" w:rsidRDefault="0040467D" w:rsidP="0040467D">
      <w:pPr>
        <w:pStyle w:val="KOModrky"/>
        <w:spacing w:line="276" w:lineRule="auto"/>
      </w:pPr>
      <w:r w:rsidRPr="00960E2A">
        <w:t xml:space="preserve">skutečné čerpání ostatních plateb za provedenou práci bylo ve výši </w:t>
      </w:r>
      <w:r>
        <w:t>136</w:t>
      </w:r>
      <w:r w:rsidRPr="00960E2A">
        <w:t xml:space="preserve"> tis. Kč </w:t>
      </w:r>
      <w:r w:rsidR="00692292">
        <w:br/>
      </w:r>
      <w:r w:rsidRPr="00960E2A">
        <w:t xml:space="preserve">ze státního rozpočtu a </w:t>
      </w:r>
      <w:r>
        <w:t>773</w:t>
      </w:r>
      <w:r w:rsidRPr="00960E2A">
        <w:t xml:space="preserve"> tis. Kč z rozpočtu EU, celkem ve výši </w:t>
      </w:r>
      <w:r>
        <w:t>909</w:t>
      </w:r>
      <w:r w:rsidRPr="00960E2A">
        <w:t xml:space="preserve"> tis. Kč;</w:t>
      </w:r>
    </w:p>
    <w:p w14:paraId="4816B262" w14:textId="77777777" w:rsidR="0040467D" w:rsidRPr="00960E2A" w:rsidRDefault="0040467D" w:rsidP="0040467D">
      <w:pPr>
        <w:pStyle w:val="KOModrky"/>
        <w:spacing w:line="276" w:lineRule="auto"/>
      </w:pPr>
      <w:r w:rsidRPr="00960E2A">
        <w:t xml:space="preserve">skutečný počet zaměstnanců: </w:t>
      </w:r>
      <w:r>
        <w:t>37</w:t>
      </w:r>
      <w:r w:rsidRPr="00960E2A">
        <w:t>,</w:t>
      </w:r>
      <w:r>
        <w:t>60</w:t>
      </w:r>
      <w:r w:rsidRPr="00960E2A">
        <w:t xml:space="preserve"> (kmenoví zaměstnanci) a 2 (jednorázové navýšení).</w:t>
      </w:r>
    </w:p>
    <w:p w14:paraId="29C62DBF" w14:textId="77777777" w:rsidR="0040467D" w:rsidRPr="000862D4" w:rsidRDefault="0040467D" w:rsidP="0040467D">
      <w:pPr>
        <w:pStyle w:val="KOMtext"/>
        <w:spacing w:after="120"/>
        <w:rPr>
          <w:rFonts w:cstheme="minorHAnsi"/>
        </w:rPr>
      </w:pPr>
      <w:r w:rsidRPr="000862D4">
        <w:rPr>
          <w:rFonts w:cstheme="minorHAnsi"/>
          <w:u w:val="single"/>
        </w:rPr>
        <w:t>Komunitární programy 2021+ (týká se ÚO MD)</w:t>
      </w:r>
    </w:p>
    <w:p w14:paraId="32D5D18D" w14:textId="77777777" w:rsidR="0040467D" w:rsidRPr="00924625" w:rsidRDefault="0040467D" w:rsidP="0040467D">
      <w:pPr>
        <w:pStyle w:val="KOMtext"/>
        <w:numPr>
          <w:ilvl w:val="0"/>
          <w:numId w:val="9"/>
        </w:numPr>
        <w:spacing w:before="120" w:after="60"/>
        <w:ind w:left="284" w:hanging="284"/>
        <w:rPr>
          <w:rFonts w:cstheme="minorHAnsi"/>
        </w:rPr>
      </w:pPr>
      <w:r w:rsidRPr="00924625">
        <w:rPr>
          <w:rFonts w:cstheme="minorHAnsi"/>
        </w:rPr>
        <w:t>Horizont Evropa (podíl EU 100 %)</w:t>
      </w:r>
    </w:p>
    <w:p w14:paraId="4FD4EDE8" w14:textId="77777777" w:rsidR="0040467D" w:rsidRPr="00924625" w:rsidRDefault="0040467D" w:rsidP="0040467D">
      <w:pPr>
        <w:pStyle w:val="KOModrky"/>
        <w:spacing w:line="276" w:lineRule="auto"/>
      </w:pPr>
      <w:r w:rsidRPr="00924625">
        <w:t>skutečné čerpání ostatních plateb za provedenou práci bylo ve výši 112 tis. Kč z rozpočtu EU</w:t>
      </w:r>
      <w:r>
        <w:t xml:space="preserve"> (z toho nároky 27 tis. Kč)</w:t>
      </w:r>
      <w:r w:rsidRPr="00924625">
        <w:t>.</w:t>
      </w:r>
    </w:p>
    <w:p w14:paraId="36B7B566" w14:textId="77777777" w:rsidR="0040467D" w:rsidRPr="000862D4" w:rsidRDefault="0040467D" w:rsidP="0040467D">
      <w:pPr>
        <w:pStyle w:val="KOMtext"/>
        <w:numPr>
          <w:ilvl w:val="0"/>
          <w:numId w:val="9"/>
        </w:numPr>
        <w:spacing w:after="60"/>
        <w:ind w:left="284" w:hanging="284"/>
        <w:rPr>
          <w:rFonts w:cstheme="minorHAnsi"/>
        </w:rPr>
      </w:pPr>
      <w:r w:rsidRPr="000862D4">
        <w:rPr>
          <w:rFonts w:cstheme="minorHAnsi"/>
        </w:rPr>
        <w:t>TP CEF (podíl EU 100 %)</w:t>
      </w:r>
    </w:p>
    <w:p w14:paraId="40B6D4E9" w14:textId="77777777" w:rsidR="0040467D" w:rsidRPr="000862D4" w:rsidRDefault="0040467D" w:rsidP="0040467D">
      <w:pPr>
        <w:pStyle w:val="KOModrky"/>
        <w:spacing w:line="276" w:lineRule="auto"/>
      </w:pPr>
      <w:r w:rsidRPr="000862D4">
        <w:t>skutečné čerpání prostředků na platy bylo ve výši 3 713 tis. Kč z rozpočtu EU;</w:t>
      </w:r>
    </w:p>
    <w:p w14:paraId="4112B3BB" w14:textId="77777777" w:rsidR="0040467D" w:rsidRDefault="0040467D" w:rsidP="0040467D">
      <w:pPr>
        <w:pStyle w:val="KOModrky"/>
        <w:spacing w:line="276" w:lineRule="auto"/>
      </w:pPr>
      <w:r w:rsidRPr="000862D4">
        <w:t>skutečný počet zaměstnanců: 2,40 (kmenoví zaměstnanci), 1 (jednorázové navýšení), 22 (motivace).</w:t>
      </w:r>
    </w:p>
    <w:p w14:paraId="0585D28C" w14:textId="77777777" w:rsidR="0040467D" w:rsidRPr="000862D4" w:rsidRDefault="0040467D" w:rsidP="0040467D">
      <w:pPr>
        <w:pStyle w:val="KOMtext"/>
        <w:numPr>
          <w:ilvl w:val="0"/>
          <w:numId w:val="9"/>
        </w:numPr>
        <w:spacing w:after="60"/>
        <w:ind w:left="284" w:hanging="284"/>
        <w:rPr>
          <w:rFonts w:cstheme="minorHAnsi"/>
        </w:rPr>
      </w:pPr>
      <w:r>
        <w:rPr>
          <w:rFonts w:cstheme="minorHAnsi"/>
        </w:rPr>
        <w:t>Kosmický program Unie</w:t>
      </w:r>
      <w:r w:rsidRPr="000862D4">
        <w:rPr>
          <w:rFonts w:cstheme="minorHAnsi"/>
        </w:rPr>
        <w:t xml:space="preserve"> (podíl EU 100 %)</w:t>
      </w:r>
    </w:p>
    <w:p w14:paraId="79EAEE84" w14:textId="77777777" w:rsidR="0040467D" w:rsidRPr="000862D4" w:rsidRDefault="0040467D" w:rsidP="0040467D">
      <w:pPr>
        <w:pStyle w:val="KOModrky"/>
        <w:spacing w:line="276" w:lineRule="auto"/>
      </w:pPr>
      <w:r w:rsidRPr="000862D4">
        <w:t xml:space="preserve">skutečné čerpání prostředků na platy bylo ve výši </w:t>
      </w:r>
      <w:r>
        <w:t>218</w:t>
      </w:r>
      <w:r w:rsidRPr="000862D4">
        <w:t xml:space="preserve"> tis. Kč z rozpočtu EU;</w:t>
      </w:r>
    </w:p>
    <w:p w14:paraId="44CD3DDB" w14:textId="77777777" w:rsidR="0040467D" w:rsidRDefault="0040467D" w:rsidP="0040467D">
      <w:pPr>
        <w:pStyle w:val="KOModrky"/>
        <w:spacing w:line="276" w:lineRule="auto"/>
      </w:pPr>
      <w:r w:rsidRPr="000862D4">
        <w:t xml:space="preserve">skutečný počet zaměstnanců: </w:t>
      </w:r>
      <w:r>
        <w:t>3</w:t>
      </w:r>
      <w:r w:rsidRPr="000862D4">
        <w:t xml:space="preserve"> (motivace).</w:t>
      </w:r>
    </w:p>
    <w:p w14:paraId="10CAD6CC" w14:textId="77777777" w:rsidR="0040467D" w:rsidRPr="00752725" w:rsidRDefault="0040467D" w:rsidP="0040467D">
      <w:pPr>
        <w:pStyle w:val="KOMtext"/>
        <w:spacing w:after="120"/>
        <w:rPr>
          <w:rFonts w:cstheme="minorHAnsi"/>
          <w:u w:val="single"/>
        </w:rPr>
      </w:pPr>
      <w:r>
        <w:rPr>
          <w:rFonts w:cstheme="minorHAnsi"/>
          <w:u w:val="single"/>
        </w:rPr>
        <w:t>Jiné zdroje EU 2021+</w:t>
      </w:r>
      <w:r w:rsidRPr="00752725">
        <w:rPr>
          <w:rFonts w:cstheme="minorHAnsi"/>
          <w:u w:val="single"/>
        </w:rPr>
        <w:t xml:space="preserve"> (týká se </w:t>
      </w:r>
      <w:r>
        <w:rPr>
          <w:rFonts w:cstheme="minorHAnsi"/>
          <w:u w:val="single"/>
        </w:rPr>
        <w:t>D</w:t>
      </w:r>
      <w:r w:rsidRPr="00752725">
        <w:rPr>
          <w:rFonts w:cstheme="minorHAnsi"/>
          <w:u w:val="single"/>
        </w:rPr>
        <w:t xml:space="preserve">Ú; podíl EU </w:t>
      </w:r>
      <w:r>
        <w:rPr>
          <w:rFonts w:cstheme="minorHAnsi"/>
          <w:u w:val="single"/>
        </w:rPr>
        <w:t>100</w:t>
      </w:r>
      <w:r w:rsidRPr="00752725">
        <w:rPr>
          <w:rFonts w:cstheme="minorHAnsi"/>
          <w:u w:val="single"/>
        </w:rPr>
        <w:t xml:space="preserve"> %)</w:t>
      </w:r>
    </w:p>
    <w:p w14:paraId="509F1A96" w14:textId="77777777" w:rsidR="0040467D" w:rsidRPr="00D445F7" w:rsidRDefault="0040467D" w:rsidP="0040467D">
      <w:pPr>
        <w:pStyle w:val="KOModrky"/>
        <w:spacing w:line="276" w:lineRule="auto"/>
      </w:pPr>
      <w:r w:rsidRPr="00D445F7">
        <w:t xml:space="preserve">skutečné čerpání prostředků na platy bylo ve výši </w:t>
      </w:r>
      <w:r>
        <w:t>450</w:t>
      </w:r>
      <w:r w:rsidRPr="00D445F7">
        <w:t xml:space="preserve"> tis. Kč z rozpočtu EU;</w:t>
      </w:r>
    </w:p>
    <w:p w14:paraId="02CBDB77" w14:textId="77777777" w:rsidR="0040467D" w:rsidRDefault="0040467D" w:rsidP="0040467D">
      <w:pPr>
        <w:pStyle w:val="KOModrky"/>
        <w:spacing w:line="276" w:lineRule="auto"/>
      </w:pPr>
      <w:r w:rsidRPr="00960E2A">
        <w:t xml:space="preserve">skutečný počet zaměstnanců: </w:t>
      </w:r>
      <w:r>
        <w:t>22</w:t>
      </w:r>
      <w:r w:rsidRPr="00960E2A">
        <w:t xml:space="preserve"> (</w:t>
      </w:r>
      <w:r>
        <w:t>motivace</w:t>
      </w:r>
      <w:r w:rsidRPr="00960E2A">
        <w:t>).</w:t>
      </w:r>
    </w:p>
    <w:p w14:paraId="61AF1814" w14:textId="77777777" w:rsidR="0040467D" w:rsidRPr="00752725" w:rsidRDefault="0040467D" w:rsidP="0040467D">
      <w:pPr>
        <w:pStyle w:val="KOMtext"/>
        <w:spacing w:after="120"/>
        <w:rPr>
          <w:rFonts w:cstheme="minorHAnsi"/>
          <w:u w:val="single"/>
        </w:rPr>
      </w:pPr>
      <w:r>
        <w:rPr>
          <w:rFonts w:cstheme="minorHAnsi"/>
          <w:u w:val="single"/>
        </w:rPr>
        <w:lastRenderedPageBreak/>
        <w:t>Národní plán obnovy</w:t>
      </w:r>
      <w:r w:rsidRPr="00752725">
        <w:rPr>
          <w:rFonts w:cstheme="minorHAnsi"/>
          <w:u w:val="single"/>
        </w:rPr>
        <w:t xml:space="preserve"> (týká se ÚO MD; podíl EU </w:t>
      </w:r>
      <w:r>
        <w:rPr>
          <w:rFonts w:cstheme="minorHAnsi"/>
          <w:u w:val="single"/>
        </w:rPr>
        <w:t>100</w:t>
      </w:r>
      <w:r w:rsidRPr="00752725">
        <w:rPr>
          <w:rFonts w:cstheme="minorHAnsi"/>
          <w:u w:val="single"/>
        </w:rPr>
        <w:t xml:space="preserve"> %)</w:t>
      </w:r>
    </w:p>
    <w:p w14:paraId="153BABC9" w14:textId="77777777" w:rsidR="0040467D" w:rsidRPr="00D445F7" w:rsidRDefault="0040467D" w:rsidP="0040467D">
      <w:pPr>
        <w:pStyle w:val="KOModrky"/>
        <w:spacing w:line="276" w:lineRule="auto"/>
      </w:pPr>
      <w:r w:rsidRPr="00D445F7">
        <w:t xml:space="preserve">skutečné čerpání prostředků na platy bylo ve výši </w:t>
      </w:r>
      <w:r>
        <w:t>838</w:t>
      </w:r>
      <w:r w:rsidRPr="00D445F7">
        <w:t xml:space="preserve"> tis. Kč z rozpočtu EU;</w:t>
      </w:r>
    </w:p>
    <w:p w14:paraId="2D39F372" w14:textId="77777777" w:rsidR="0040467D" w:rsidRDefault="0040467D" w:rsidP="0040467D">
      <w:pPr>
        <w:pStyle w:val="KOModrky"/>
        <w:spacing w:line="276" w:lineRule="auto"/>
      </w:pPr>
      <w:r w:rsidRPr="00960E2A">
        <w:t xml:space="preserve">skutečný počet zaměstnanců: </w:t>
      </w:r>
      <w:r>
        <w:t>1,29</w:t>
      </w:r>
      <w:r w:rsidRPr="00960E2A">
        <w:t xml:space="preserve"> (kmenoví zaměstnanci).</w:t>
      </w:r>
    </w:p>
    <w:p w14:paraId="7B85ADBE" w14:textId="77777777" w:rsidR="0040467D" w:rsidRPr="009C7815" w:rsidRDefault="0040467D" w:rsidP="0040467D">
      <w:pPr>
        <w:pStyle w:val="KOMtext"/>
        <w:rPr>
          <w:rFonts w:cstheme="minorHAnsi"/>
        </w:rPr>
      </w:pPr>
      <w:r w:rsidRPr="009C7815">
        <w:rPr>
          <w:rFonts w:cstheme="minorHAnsi"/>
        </w:rPr>
        <w:t xml:space="preserve">Podrobné informace k jednotlivým programům EU jsou uvedené v části 3.3 Čerpání finančních prostředků Evropské unie. </w:t>
      </w:r>
    </w:p>
    <w:p w14:paraId="5267505A" w14:textId="24DF0C1F" w:rsidR="0040467D" w:rsidRPr="00B6264C" w:rsidRDefault="0040467D" w:rsidP="0040467D">
      <w:pPr>
        <w:pStyle w:val="KOMGrafy"/>
      </w:pPr>
      <w:bookmarkStart w:id="156" w:name="_Toc130477238"/>
      <w:bookmarkStart w:id="157" w:name="_Toc160457127"/>
      <w:r w:rsidRPr="00B6264C">
        <w:t xml:space="preserve">Graf č. </w:t>
      </w:r>
      <w:r w:rsidRPr="00B6264C">
        <w:rPr>
          <w:noProof/>
        </w:rPr>
        <w:fldChar w:fldCharType="begin"/>
      </w:r>
      <w:r w:rsidRPr="00B6264C">
        <w:rPr>
          <w:noProof/>
        </w:rPr>
        <w:instrText xml:space="preserve"> SEQ Graf_č. \* ARABIC </w:instrText>
      </w:r>
      <w:r w:rsidRPr="00B6264C">
        <w:rPr>
          <w:noProof/>
        </w:rPr>
        <w:fldChar w:fldCharType="separate"/>
      </w:r>
      <w:r w:rsidR="00013820">
        <w:rPr>
          <w:noProof/>
        </w:rPr>
        <w:t>10</w:t>
      </w:r>
      <w:r w:rsidRPr="00B6264C">
        <w:fldChar w:fldCharType="end"/>
      </w:r>
      <w:r w:rsidRPr="00B6264C">
        <w:t>: Podíl čerpání platových prostředků a ostatních plateb za provedenou práci z prostředků fondů EU a finančních mechanismů (SR a EU podíl) v roce 202</w:t>
      </w:r>
      <w:bookmarkEnd w:id="156"/>
      <w:r w:rsidRPr="00B6264C">
        <w:t>3</w:t>
      </w:r>
      <w:bookmarkEnd w:id="157"/>
    </w:p>
    <w:p w14:paraId="2DCA1B37" w14:textId="28D0E020" w:rsidR="0058012E" w:rsidRPr="0077128B" w:rsidRDefault="00D613E5" w:rsidP="00BA4E5A">
      <w:pPr>
        <w:pStyle w:val="KOMtext"/>
        <w:spacing w:after="120"/>
        <w:rPr>
          <w:rFonts w:cstheme="minorHAnsi"/>
          <w:color w:val="FF0000"/>
          <w:u w:val="single"/>
        </w:rPr>
      </w:pPr>
      <w:r w:rsidRPr="00473066">
        <w:rPr>
          <w:i/>
          <w:noProof/>
          <w:color w:val="FF0000"/>
          <w:szCs w:val="24"/>
        </w:rPr>
        <w:drawing>
          <wp:inline distT="0" distB="0" distL="0" distR="0" wp14:anchorId="7032F7F9" wp14:editId="6E600F2E">
            <wp:extent cx="5759450" cy="2409825"/>
            <wp:effectExtent l="0" t="0" r="12700" b="9525"/>
            <wp:docPr id="1704355597" name="Graf 170435559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0B2EA94" w14:textId="512A25BD" w:rsidR="00574B99" w:rsidRPr="0077128B" w:rsidRDefault="00574B99" w:rsidP="006B6D61">
      <w:pPr>
        <w:pStyle w:val="KOMtext"/>
        <w:spacing w:after="60"/>
        <w:ind w:left="284"/>
        <w:rPr>
          <w:rFonts w:cstheme="minorHAnsi"/>
          <w:color w:val="FF0000"/>
        </w:rPr>
      </w:pPr>
    </w:p>
    <w:p w14:paraId="31E09739" w14:textId="0D9AFC90" w:rsidR="002A3A99" w:rsidRPr="0077128B" w:rsidRDefault="002A3A99" w:rsidP="00BA4E5A">
      <w:pPr>
        <w:pStyle w:val="KOMGrafy"/>
        <w:rPr>
          <w:color w:val="FF0000"/>
        </w:rPr>
      </w:pPr>
    </w:p>
    <w:p w14:paraId="101626E6" w14:textId="2CD2BC58" w:rsidR="002A3A99" w:rsidRPr="002F1BE7" w:rsidRDefault="002A3A99" w:rsidP="002A3A99">
      <w:pPr>
        <w:rPr>
          <w:color w:val="FF0000"/>
          <w:lang w:eastAsia="cs-CZ"/>
        </w:rPr>
      </w:pPr>
    </w:p>
    <w:p w14:paraId="4C0B80CD" w14:textId="77777777" w:rsidR="000E486E" w:rsidRPr="006B6D61" w:rsidRDefault="000E486E" w:rsidP="00FE67C5">
      <w:pPr>
        <w:pStyle w:val="KOMnadp2"/>
      </w:pPr>
      <w:bookmarkStart w:id="158" w:name="_Toc128397664"/>
      <w:bookmarkStart w:id="159" w:name="_Toc128397797"/>
      <w:bookmarkStart w:id="160" w:name="_Toc128398020"/>
      <w:bookmarkStart w:id="161" w:name="_Toc128398363"/>
      <w:bookmarkStart w:id="162" w:name="_Toc128398489"/>
      <w:bookmarkStart w:id="163" w:name="_Toc128398703"/>
      <w:bookmarkStart w:id="164" w:name="_Toc128400019"/>
      <w:bookmarkStart w:id="165" w:name="_Toc128401259"/>
      <w:bookmarkStart w:id="166" w:name="_Toc128401387"/>
      <w:bookmarkStart w:id="167" w:name="_Toc128401874"/>
      <w:bookmarkStart w:id="168" w:name="_Toc128397665"/>
      <w:bookmarkStart w:id="169" w:name="_Toc128397798"/>
      <w:bookmarkStart w:id="170" w:name="_Toc128398021"/>
      <w:bookmarkStart w:id="171" w:name="_Toc128398364"/>
      <w:bookmarkStart w:id="172" w:name="_Toc128398490"/>
      <w:bookmarkStart w:id="173" w:name="_Toc128398704"/>
      <w:bookmarkStart w:id="174" w:name="_Toc128400020"/>
      <w:bookmarkStart w:id="175" w:name="_Toc128401260"/>
      <w:bookmarkStart w:id="176" w:name="_Toc128401388"/>
      <w:bookmarkStart w:id="177" w:name="_Toc128401875"/>
      <w:bookmarkStart w:id="178" w:name="_Toc128400021"/>
      <w:bookmarkStart w:id="179" w:name="_Toc162269250"/>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r w:rsidRPr="006B6D61">
        <w:lastRenderedPageBreak/>
        <w:t>Čerpání finančních prostředků fondů Evropské unie</w:t>
      </w:r>
      <w:bookmarkEnd w:id="178"/>
      <w:bookmarkEnd w:id="179"/>
    </w:p>
    <w:p w14:paraId="1D558374" w14:textId="4B1B4EA3" w:rsidR="003C5D72" w:rsidRPr="006B6D61" w:rsidRDefault="0043755D" w:rsidP="008A0E44">
      <w:pPr>
        <w:pStyle w:val="KOMnadp4"/>
      </w:pPr>
      <w:bookmarkStart w:id="180" w:name="_Toc128400022"/>
      <w:r w:rsidRPr="006B6D61">
        <w:t>Přehled prostředků fondů EU vč. spolufinancování ze SR</w:t>
      </w:r>
    </w:p>
    <w:tbl>
      <w:tblPr>
        <w:tblW w:w="8982" w:type="dxa"/>
        <w:tblInd w:w="70" w:type="dxa"/>
        <w:tblCellMar>
          <w:left w:w="0" w:type="dxa"/>
          <w:right w:w="0" w:type="dxa"/>
        </w:tblCellMar>
        <w:tblLook w:val="04A0" w:firstRow="1" w:lastRow="0" w:firstColumn="1" w:lastColumn="0" w:noHBand="0" w:noVBand="1"/>
      </w:tblPr>
      <w:tblGrid>
        <w:gridCol w:w="2103"/>
        <w:gridCol w:w="1318"/>
        <w:gridCol w:w="1202"/>
        <w:gridCol w:w="1251"/>
        <w:gridCol w:w="1134"/>
        <w:gridCol w:w="1178"/>
        <w:gridCol w:w="796"/>
      </w:tblGrid>
      <w:tr w:rsidR="00740E18" w:rsidRPr="006A755F" w14:paraId="728175FA" w14:textId="77777777" w:rsidTr="00334B92">
        <w:trPr>
          <w:trHeight w:val="348"/>
          <w:tblHeader/>
        </w:trPr>
        <w:tc>
          <w:tcPr>
            <w:tcW w:w="8982" w:type="dxa"/>
            <w:gridSpan w:val="7"/>
            <w:tcBorders>
              <w:bottom w:val="nil"/>
            </w:tcBorders>
            <w:shd w:val="clear" w:color="auto" w:fill="auto"/>
            <w:tcMar>
              <w:top w:w="0" w:type="dxa"/>
              <w:left w:w="70" w:type="dxa"/>
              <w:bottom w:w="0" w:type="dxa"/>
              <w:right w:w="70" w:type="dxa"/>
            </w:tcMar>
            <w:vAlign w:val="center"/>
          </w:tcPr>
          <w:p w14:paraId="697617F1" w14:textId="36C21B12" w:rsidR="00740E18" w:rsidRPr="00B206DB" w:rsidRDefault="00B206DB" w:rsidP="002A4D88">
            <w:pPr>
              <w:spacing w:after="0" w:line="252" w:lineRule="auto"/>
              <w:jc w:val="center"/>
              <w:rPr>
                <w:bCs/>
              </w:rPr>
            </w:pP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sidRPr="00B206DB">
              <w:rPr>
                <w:bCs/>
              </w:rPr>
              <w:tab/>
            </w:r>
            <w:r>
              <w:rPr>
                <w:bCs/>
              </w:rPr>
              <w:t xml:space="preserve">    </w:t>
            </w:r>
            <w:r w:rsidRPr="00B206DB">
              <w:rPr>
                <w:bCs/>
              </w:rPr>
              <w:t>v</w:t>
            </w:r>
            <w:r w:rsidR="00334B92" w:rsidRPr="00B206DB">
              <w:rPr>
                <w:bCs/>
              </w:rPr>
              <w:t> tis. Kč</w:t>
            </w:r>
          </w:p>
        </w:tc>
      </w:tr>
      <w:tr w:rsidR="008925B5" w:rsidRPr="006A755F" w14:paraId="22B78B6E" w14:textId="77777777" w:rsidTr="002A4D88">
        <w:trPr>
          <w:trHeight w:val="348"/>
          <w:tblHeader/>
        </w:trPr>
        <w:tc>
          <w:tcPr>
            <w:tcW w:w="2103" w:type="dxa"/>
            <w:vMerge w:val="restart"/>
            <w:tcBorders>
              <w:top w:val="single" w:sz="8" w:space="0" w:color="auto"/>
              <w:left w:val="single" w:sz="8" w:space="0" w:color="auto"/>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54E0014F" w14:textId="77777777" w:rsidR="008925B5" w:rsidRPr="006A755F" w:rsidRDefault="008925B5" w:rsidP="002A4D88">
            <w:pPr>
              <w:spacing w:after="0" w:line="252" w:lineRule="auto"/>
              <w:jc w:val="center"/>
              <w:rPr>
                <w:b/>
              </w:rPr>
            </w:pPr>
            <w:r w:rsidRPr="006A755F">
              <w:rPr>
                <w:b/>
              </w:rPr>
              <w:t>Ukazatel</w:t>
            </w:r>
          </w:p>
        </w:tc>
        <w:tc>
          <w:tcPr>
            <w:tcW w:w="1318" w:type="dxa"/>
            <w:vMerge w:val="restart"/>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309F243E" w14:textId="77777777" w:rsidR="008925B5" w:rsidRPr="006A755F" w:rsidRDefault="008925B5" w:rsidP="002A4D88">
            <w:pPr>
              <w:spacing w:after="0" w:line="252" w:lineRule="auto"/>
              <w:jc w:val="center"/>
              <w:rPr>
                <w:b/>
              </w:rPr>
            </w:pPr>
            <w:r w:rsidRPr="006A755F">
              <w:rPr>
                <w:b/>
              </w:rPr>
              <w:t>Skutečnost</w:t>
            </w:r>
          </w:p>
          <w:p w14:paraId="643E319E" w14:textId="77777777" w:rsidR="008925B5" w:rsidRPr="006A755F" w:rsidRDefault="008925B5" w:rsidP="002A4D88">
            <w:pPr>
              <w:spacing w:after="0" w:line="252" w:lineRule="auto"/>
              <w:jc w:val="center"/>
              <w:rPr>
                <w:b/>
              </w:rPr>
            </w:pPr>
            <w:r w:rsidRPr="006A755F">
              <w:rPr>
                <w:b/>
              </w:rPr>
              <w:t>202</w:t>
            </w:r>
            <w:r>
              <w:rPr>
                <w:b/>
              </w:rPr>
              <w:t>2</w:t>
            </w:r>
          </w:p>
        </w:tc>
        <w:tc>
          <w:tcPr>
            <w:tcW w:w="3587" w:type="dxa"/>
            <w:gridSpan w:val="3"/>
            <w:tcBorders>
              <w:top w:val="single" w:sz="8" w:space="0" w:color="auto"/>
              <w:left w:val="nil"/>
              <w:bottom w:val="single" w:sz="8" w:space="0" w:color="auto"/>
              <w:right w:val="single" w:sz="8" w:space="0" w:color="auto"/>
            </w:tcBorders>
            <w:shd w:val="clear" w:color="auto" w:fill="D9D9D9" w:themeFill="background1" w:themeFillShade="D9"/>
            <w:tcMar>
              <w:top w:w="0" w:type="dxa"/>
              <w:left w:w="70" w:type="dxa"/>
              <w:bottom w:w="0" w:type="dxa"/>
              <w:right w:w="70" w:type="dxa"/>
            </w:tcMar>
            <w:vAlign w:val="center"/>
            <w:hideMark/>
          </w:tcPr>
          <w:p w14:paraId="41026519" w14:textId="77777777" w:rsidR="008925B5" w:rsidRPr="006A755F" w:rsidRDefault="008925B5" w:rsidP="002A4D88">
            <w:pPr>
              <w:spacing w:after="0" w:line="252" w:lineRule="auto"/>
              <w:jc w:val="center"/>
              <w:rPr>
                <w:b/>
              </w:rPr>
            </w:pPr>
            <w:r w:rsidRPr="006A755F">
              <w:rPr>
                <w:b/>
              </w:rPr>
              <w:t>Rozpočet 202</w:t>
            </w:r>
            <w:r>
              <w:rPr>
                <w:b/>
              </w:rPr>
              <w:t>3</w:t>
            </w:r>
          </w:p>
        </w:tc>
        <w:tc>
          <w:tcPr>
            <w:tcW w:w="1178" w:type="dxa"/>
            <w:vMerge w:val="restart"/>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13ED3CBD" w14:textId="77777777" w:rsidR="008925B5" w:rsidRPr="006A755F" w:rsidRDefault="008925B5" w:rsidP="002A4D88">
            <w:pPr>
              <w:spacing w:after="0" w:line="252" w:lineRule="auto"/>
              <w:jc w:val="center"/>
              <w:rPr>
                <w:b/>
              </w:rPr>
            </w:pPr>
            <w:r w:rsidRPr="006A755F">
              <w:rPr>
                <w:b/>
              </w:rPr>
              <w:t>Skutečnost</w:t>
            </w:r>
          </w:p>
          <w:p w14:paraId="0F3FCB2C" w14:textId="77777777" w:rsidR="008925B5" w:rsidRPr="006A755F" w:rsidRDefault="008925B5" w:rsidP="002A4D88">
            <w:pPr>
              <w:spacing w:after="0" w:line="252" w:lineRule="auto"/>
              <w:jc w:val="center"/>
              <w:rPr>
                <w:b/>
              </w:rPr>
            </w:pPr>
            <w:r w:rsidRPr="006A755F">
              <w:rPr>
                <w:b/>
              </w:rPr>
              <w:t>202</w:t>
            </w:r>
            <w:r>
              <w:rPr>
                <w:b/>
              </w:rPr>
              <w:t>3</w:t>
            </w:r>
          </w:p>
        </w:tc>
        <w:tc>
          <w:tcPr>
            <w:tcW w:w="796" w:type="dxa"/>
            <w:vMerge w:val="restart"/>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1D62066B" w14:textId="77777777" w:rsidR="008925B5" w:rsidRPr="006A755F" w:rsidRDefault="008925B5" w:rsidP="002A4D88">
            <w:pPr>
              <w:spacing w:after="0" w:line="252" w:lineRule="auto"/>
              <w:jc w:val="center"/>
              <w:rPr>
                <w:b/>
              </w:rPr>
            </w:pPr>
            <w:r w:rsidRPr="006A755F">
              <w:rPr>
                <w:b/>
              </w:rPr>
              <w:t>Index</w:t>
            </w:r>
          </w:p>
          <w:p w14:paraId="549CE986" w14:textId="77777777" w:rsidR="008925B5" w:rsidRPr="006A755F" w:rsidRDefault="008925B5" w:rsidP="002A4D88">
            <w:pPr>
              <w:spacing w:after="0" w:line="252" w:lineRule="auto"/>
              <w:jc w:val="center"/>
              <w:rPr>
                <w:b/>
              </w:rPr>
            </w:pPr>
            <w:r w:rsidRPr="006A755F">
              <w:rPr>
                <w:b/>
              </w:rPr>
              <w:t>(v %)</w:t>
            </w:r>
          </w:p>
        </w:tc>
      </w:tr>
      <w:tr w:rsidR="008925B5" w:rsidRPr="006A755F" w14:paraId="0D6913E3" w14:textId="77777777" w:rsidTr="002A4D88">
        <w:trPr>
          <w:trHeight w:val="408"/>
          <w:tblHeader/>
        </w:trPr>
        <w:tc>
          <w:tcPr>
            <w:tcW w:w="0" w:type="auto"/>
            <w:vMerge/>
            <w:tcBorders>
              <w:top w:val="single" w:sz="8" w:space="0" w:color="auto"/>
              <w:left w:val="single" w:sz="8" w:space="0" w:color="auto"/>
              <w:bottom w:val="nil"/>
              <w:right w:val="single" w:sz="8" w:space="0" w:color="auto"/>
            </w:tcBorders>
            <w:vAlign w:val="center"/>
            <w:hideMark/>
          </w:tcPr>
          <w:p w14:paraId="766CB4F4" w14:textId="77777777" w:rsidR="008925B5" w:rsidRPr="006A755F" w:rsidRDefault="008925B5" w:rsidP="002A4D88">
            <w:pPr>
              <w:rPr>
                <w:rFonts w:ascii="Calibri" w:hAnsi="Calibri" w:cs="Calibri"/>
              </w:rPr>
            </w:pPr>
          </w:p>
        </w:tc>
        <w:tc>
          <w:tcPr>
            <w:tcW w:w="0" w:type="auto"/>
            <w:vMerge/>
            <w:tcBorders>
              <w:top w:val="single" w:sz="8" w:space="0" w:color="auto"/>
              <w:left w:val="nil"/>
              <w:bottom w:val="nil"/>
              <w:right w:val="single" w:sz="8" w:space="0" w:color="auto"/>
            </w:tcBorders>
            <w:vAlign w:val="center"/>
            <w:hideMark/>
          </w:tcPr>
          <w:p w14:paraId="4366E51C" w14:textId="77777777" w:rsidR="008925B5" w:rsidRPr="006A755F" w:rsidRDefault="008925B5" w:rsidP="002A4D88">
            <w:pPr>
              <w:rPr>
                <w:rFonts w:ascii="Calibri" w:hAnsi="Calibri" w:cs="Calibri"/>
              </w:rPr>
            </w:pPr>
          </w:p>
        </w:tc>
        <w:tc>
          <w:tcPr>
            <w:tcW w:w="1202" w:type="dxa"/>
            <w:tcBorders>
              <w:top w:val="nil"/>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5D702F5F" w14:textId="77777777" w:rsidR="008925B5" w:rsidRPr="006A755F" w:rsidRDefault="008925B5" w:rsidP="002A4D88">
            <w:pPr>
              <w:spacing w:after="0" w:line="252" w:lineRule="auto"/>
              <w:jc w:val="center"/>
              <w:rPr>
                <w:b/>
              </w:rPr>
            </w:pPr>
            <w:r w:rsidRPr="006A755F">
              <w:rPr>
                <w:b/>
              </w:rPr>
              <w:t>schválený</w:t>
            </w:r>
          </w:p>
        </w:tc>
        <w:tc>
          <w:tcPr>
            <w:tcW w:w="1251"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33D6454D" w14:textId="77777777" w:rsidR="008925B5" w:rsidRPr="006A755F" w:rsidRDefault="008925B5" w:rsidP="002A4D88">
            <w:pPr>
              <w:spacing w:after="0" w:line="252" w:lineRule="auto"/>
              <w:jc w:val="center"/>
              <w:rPr>
                <w:b/>
              </w:rPr>
            </w:pPr>
            <w:r w:rsidRPr="006A755F">
              <w:rPr>
                <w:b/>
              </w:rPr>
              <w:t>po změnách</w:t>
            </w:r>
          </w:p>
        </w:tc>
        <w:tc>
          <w:tcPr>
            <w:tcW w:w="1134"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3E2D6321" w14:textId="77777777" w:rsidR="008925B5" w:rsidRPr="006A755F" w:rsidRDefault="008925B5" w:rsidP="002A4D88">
            <w:pPr>
              <w:spacing w:after="0" w:line="252" w:lineRule="auto"/>
              <w:jc w:val="center"/>
              <w:rPr>
                <w:b/>
              </w:rPr>
            </w:pPr>
            <w:r w:rsidRPr="006A755F">
              <w:rPr>
                <w:b/>
              </w:rPr>
              <w:t>konečný</w:t>
            </w:r>
          </w:p>
        </w:tc>
        <w:tc>
          <w:tcPr>
            <w:tcW w:w="1178" w:type="dxa"/>
            <w:vMerge/>
            <w:tcBorders>
              <w:top w:val="single" w:sz="8" w:space="0" w:color="auto"/>
              <w:left w:val="nil"/>
              <w:bottom w:val="nil"/>
              <w:right w:val="single" w:sz="8" w:space="0" w:color="auto"/>
            </w:tcBorders>
            <w:vAlign w:val="center"/>
            <w:hideMark/>
          </w:tcPr>
          <w:p w14:paraId="6E40BFC1" w14:textId="77777777" w:rsidR="008925B5" w:rsidRPr="006A755F" w:rsidRDefault="008925B5" w:rsidP="002A4D88">
            <w:pPr>
              <w:rPr>
                <w:rFonts w:ascii="Calibri" w:hAnsi="Calibri" w:cs="Calibri"/>
              </w:rPr>
            </w:pPr>
          </w:p>
        </w:tc>
        <w:tc>
          <w:tcPr>
            <w:tcW w:w="0" w:type="auto"/>
            <w:vMerge/>
            <w:tcBorders>
              <w:top w:val="single" w:sz="8" w:space="0" w:color="auto"/>
              <w:left w:val="nil"/>
              <w:bottom w:val="nil"/>
              <w:right w:val="single" w:sz="8" w:space="0" w:color="auto"/>
            </w:tcBorders>
            <w:vAlign w:val="center"/>
            <w:hideMark/>
          </w:tcPr>
          <w:p w14:paraId="450935FD" w14:textId="77777777" w:rsidR="008925B5" w:rsidRPr="006A755F" w:rsidRDefault="008925B5" w:rsidP="002A4D88">
            <w:pPr>
              <w:rPr>
                <w:rFonts w:ascii="Calibri" w:hAnsi="Calibri" w:cs="Calibri"/>
              </w:rPr>
            </w:pPr>
          </w:p>
        </w:tc>
      </w:tr>
      <w:tr w:rsidR="008925B5" w:rsidRPr="006A755F" w14:paraId="19262B57" w14:textId="77777777" w:rsidTr="002A4D88">
        <w:trPr>
          <w:trHeight w:val="82"/>
          <w:tblHeader/>
        </w:trPr>
        <w:tc>
          <w:tcPr>
            <w:tcW w:w="2103" w:type="dxa"/>
            <w:tcBorders>
              <w:top w:val="single" w:sz="8" w:space="0" w:color="auto"/>
              <w:left w:val="single" w:sz="8" w:space="0" w:color="auto"/>
              <w:bottom w:val="nil"/>
              <w:right w:val="single" w:sz="8" w:space="0" w:color="auto"/>
            </w:tcBorders>
            <w:tcMar>
              <w:top w:w="0" w:type="dxa"/>
              <w:left w:w="70" w:type="dxa"/>
              <w:bottom w:w="0" w:type="dxa"/>
              <w:right w:w="70" w:type="dxa"/>
            </w:tcMar>
            <w:hideMark/>
          </w:tcPr>
          <w:p w14:paraId="132CB14D" w14:textId="77777777" w:rsidR="008925B5" w:rsidRPr="006A755F" w:rsidRDefault="008925B5" w:rsidP="002A4D88">
            <w:pPr>
              <w:spacing w:after="0" w:line="252" w:lineRule="auto"/>
              <w:jc w:val="center"/>
            </w:pPr>
            <w:r w:rsidRPr="006A755F">
              <w:t>a</w:t>
            </w:r>
          </w:p>
        </w:tc>
        <w:tc>
          <w:tcPr>
            <w:tcW w:w="1318" w:type="dxa"/>
            <w:tcBorders>
              <w:top w:val="single" w:sz="8" w:space="0" w:color="auto"/>
              <w:left w:val="nil"/>
              <w:bottom w:val="nil"/>
              <w:right w:val="single" w:sz="8" w:space="0" w:color="auto"/>
            </w:tcBorders>
            <w:tcMar>
              <w:top w:w="0" w:type="dxa"/>
              <w:left w:w="70" w:type="dxa"/>
              <w:bottom w:w="0" w:type="dxa"/>
              <w:right w:w="70" w:type="dxa"/>
            </w:tcMar>
            <w:hideMark/>
          </w:tcPr>
          <w:p w14:paraId="349A958A" w14:textId="77777777" w:rsidR="008925B5" w:rsidRPr="006A755F" w:rsidRDefault="008925B5" w:rsidP="002A4D88">
            <w:pPr>
              <w:spacing w:after="0" w:line="252" w:lineRule="auto"/>
              <w:jc w:val="center"/>
            </w:pPr>
            <w:r w:rsidRPr="006A755F">
              <w:t>1</w:t>
            </w:r>
          </w:p>
        </w:tc>
        <w:tc>
          <w:tcPr>
            <w:tcW w:w="1202" w:type="dxa"/>
            <w:tcBorders>
              <w:top w:val="single" w:sz="8" w:space="0" w:color="auto"/>
              <w:left w:val="nil"/>
              <w:bottom w:val="nil"/>
              <w:right w:val="single" w:sz="8" w:space="0" w:color="auto"/>
            </w:tcBorders>
            <w:tcMar>
              <w:top w:w="0" w:type="dxa"/>
              <w:left w:w="70" w:type="dxa"/>
              <w:bottom w:w="0" w:type="dxa"/>
              <w:right w:w="70" w:type="dxa"/>
            </w:tcMar>
            <w:hideMark/>
          </w:tcPr>
          <w:p w14:paraId="29679C50" w14:textId="77777777" w:rsidR="008925B5" w:rsidRPr="006A755F" w:rsidRDefault="008925B5" w:rsidP="002A4D88">
            <w:pPr>
              <w:spacing w:after="0" w:line="252" w:lineRule="auto"/>
              <w:jc w:val="center"/>
            </w:pPr>
            <w:r w:rsidRPr="006A755F">
              <w:t>2</w:t>
            </w:r>
          </w:p>
        </w:tc>
        <w:tc>
          <w:tcPr>
            <w:tcW w:w="1251" w:type="dxa"/>
            <w:tcBorders>
              <w:top w:val="single" w:sz="8" w:space="0" w:color="auto"/>
              <w:left w:val="nil"/>
              <w:bottom w:val="nil"/>
              <w:right w:val="single" w:sz="8" w:space="0" w:color="auto"/>
            </w:tcBorders>
            <w:tcMar>
              <w:top w:w="0" w:type="dxa"/>
              <w:left w:w="70" w:type="dxa"/>
              <w:bottom w:w="0" w:type="dxa"/>
              <w:right w:w="70" w:type="dxa"/>
            </w:tcMar>
            <w:hideMark/>
          </w:tcPr>
          <w:p w14:paraId="06E45FFD" w14:textId="77777777" w:rsidR="008925B5" w:rsidRPr="006A755F" w:rsidRDefault="008925B5" w:rsidP="002A4D88">
            <w:pPr>
              <w:spacing w:after="0" w:line="252" w:lineRule="auto"/>
              <w:jc w:val="center"/>
            </w:pPr>
            <w:r w:rsidRPr="006A755F">
              <w:t>3</w:t>
            </w:r>
          </w:p>
        </w:tc>
        <w:tc>
          <w:tcPr>
            <w:tcW w:w="1134" w:type="dxa"/>
            <w:tcBorders>
              <w:top w:val="single" w:sz="8" w:space="0" w:color="auto"/>
              <w:left w:val="nil"/>
              <w:bottom w:val="nil"/>
              <w:right w:val="single" w:sz="8" w:space="0" w:color="auto"/>
            </w:tcBorders>
            <w:tcMar>
              <w:top w:w="0" w:type="dxa"/>
              <w:left w:w="70" w:type="dxa"/>
              <w:bottom w:w="0" w:type="dxa"/>
              <w:right w:w="70" w:type="dxa"/>
            </w:tcMar>
            <w:hideMark/>
          </w:tcPr>
          <w:p w14:paraId="024325DC" w14:textId="77777777" w:rsidR="008925B5" w:rsidRPr="006A755F" w:rsidRDefault="008925B5" w:rsidP="002A4D88">
            <w:pPr>
              <w:spacing w:after="0" w:line="252" w:lineRule="auto"/>
              <w:jc w:val="center"/>
            </w:pPr>
            <w:r w:rsidRPr="006A755F">
              <w:t>4</w:t>
            </w:r>
          </w:p>
        </w:tc>
        <w:tc>
          <w:tcPr>
            <w:tcW w:w="1178" w:type="dxa"/>
            <w:tcBorders>
              <w:top w:val="single" w:sz="8" w:space="0" w:color="auto"/>
              <w:left w:val="nil"/>
              <w:bottom w:val="nil"/>
              <w:right w:val="single" w:sz="8" w:space="0" w:color="auto"/>
            </w:tcBorders>
            <w:tcMar>
              <w:top w:w="0" w:type="dxa"/>
              <w:left w:w="70" w:type="dxa"/>
              <w:bottom w:w="0" w:type="dxa"/>
              <w:right w:w="70" w:type="dxa"/>
            </w:tcMar>
            <w:hideMark/>
          </w:tcPr>
          <w:p w14:paraId="65101E32" w14:textId="77777777" w:rsidR="008925B5" w:rsidRPr="006A755F" w:rsidRDefault="008925B5" w:rsidP="002A4D88">
            <w:pPr>
              <w:spacing w:after="0" w:line="252" w:lineRule="auto"/>
              <w:jc w:val="center"/>
            </w:pPr>
            <w:r w:rsidRPr="006A755F">
              <w:t>5</w:t>
            </w:r>
          </w:p>
        </w:tc>
        <w:tc>
          <w:tcPr>
            <w:tcW w:w="796" w:type="dxa"/>
            <w:tcBorders>
              <w:top w:val="single" w:sz="8" w:space="0" w:color="auto"/>
              <w:left w:val="nil"/>
              <w:bottom w:val="nil"/>
              <w:right w:val="single" w:sz="8" w:space="0" w:color="auto"/>
            </w:tcBorders>
            <w:tcMar>
              <w:top w:w="0" w:type="dxa"/>
              <w:left w:w="70" w:type="dxa"/>
              <w:bottom w:w="0" w:type="dxa"/>
              <w:right w:w="70" w:type="dxa"/>
            </w:tcMar>
            <w:hideMark/>
          </w:tcPr>
          <w:p w14:paraId="366343A0" w14:textId="77777777" w:rsidR="008925B5" w:rsidRPr="006A755F" w:rsidRDefault="008925B5" w:rsidP="002A4D88">
            <w:pPr>
              <w:spacing w:after="0" w:line="252" w:lineRule="auto"/>
              <w:jc w:val="center"/>
            </w:pPr>
            <w:r w:rsidRPr="006A755F">
              <w:t>5/1</w:t>
            </w:r>
          </w:p>
        </w:tc>
      </w:tr>
      <w:tr w:rsidR="008925B5" w:rsidRPr="006A755F" w14:paraId="45FBC5C2" w14:textId="77777777" w:rsidTr="002A4D88">
        <w:trPr>
          <w:trHeight w:val="320"/>
          <w:tblHeader/>
        </w:trPr>
        <w:tc>
          <w:tcPr>
            <w:tcW w:w="2103" w:type="dxa"/>
            <w:tcBorders>
              <w:top w:val="single" w:sz="8" w:space="0" w:color="auto"/>
              <w:left w:val="single" w:sz="8" w:space="0" w:color="auto"/>
              <w:bottom w:val="nil"/>
              <w:right w:val="single" w:sz="8" w:space="0" w:color="auto"/>
            </w:tcBorders>
            <w:shd w:val="clear" w:color="auto" w:fill="D9D9D9" w:themeFill="background1" w:themeFillShade="D9"/>
            <w:tcMar>
              <w:top w:w="0" w:type="dxa"/>
              <w:left w:w="70" w:type="dxa"/>
              <w:bottom w:w="0" w:type="dxa"/>
              <w:right w:w="70" w:type="dxa"/>
            </w:tcMar>
            <w:vAlign w:val="center"/>
          </w:tcPr>
          <w:p w14:paraId="685976C1" w14:textId="77777777" w:rsidR="008925B5" w:rsidRPr="006A755F" w:rsidRDefault="008925B5" w:rsidP="002A4D88">
            <w:pPr>
              <w:pStyle w:val="Zkladntext"/>
              <w:spacing w:after="0" w:line="252" w:lineRule="auto"/>
              <w:rPr>
                <w:b/>
                <w:bCs/>
                <w:sz w:val="20"/>
                <w:szCs w:val="20"/>
              </w:rPr>
            </w:pPr>
            <w:r w:rsidRPr="006A755F">
              <w:rPr>
                <w:b/>
                <w:bCs/>
                <w:sz w:val="20"/>
                <w:szCs w:val="20"/>
              </w:rPr>
              <w:t xml:space="preserve">Výdaje spolufinancované z rozpočtu EU </w:t>
            </w:r>
            <w:r w:rsidRPr="006A755F">
              <w:rPr>
                <w:bCs/>
                <w:sz w:val="20"/>
                <w:szCs w:val="20"/>
              </w:rPr>
              <w:t>(v tom:)</w:t>
            </w:r>
          </w:p>
        </w:tc>
        <w:tc>
          <w:tcPr>
            <w:tcW w:w="1318"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4B2DB543" w14:textId="77777777" w:rsidR="008925B5" w:rsidRPr="006A755F" w:rsidRDefault="008925B5" w:rsidP="002A4D88">
            <w:pPr>
              <w:spacing w:after="0" w:line="252" w:lineRule="auto"/>
              <w:jc w:val="right"/>
              <w:rPr>
                <w:b/>
                <w:bCs/>
                <w:sz w:val="20"/>
                <w:szCs w:val="20"/>
              </w:rPr>
            </w:pPr>
            <w:r>
              <w:rPr>
                <w:b/>
                <w:bCs/>
                <w:sz w:val="20"/>
                <w:szCs w:val="20"/>
              </w:rPr>
              <w:t>43 845 676</w:t>
            </w:r>
          </w:p>
        </w:tc>
        <w:tc>
          <w:tcPr>
            <w:tcW w:w="1202"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338F9B70" w14:textId="77777777" w:rsidR="008925B5" w:rsidRPr="008C7048" w:rsidRDefault="008925B5" w:rsidP="002A4D88">
            <w:pPr>
              <w:spacing w:after="0" w:line="252" w:lineRule="auto"/>
              <w:jc w:val="right"/>
              <w:rPr>
                <w:b/>
                <w:bCs/>
                <w:color w:val="FF0000"/>
                <w:sz w:val="20"/>
                <w:szCs w:val="20"/>
              </w:rPr>
            </w:pPr>
            <w:r w:rsidRPr="00D7639E">
              <w:rPr>
                <w:b/>
                <w:bCs/>
                <w:sz w:val="20"/>
                <w:szCs w:val="20"/>
              </w:rPr>
              <w:t>28 804 292</w:t>
            </w:r>
          </w:p>
        </w:tc>
        <w:tc>
          <w:tcPr>
            <w:tcW w:w="1251"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274AF832" w14:textId="77777777" w:rsidR="008925B5" w:rsidRPr="00892CA0" w:rsidRDefault="008925B5" w:rsidP="002A4D88">
            <w:pPr>
              <w:spacing w:after="0" w:line="252" w:lineRule="auto"/>
              <w:jc w:val="right"/>
              <w:rPr>
                <w:b/>
                <w:bCs/>
                <w:sz w:val="20"/>
                <w:szCs w:val="20"/>
              </w:rPr>
            </w:pPr>
            <w:r w:rsidRPr="00892CA0">
              <w:rPr>
                <w:b/>
                <w:bCs/>
                <w:sz w:val="20"/>
                <w:szCs w:val="20"/>
              </w:rPr>
              <w:t>28 829 985</w:t>
            </w:r>
          </w:p>
        </w:tc>
        <w:tc>
          <w:tcPr>
            <w:tcW w:w="1134"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02206E35" w14:textId="77777777" w:rsidR="008925B5" w:rsidRPr="00892CA0" w:rsidRDefault="008925B5" w:rsidP="002A4D88">
            <w:pPr>
              <w:spacing w:after="0" w:line="252" w:lineRule="auto"/>
              <w:jc w:val="right"/>
              <w:rPr>
                <w:b/>
                <w:bCs/>
                <w:sz w:val="20"/>
                <w:szCs w:val="20"/>
              </w:rPr>
            </w:pPr>
            <w:r w:rsidRPr="00892CA0">
              <w:rPr>
                <w:b/>
                <w:bCs/>
                <w:sz w:val="20"/>
                <w:szCs w:val="20"/>
              </w:rPr>
              <w:t>37 210 943</w:t>
            </w:r>
          </w:p>
        </w:tc>
        <w:tc>
          <w:tcPr>
            <w:tcW w:w="1178"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3130AB24" w14:textId="77777777" w:rsidR="008925B5" w:rsidRPr="00892CA0" w:rsidRDefault="008925B5" w:rsidP="002A4D88">
            <w:pPr>
              <w:spacing w:after="0" w:line="252" w:lineRule="auto"/>
              <w:jc w:val="right"/>
              <w:rPr>
                <w:b/>
                <w:bCs/>
                <w:sz w:val="20"/>
                <w:szCs w:val="20"/>
              </w:rPr>
            </w:pPr>
            <w:r w:rsidRPr="00892CA0">
              <w:rPr>
                <w:b/>
                <w:bCs/>
                <w:sz w:val="20"/>
                <w:szCs w:val="20"/>
              </w:rPr>
              <w:t>28 320 129</w:t>
            </w:r>
          </w:p>
        </w:tc>
        <w:tc>
          <w:tcPr>
            <w:tcW w:w="796"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33224D49" w14:textId="77777777" w:rsidR="008925B5" w:rsidRPr="00892CA0" w:rsidRDefault="008925B5" w:rsidP="002A4D88">
            <w:pPr>
              <w:spacing w:after="0" w:line="252" w:lineRule="auto"/>
              <w:jc w:val="right"/>
              <w:rPr>
                <w:b/>
                <w:bCs/>
                <w:sz w:val="20"/>
                <w:szCs w:val="20"/>
              </w:rPr>
            </w:pPr>
            <w:r w:rsidRPr="00892CA0">
              <w:rPr>
                <w:b/>
                <w:bCs/>
                <w:sz w:val="20"/>
                <w:szCs w:val="20"/>
              </w:rPr>
              <w:t>64,6</w:t>
            </w:r>
          </w:p>
        </w:tc>
      </w:tr>
      <w:tr w:rsidR="008925B5" w:rsidRPr="006A755F" w14:paraId="78CEFAD0" w14:textId="77777777" w:rsidTr="002A4D88">
        <w:trPr>
          <w:trHeight w:val="320"/>
          <w:tblHeader/>
        </w:trPr>
        <w:tc>
          <w:tcPr>
            <w:tcW w:w="2103" w:type="dxa"/>
            <w:tcBorders>
              <w:left w:val="single" w:sz="8" w:space="0" w:color="auto"/>
              <w:bottom w:val="nil"/>
              <w:right w:val="single" w:sz="8" w:space="0" w:color="auto"/>
            </w:tcBorders>
            <w:shd w:val="clear" w:color="auto" w:fill="D9D9D9" w:themeFill="background1" w:themeFillShade="D9"/>
            <w:tcMar>
              <w:top w:w="0" w:type="dxa"/>
              <w:left w:w="70" w:type="dxa"/>
              <w:bottom w:w="0" w:type="dxa"/>
              <w:right w:w="70" w:type="dxa"/>
            </w:tcMar>
            <w:vAlign w:val="center"/>
          </w:tcPr>
          <w:p w14:paraId="66DE6DF4" w14:textId="77777777" w:rsidR="008925B5" w:rsidRPr="006A755F" w:rsidRDefault="008925B5" w:rsidP="002A4D88">
            <w:pPr>
              <w:spacing w:after="0" w:line="252" w:lineRule="auto"/>
              <w:rPr>
                <w:sz w:val="20"/>
                <w:szCs w:val="20"/>
              </w:rPr>
            </w:pPr>
            <w:r w:rsidRPr="006A755F">
              <w:rPr>
                <w:sz w:val="20"/>
                <w:szCs w:val="20"/>
              </w:rPr>
              <w:tab/>
              <w:t>EU podíl</w:t>
            </w:r>
          </w:p>
        </w:tc>
        <w:tc>
          <w:tcPr>
            <w:tcW w:w="1318"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7E2D189B" w14:textId="77777777" w:rsidR="008925B5" w:rsidRPr="006A755F" w:rsidRDefault="008925B5" w:rsidP="002A4D88">
            <w:pPr>
              <w:spacing w:after="0" w:line="252" w:lineRule="auto"/>
              <w:jc w:val="right"/>
              <w:rPr>
                <w:b/>
                <w:bCs/>
                <w:sz w:val="20"/>
                <w:szCs w:val="20"/>
              </w:rPr>
            </w:pPr>
            <w:r>
              <w:rPr>
                <w:bCs/>
                <w:sz w:val="20"/>
                <w:szCs w:val="20"/>
              </w:rPr>
              <w:t>43 831 958</w:t>
            </w:r>
          </w:p>
        </w:tc>
        <w:tc>
          <w:tcPr>
            <w:tcW w:w="1202"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2315F2E3" w14:textId="77777777" w:rsidR="008925B5" w:rsidRPr="008C7048" w:rsidRDefault="008925B5" w:rsidP="002A4D88">
            <w:pPr>
              <w:spacing w:after="0" w:line="252" w:lineRule="auto"/>
              <w:jc w:val="right"/>
              <w:rPr>
                <w:bCs/>
                <w:color w:val="FF0000"/>
                <w:sz w:val="20"/>
                <w:szCs w:val="20"/>
              </w:rPr>
            </w:pPr>
            <w:r w:rsidRPr="00D45F0F">
              <w:rPr>
                <w:bCs/>
                <w:sz w:val="20"/>
                <w:szCs w:val="20"/>
              </w:rPr>
              <w:t>28 786 763</w:t>
            </w:r>
          </w:p>
        </w:tc>
        <w:tc>
          <w:tcPr>
            <w:tcW w:w="1251"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1C13BC9E" w14:textId="77777777" w:rsidR="008925B5" w:rsidRPr="00892CA0" w:rsidRDefault="008925B5" w:rsidP="002A4D88">
            <w:pPr>
              <w:spacing w:after="0" w:line="252" w:lineRule="auto"/>
              <w:jc w:val="right"/>
              <w:rPr>
                <w:bCs/>
                <w:sz w:val="20"/>
                <w:szCs w:val="20"/>
              </w:rPr>
            </w:pPr>
            <w:r w:rsidRPr="00892CA0">
              <w:rPr>
                <w:bCs/>
                <w:sz w:val="20"/>
                <w:szCs w:val="20"/>
              </w:rPr>
              <w:t>28 788 344</w:t>
            </w:r>
          </w:p>
        </w:tc>
        <w:tc>
          <w:tcPr>
            <w:tcW w:w="1134"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3C37BE2F" w14:textId="77777777" w:rsidR="008925B5" w:rsidRPr="00892CA0" w:rsidRDefault="008925B5" w:rsidP="002A4D88">
            <w:pPr>
              <w:spacing w:after="0" w:line="252" w:lineRule="auto"/>
              <w:jc w:val="right"/>
              <w:rPr>
                <w:bCs/>
                <w:sz w:val="20"/>
                <w:szCs w:val="20"/>
              </w:rPr>
            </w:pPr>
            <w:r w:rsidRPr="00892CA0">
              <w:rPr>
                <w:bCs/>
                <w:sz w:val="20"/>
                <w:szCs w:val="20"/>
              </w:rPr>
              <w:t>37 158 307</w:t>
            </w:r>
          </w:p>
        </w:tc>
        <w:tc>
          <w:tcPr>
            <w:tcW w:w="1178"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4187E12C" w14:textId="77777777" w:rsidR="008925B5" w:rsidRPr="00892CA0" w:rsidRDefault="008925B5" w:rsidP="002A4D88">
            <w:pPr>
              <w:spacing w:after="0" w:line="252" w:lineRule="auto"/>
              <w:jc w:val="right"/>
              <w:rPr>
                <w:bCs/>
                <w:sz w:val="20"/>
                <w:szCs w:val="20"/>
              </w:rPr>
            </w:pPr>
            <w:r w:rsidRPr="00892CA0">
              <w:rPr>
                <w:bCs/>
                <w:sz w:val="20"/>
                <w:szCs w:val="20"/>
              </w:rPr>
              <w:t>28 305 440</w:t>
            </w:r>
          </w:p>
        </w:tc>
        <w:tc>
          <w:tcPr>
            <w:tcW w:w="796"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14D6357F" w14:textId="77777777" w:rsidR="008925B5" w:rsidRPr="00892CA0" w:rsidRDefault="008925B5" w:rsidP="002A4D88">
            <w:pPr>
              <w:spacing w:after="0" w:line="252" w:lineRule="auto"/>
              <w:jc w:val="right"/>
              <w:rPr>
                <w:b/>
                <w:bCs/>
                <w:sz w:val="20"/>
                <w:szCs w:val="20"/>
              </w:rPr>
            </w:pPr>
            <w:r w:rsidRPr="00892CA0">
              <w:rPr>
                <w:bCs/>
                <w:sz w:val="20"/>
                <w:szCs w:val="20"/>
              </w:rPr>
              <w:t>64,6</w:t>
            </w:r>
          </w:p>
        </w:tc>
      </w:tr>
      <w:tr w:rsidR="008925B5" w:rsidRPr="006A755F" w14:paraId="10652753" w14:textId="77777777" w:rsidTr="002A4D88">
        <w:trPr>
          <w:trHeight w:val="320"/>
          <w:tblHeader/>
        </w:trPr>
        <w:tc>
          <w:tcPr>
            <w:tcW w:w="2103" w:type="dxa"/>
            <w:tcBorders>
              <w:left w:val="single" w:sz="8" w:space="0" w:color="auto"/>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3778E7D0" w14:textId="77777777" w:rsidR="008925B5" w:rsidRPr="006A755F" w:rsidRDefault="008925B5" w:rsidP="002A4D88">
            <w:pPr>
              <w:pStyle w:val="Zkladntext"/>
              <w:spacing w:after="0" w:line="252" w:lineRule="auto"/>
              <w:rPr>
                <w:b/>
                <w:bCs/>
                <w:sz w:val="20"/>
                <w:szCs w:val="20"/>
              </w:rPr>
            </w:pPr>
            <w:r w:rsidRPr="006A755F">
              <w:rPr>
                <w:sz w:val="20"/>
                <w:szCs w:val="20"/>
              </w:rPr>
              <w:tab/>
              <w:t>SR podíl</w:t>
            </w:r>
          </w:p>
        </w:tc>
        <w:tc>
          <w:tcPr>
            <w:tcW w:w="1318"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3461DFEB" w14:textId="77777777" w:rsidR="008925B5" w:rsidRPr="006A755F" w:rsidRDefault="008925B5" w:rsidP="002A4D88">
            <w:pPr>
              <w:spacing w:after="0" w:line="252" w:lineRule="auto"/>
              <w:jc w:val="right"/>
              <w:rPr>
                <w:b/>
                <w:bCs/>
                <w:sz w:val="20"/>
                <w:szCs w:val="20"/>
              </w:rPr>
            </w:pPr>
            <w:r>
              <w:rPr>
                <w:bCs/>
                <w:sz w:val="20"/>
                <w:szCs w:val="20"/>
              </w:rPr>
              <w:t>13 718</w:t>
            </w:r>
          </w:p>
        </w:tc>
        <w:tc>
          <w:tcPr>
            <w:tcW w:w="1202"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29D80D8B" w14:textId="77777777" w:rsidR="008925B5" w:rsidRPr="009A11B9" w:rsidRDefault="008925B5" w:rsidP="002A4D88">
            <w:pPr>
              <w:spacing w:after="0" w:line="252" w:lineRule="auto"/>
              <w:jc w:val="right"/>
              <w:rPr>
                <w:b/>
                <w:bCs/>
                <w:sz w:val="20"/>
                <w:szCs w:val="20"/>
              </w:rPr>
            </w:pPr>
            <w:r w:rsidRPr="009A11B9">
              <w:rPr>
                <w:bCs/>
                <w:sz w:val="20"/>
                <w:szCs w:val="20"/>
              </w:rPr>
              <w:t xml:space="preserve">17 529 </w:t>
            </w:r>
          </w:p>
        </w:tc>
        <w:tc>
          <w:tcPr>
            <w:tcW w:w="1251"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608C58CC" w14:textId="77777777" w:rsidR="008925B5" w:rsidRPr="009A11B9" w:rsidRDefault="008925B5" w:rsidP="002A4D88">
            <w:pPr>
              <w:spacing w:after="0" w:line="252" w:lineRule="auto"/>
              <w:jc w:val="right"/>
              <w:rPr>
                <w:b/>
                <w:bCs/>
                <w:sz w:val="20"/>
                <w:szCs w:val="20"/>
              </w:rPr>
            </w:pPr>
            <w:r w:rsidRPr="009A11B9">
              <w:rPr>
                <w:bCs/>
                <w:sz w:val="20"/>
                <w:szCs w:val="20"/>
              </w:rPr>
              <w:t>41 641</w:t>
            </w:r>
          </w:p>
        </w:tc>
        <w:tc>
          <w:tcPr>
            <w:tcW w:w="1134"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03377902" w14:textId="77777777" w:rsidR="008925B5" w:rsidRPr="009A11B9" w:rsidRDefault="008925B5" w:rsidP="002A4D88">
            <w:pPr>
              <w:spacing w:after="0" w:line="252" w:lineRule="auto"/>
              <w:jc w:val="right"/>
              <w:rPr>
                <w:b/>
                <w:bCs/>
                <w:sz w:val="20"/>
                <w:szCs w:val="20"/>
              </w:rPr>
            </w:pPr>
            <w:r w:rsidRPr="009A11B9">
              <w:rPr>
                <w:bCs/>
                <w:sz w:val="20"/>
                <w:szCs w:val="20"/>
              </w:rPr>
              <w:t>52 636</w:t>
            </w:r>
          </w:p>
        </w:tc>
        <w:tc>
          <w:tcPr>
            <w:tcW w:w="1178"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0229EE9D" w14:textId="77777777" w:rsidR="008925B5" w:rsidRPr="009A11B9" w:rsidRDefault="008925B5" w:rsidP="002A4D88">
            <w:pPr>
              <w:spacing w:after="0" w:line="252" w:lineRule="auto"/>
              <w:jc w:val="right"/>
              <w:rPr>
                <w:b/>
                <w:bCs/>
                <w:sz w:val="20"/>
                <w:szCs w:val="20"/>
              </w:rPr>
            </w:pPr>
            <w:r w:rsidRPr="009A11B9">
              <w:rPr>
                <w:bCs/>
                <w:sz w:val="20"/>
                <w:szCs w:val="20"/>
              </w:rPr>
              <w:t>14 689</w:t>
            </w:r>
          </w:p>
        </w:tc>
        <w:tc>
          <w:tcPr>
            <w:tcW w:w="796" w:type="dxa"/>
            <w:tcBorders>
              <w:left w:val="nil"/>
              <w:bottom w:val="nil"/>
              <w:right w:val="single" w:sz="8" w:space="0" w:color="auto"/>
            </w:tcBorders>
            <w:shd w:val="clear" w:color="auto" w:fill="D9D9D9" w:themeFill="background1" w:themeFillShade="D9"/>
            <w:tcMar>
              <w:top w:w="0" w:type="dxa"/>
              <w:left w:w="70" w:type="dxa"/>
              <w:bottom w:w="0" w:type="dxa"/>
              <w:right w:w="70" w:type="dxa"/>
            </w:tcMar>
            <w:vAlign w:val="center"/>
          </w:tcPr>
          <w:p w14:paraId="1DB3A8F3" w14:textId="77777777" w:rsidR="008925B5" w:rsidRPr="009A11B9" w:rsidRDefault="008925B5" w:rsidP="002A4D88">
            <w:pPr>
              <w:spacing w:after="0" w:line="252" w:lineRule="auto"/>
              <w:jc w:val="right"/>
              <w:rPr>
                <w:b/>
                <w:bCs/>
                <w:sz w:val="20"/>
                <w:szCs w:val="20"/>
              </w:rPr>
            </w:pPr>
            <w:r>
              <w:rPr>
                <w:bCs/>
                <w:sz w:val="20"/>
                <w:szCs w:val="20"/>
              </w:rPr>
              <w:t>107</w:t>
            </w:r>
            <w:r w:rsidRPr="009A11B9">
              <w:rPr>
                <w:bCs/>
                <w:sz w:val="20"/>
                <w:szCs w:val="20"/>
              </w:rPr>
              <w:t>,8</w:t>
            </w:r>
          </w:p>
        </w:tc>
      </w:tr>
      <w:tr w:rsidR="008925B5" w:rsidRPr="006A755F" w14:paraId="0CA175C7" w14:textId="77777777" w:rsidTr="002A4D88">
        <w:trPr>
          <w:trHeight w:val="320"/>
          <w:tblHeader/>
        </w:trPr>
        <w:tc>
          <w:tcPr>
            <w:tcW w:w="2103" w:type="dxa"/>
            <w:tcBorders>
              <w:top w:val="single" w:sz="8" w:space="0" w:color="auto"/>
              <w:left w:val="single" w:sz="8" w:space="0" w:color="auto"/>
              <w:bottom w:val="nil"/>
              <w:right w:val="single" w:sz="8" w:space="0" w:color="auto"/>
            </w:tcBorders>
            <w:tcMar>
              <w:top w:w="0" w:type="dxa"/>
              <w:left w:w="70" w:type="dxa"/>
              <w:bottom w:w="0" w:type="dxa"/>
              <w:right w:w="70" w:type="dxa"/>
            </w:tcMar>
            <w:vAlign w:val="center"/>
          </w:tcPr>
          <w:p w14:paraId="13A25E11" w14:textId="77777777" w:rsidR="008925B5" w:rsidRPr="006A755F" w:rsidRDefault="008925B5" w:rsidP="002A4D88">
            <w:pPr>
              <w:spacing w:after="0" w:line="252" w:lineRule="auto"/>
              <w:rPr>
                <w:b/>
                <w:color w:val="2F5496" w:themeColor="accent5" w:themeShade="BF"/>
                <w:sz w:val="20"/>
                <w:szCs w:val="20"/>
              </w:rPr>
            </w:pPr>
            <w:r w:rsidRPr="006A755F">
              <w:rPr>
                <w:b/>
                <w:color w:val="2F5496" w:themeColor="accent5" w:themeShade="BF"/>
                <w:sz w:val="20"/>
                <w:szCs w:val="20"/>
              </w:rPr>
              <w:t xml:space="preserve">Programové období </w:t>
            </w:r>
            <w:proofErr w:type="gramStart"/>
            <w:r w:rsidRPr="006A755F">
              <w:rPr>
                <w:b/>
                <w:color w:val="2F5496" w:themeColor="accent5" w:themeShade="BF"/>
                <w:sz w:val="20"/>
                <w:szCs w:val="20"/>
              </w:rPr>
              <w:t>2014 – 2020</w:t>
            </w:r>
            <w:proofErr w:type="gramEnd"/>
            <w:r w:rsidRPr="006A755F">
              <w:rPr>
                <w:b/>
                <w:color w:val="2F5496" w:themeColor="accent5" w:themeShade="BF"/>
                <w:sz w:val="20"/>
                <w:szCs w:val="20"/>
              </w:rPr>
              <w:t xml:space="preserve"> </w:t>
            </w:r>
            <w:r w:rsidRPr="006A755F">
              <w:rPr>
                <w:color w:val="2F5496" w:themeColor="accent5" w:themeShade="BF"/>
                <w:sz w:val="20"/>
                <w:szCs w:val="20"/>
              </w:rPr>
              <w:t>(v tom:)</w:t>
            </w:r>
          </w:p>
        </w:tc>
        <w:tc>
          <w:tcPr>
            <w:tcW w:w="1318" w:type="dxa"/>
            <w:tcBorders>
              <w:top w:val="single" w:sz="8" w:space="0" w:color="auto"/>
              <w:left w:val="nil"/>
              <w:bottom w:val="nil"/>
              <w:right w:val="single" w:sz="8" w:space="0" w:color="auto"/>
            </w:tcBorders>
            <w:tcMar>
              <w:top w:w="0" w:type="dxa"/>
              <w:left w:w="70" w:type="dxa"/>
              <w:bottom w:w="0" w:type="dxa"/>
              <w:right w:w="70" w:type="dxa"/>
            </w:tcMar>
            <w:vAlign w:val="center"/>
          </w:tcPr>
          <w:p w14:paraId="56FF6D85" w14:textId="77777777" w:rsidR="008925B5" w:rsidRPr="006A755F" w:rsidRDefault="008925B5" w:rsidP="002A4D88">
            <w:pPr>
              <w:spacing w:after="0" w:line="252" w:lineRule="auto"/>
              <w:jc w:val="right"/>
              <w:rPr>
                <w:b/>
                <w:bCs/>
                <w:color w:val="2F5496" w:themeColor="accent5" w:themeShade="BF"/>
                <w:sz w:val="20"/>
                <w:szCs w:val="20"/>
              </w:rPr>
            </w:pPr>
            <w:r>
              <w:rPr>
                <w:b/>
                <w:bCs/>
                <w:color w:val="2F5496" w:themeColor="accent5" w:themeShade="BF"/>
                <w:sz w:val="20"/>
                <w:szCs w:val="20"/>
              </w:rPr>
              <w:t>20 693 671</w:t>
            </w:r>
          </w:p>
        </w:tc>
        <w:tc>
          <w:tcPr>
            <w:tcW w:w="1202" w:type="dxa"/>
            <w:tcBorders>
              <w:top w:val="single" w:sz="8" w:space="0" w:color="auto"/>
              <w:left w:val="nil"/>
              <w:bottom w:val="nil"/>
              <w:right w:val="single" w:sz="8" w:space="0" w:color="auto"/>
            </w:tcBorders>
            <w:tcMar>
              <w:top w:w="0" w:type="dxa"/>
              <w:left w:w="70" w:type="dxa"/>
              <w:bottom w:w="0" w:type="dxa"/>
              <w:right w:w="70" w:type="dxa"/>
            </w:tcMar>
            <w:vAlign w:val="center"/>
          </w:tcPr>
          <w:p w14:paraId="20195BC3" w14:textId="77777777" w:rsidR="008925B5" w:rsidRPr="00F4243E" w:rsidRDefault="008925B5" w:rsidP="002A4D88">
            <w:pPr>
              <w:spacing w:after="0" w:line="252" w:lineRule="auto"/>
              <w:jc w:val="right"/>
              <w:rPr>
                <w:b/>
                <w:bCs/>
                <w:color w:val="2F5496" w:themeColor="accent5" w:themeShade="BF"/>
                <w:sz w:val="20"/>
                <w:szCs w:val="20"/>
              </w:rPr>
            </w:pPr>
            <w:r w:rsidRPr="00F4243E">
              <w:rPr>
                <w:b/>
                <w:bCs/>
                <w:color w:val="2F5496" w:themeColor="accent5" w:themeShade="BF"/>
                <w:sz w:val="20"/>
                <w:szCs w:val="20"/>
              </w:rPr>
              <w:t>4 580 016</w:t>
            </w:r>
          </w:p>
        </w:tc>
        <w:tc>
          <w:tcPr>
            <w:tcW w:w="1251" w:type="dxa"/>
            <w:tcBorders>
              <w:top w:val="single" w:sz="8" w:space="0" w:color="auto"/>
              <w:left w:val="nil"/>
              <w:bottom w:val="nil"/>
              <w:right w:val="single" w:sz="8" w:space="0" w:color="auto"/>
            </w:tcBorders>
            <w:tcMar>
              <w:top w:w="0" w:type="dxa"/>
              <w:left w:w="70" w:type="dxa"/>
              <w:bottom w:w="0" w:type="dxa"/>
              <w:right w:w="70" w:type="dxa"/>
            </w:tcMar>
            <w:vAlign w:val="center"/>
          </w:tcPr>
          <w:p w14:paraId="07E21685" w14:textId="77777777" w:rsidR="008925B5" w:rsidRPr="00F4243E" w:rsidRDefault="008925B5" w:rsidP="002A4D88">
            <w:pPr>
              <w:spacing w:after="0" w:line="252" w:lineRule="auto"/>
              <w:jc w:val="right"/>
              <w:rPr>
                <w:b/>
                <w:bCs/>
                <w:color w:val="2F5496" w:themeColor="accent5" w:themeShade="BF"/>
                <w:sz w:val="20"/>
                <w:szCs w:val="20"/>
              </w:rPr>
            </w:pPr>
            <w:r w:rsidRPr="00F4243E">
              <w:rPr>
                <w:b/>
                <w:bCs/>
                <w:color w:val="2F5496" w:themeColor="accent5" w:themeShade="BF"/>
                <w:sz w:val="20"/>
                <w:szCs w:val="20"/>
              </w:rPr>
              <w:t>4 580 016</w:t>
            </w:r>
          </w:p>
        </w:tc>
        <w:tc>
          <w:tcPr>
            <w:tcW w:w="1134" w:type="dxa"/>
            <w:tcBorders>
              <w:top w:val="single" w:sz="8" w:space="0" w:color="auto"/>
              <w:left w:val="nil"/>
              <w:bottom w:val="nil"/>
              <w:right w:val="single" w:sz="8" w:space="0" w:color="auto"/>
            </w:tcBorders>
            <w:tcMar>
              <w:top w:w="0" w:type="dxa"/>
              <w:left w:w="70" w:type="dxa"/>
              <w:bottom w:w="0" w:type="dxa"/>
              <w:right w:w="70" w:type="dxa"/>
            </w:tcMar>
            <w:vAlign w:val="center"/>
          </w:tcPr>
          <w:p w14:paraId="07869528" w14:textId="77777777" w:rsidR="008925B5" w:rsidRPr="00F4243E" w:rsidRDefault="008925B5" w:rsidP="002A4D88">
            <w:pPr>
              <w:spacing w:after="0" w:line="252" w:lineRule="auto"/>
              <w:jc w:val="right"/>
              <w:rPr>
                <w:b/>
                <w:bCs/>
                <w:color w:val="2F5496" w:themeColor="accent5" w:themeShade="BF"/>
                <w:sz w:val="20"/>
                <w:szCs w:val="20"/>
              </w:rPr>
            </w:pPr>
            <w:r w:rsidRPr="00F4243E">
              <w:rPr>
                <w:b/>
                <w:bCs/>
                <w:color w:val="2F5496" w:themeColor="accent5" w:themeShade="BF"/>
                <w:sz w:val="20"/>
                <w:szCs w:val="20"/>
              </w:rPr>
              <w:t>11 573 204</w:t>
            </w:r>
          </w:p>
        </w:tc>
        <w:tc>
          <w:tcPr>
            <w:tcW w:w="1178" w:type="dxa"/>
            <w:tcBorders>
              <w:top w:val="single" w:sz="8" w:space="0" w:color="auto"/>
              <w:left w:val="nil"/>
              <w:bottom w:val="nil"/>
              <w:right w:val="single" w:sz="8" w:space="0" w:color="auto"/>
            </w:tcBorders>
            <w:tcMar>
              <w:top w:w="0" w:type="dxa"/>
              <w:left w:w="70" w:type="dxa"/>
              <w:bottom w:w="0" w:type="dxa"/>
              <w:right w:w="70" w:type="dxa"/>
            </w:tcMar>
            <w:vAlign w:val="center"/>
          </w:tcPr>
          <w:p w14:paraId="5114D2C8" w14:textId="77777777" w:rsidR="008925B5" w:rsidRPr="00F4243E" w:rsidRDefault="008925B5" w:rsidP="002A4D88">
            <w:pPr>
              <w:spacing w:after="0" w:line="252" w:lineRule="auto"/>
              <w:jc w:val="right"/>
              <w:rPr>
                <w:b/>
                <w:bCs/>
                <w:color w:val="2F5496" w:themeColor="accent5" w:themeShade="BF"/>
                <w:sz w:val="20"/>
                <w:szCs w:val="20"/>
              </w:rPr>
            </w:pPr>
            <w:r w:rsidRPr="00F4243E">
              <w:rPr>
                <w:b/>
                <w:bCs/>
                <w:color w:val="2F5496" w:themeColor="accent5" w:themeShade="BF"/>
                <w:sz w:val="20"/>
                <w:szCs w:val="20"/>
              </w:rPr>
              <w:t>9 954 857</w:t>
            </w:r>
          </w:p>
        </w:tc>
        <w:tc>
          <w:tcPr>
            <w:tcW w:w="796" w:type="dxa"/>
            <w:tcBorders>
              <w:top w:val="single" w:sz="8" w:space="0" w:color="auto"/>
              <w:left w:val="nil"/>
              <w:bottom w:val="nil"/>
              <w:right w:val="single" w:sz="8" w:space="0" w:color="auto"/>
            </w:tcBorders>
            <w:tcMar>
              <w:top w:w="0" w:type="dxa"/>
              <w:left w:w="70" w:type="dxa"/>
              <w:bottom w:w="0" w:type="dxa"/>
              <w:right w:w="70" w:type="dxa"/>
            </w:tcMar>
            <w:vAlign w:val="center"/>
          </w:tcPr>
          <w:p w14:paraId="26E725CA" w14:textId="77777777" w:rsidR="008925B5" w:rsidRPr="00F4243E" w:rsidRDefault="008925B5" w:rsidP="002A4D88">
            <w:pPr>
              <w:spacing w:after="0" w:line="252" w:lineRule="auto"/>
              <w:jc w:val="right"/>
              <w:rPr>
                <w:b/>
                <w:bCs/>
                <w:color w:val="2F5496" w:themeColor="accent5" w:themeShade="BF"/>
                <w:sz w:val="20"/>
                <w:szCs w:val="20"/>
              </w:rPr>
            </w:pPr>
            <w:r w:rsidRPr="00F4243E">
              <w:rPr>
                <w:b/>
                <w:bCs/>
                <w:color w:val="2F5496" w:themeColor="accent5" w:themeShade="BF"/>
                <w:sz w:val="20"/>
                <w:szCs w:val="20"/>
              </w:rPr>
              <w:t>48,1</w:t>
            </w:r>
          </w:p>
        </w:tc>
      </w:tr>
      <w:tr w:rsidR="008925B5" w:rsidRPr="006A755F" w14:paraId="240EB1A4" w14:textId="77777777" w:rsidTr="002A4D88">
        <w:trPr>
          <w:trHeight w:val="320"/>
          <w:tblHeader/>
        </w:trPr>
        <w:tc>
          <w:tcPr>
            <w:tcW w:w="2103" w:type="dxa"/>
            <w:tcBorders>
              <w:left w:val="single" w:sz="8" w:space="0" w:color="auto"/>
              <w:bottom w:val="nil"/>
              <w:right w:val="single" w:sz="8" w:space="0" w:color="auto"/>
            </w:tcBorders>
            <w:tcMar>
              <w:top w:w="0" w:type="dxa"/>
              <w:left w:w="70" w:type="dxa"/>
              <w:bottom w:w="0" w:type="dxa"/>
              <w:right w:w="70" w:type="dxa"/>
            </w:tcMar>
            <w:vAlign w:val="center"/>
          </w:tcPr>
          <w:p w14:paraId="292FFA08" w14:textId="77777777" w:rsidR="008925B5" w:rsidRPr="006A755F" w:rsidRDefault="008925B5" w:rsidP="002A4D88">
            <w:pPr>
              <w:spacing w:after="0" w:line="252" w:lineRule="auto"/>
              <w:rPr>
                <w:sz w:val="20"/>
                <w:szCs w:val="20"/>
              </w:rPr>
            </w:pPr>
            <w:r w:rsidRPr="006A755F">
              <w:rPr>
                <w:sz w:val="20"/>
                <w:szCs w:val="20"/>
              </w:rPr>
              <w:tab/>
              <w:t>EU podíl</w:t>
            </w:r>
          </w:p>
        </w:tc>
        <w:tc>
          <w:tcPr>
            <w:tcW w:w="1318" w:type="dxa"/>
            <w:tcBorders>
              <w:left w:val="nil"/>
              <w:bottom w:val="nil"/>
              <w:right w:val="single" w:sz="8" w:space="0" w:color="auto"/>
            </w:tcBorders>
            <w:tcMar>
              <w:top w:w="0" w:type="dxa"/>
              <w:left w:w="70" w:type="dxa"/>
              <w:bottom w:w="0" w:type="dxa"/>
              <w:right w:w="70" w:type="dxa"/>
            </w:tcMar>
            <w:vAlign w:val="center"/>
          </w:tcPr>
          <w:p w14:paraId="3097DB3A" w14:textId="77777777" w:rsidR="008925B5" w:rsidRPr="006A755F" w:rsidRDefault="008925B5" w:rsidP="002A4D88">
            <w:pPr>
              <w:spacing w:after="0" w:line="252" w:lineRule="auto"/>
              <w:jc w:val="right"/>
              <w:rPr>
                <w:bCs/>
                <w:sz w:val="20"/>
                <w:szCs w:val="20"/>
              </w:rPr>
            </w:pPr>
            <w:r>
              <w:rPr>
                <w:bCs/>
                <w:sz w:val="20"/>
                <w:szCs w:val="20"/>
              </w:rPr>
              <w:t>20 679 953</w:t>
            </w:r>
          </w:p>
        </w:tc>
        <w:tc>
          <w:tcPr>
            <w:tcW w:w="1202" w:type="dxa"/>
            <w:tcBorders>
              <w:left w:val="nil"/>
              <w:bottom w:val="nil"/>
              <w:right w:val="single" w:sz="8" w:space="0" w:color="auto"/>
            </w:tcBorders>
            <w:tcMar>
              <w:top w:w="0" w:type="dxa"/>
              <w:left w:w="70" w:type="dxa"/>
              <w:bottom w:w="0" w:type="dxa"/>
              <w:right w:w="70" w:type="dxa"/>
            </w:tcMar>
            <w:vAlign w:val="center"/>
          </w:tcPr>
          <w:p w14:paraId="4CC1FD23" w14:textId="77777777" w:rsidR="008925B5" w:rsidRPr="00B65CF2" w:rsidRDefault="008925B5" w:rsidP="002A4D88">
            <w:pPr>
              <w:spacing w:after="0" w:line="252" w:lineRule="auto"/>
              <w:jc w:val="right"/>
              <w:rPr>
                <w:bCs/>
                <w:sz w:val="20"/>
                <w:szCs w:val="20"/>
              </w:rPr>
            </w:pPr>
            <w:r w:rsidRPr="00B65CF2">
              <w:rPr>
                <w:bCs/>
                <w:sz w:val="20"/>
                <w:szCs w:val="20"/>
              </w:rPr>
              <w:t xml:space="preserve">4 574 157 </w:t>
            </w:r>
          </w:p>
        </w:tc>
        <w:tc>
          <w:tcPr>
            <w:tcW w:w="1251" w:type="dxa"/>
            <w:tcBorders>
              <w:left w:val="nil"/>
              <w:bottom w:val="nil"/>
              <w:right w:val="single" w:sz="8" w:space="0" w:color="auto"/>
            </w:tcBorders>
            <w:tcMar>
              <w:top w:w="0" w:type="dxa"/>
              <w:left w:w="70" w:type="dxa"/>
              <w:bottom w:w="0" w:type="dxa"/>
              <w:right w:w="70" w:type="dxa"/>
            </w:tcMar>
            <w:vAlign w:val="center"/>
          </w:tcPr>
          <w:p w14:paraId="491902FA" w14:textId="77777777" w:rsidR="008925B5" w:rsidRPr="00B65CF2" w:rsidRDefault="008925B5" w:rsidP="002A4D88">
            <w:pPr>
              <w:spacing w:after="0" w:line="252" w:lineRule="auto"/>
              <w:jc w:val="right"/>
              <w:rPr>
                <w:bCs/>
                <w:sz w:val="20"/>
                <w:szCs w:val="20"/>
              </w:rPr>
            </w:pPr>
            <w:r w:rsidRPr="00B65CF2">
              <w:rPr>
                <w:bCs/>
                <w:sz w:val="20"/>
                <w:szCs w:val="20"/>
              </w:rPr>
              <w:t>4 574 157</w:t>
            </w:r>
          </w:p>
        </w:tc>
        <w:tc>
          <w:tcPr>
            <w:tcW w:w="1134" w:type="dxa"/>
            <w:tcBorders>
              <w:left w:val="nil"/>
              <w:bottom w:val="nil"/>
              <w:right w:val="single" w:sz="8" w:space="0" w:color="auto"/>
            </w:tcBorders>
            <w:tcMar>
              <w:top w:w="0" w:type="dxa"/>
              <w:left w:w="70" w:type="dxa"/>
              <w:bottom w:w="0" w:type="dxa"/>
              <w:right w:w="70" w:type="dxa"/>
            </w:tcMar>
            <w:vAlign w:val="center"/>
          </w:tcPr>
          <w:p w14:paraId="5F9413CD" w14:textId="77777777" w:rsidR="008925B5" w:rsidRPr="00B65CF2" w:rsidRDefault="008925B5" w:rsidP="002A4D88">
            <w:pPr>
              <w:spacing w:after="0" w:line="252" w:lineRule="auto"/>
              <w:jc w:val="right"/>
              <w:rPr>
                <w:bCs/>
                <w:sz w:val="20"/>
                <w:szCs w:val="20"/>
              </w:rPr>
            </w:pPr>
            <w:r w:rsidRPr="00B65CF2">
              <w:rPr>
                <w:bCs/>
                <w:sz w:val="20"/>
                <w:szCs w:val="20"/>
              </w:rPr>
              <w:t>11 556 350</w:t>
            </w:r>
          </w:p>
        </w:tc>
        <w:tc>
          <w:tcPr>
            <w:tcW w:w="1178" w:type="dxa"/>
            <w:tcBorders>
              <w:left w:val="nil"/>
              <w:bottom w:val="nil"/>
              <w:right w:val="single" w:sz="8" w:space="0" w:color="auto"/>
            </w:tcBorders>
            <w:tcMar>
              <w:top w:w="0" w:type="dxa"/>
              <w:left w:w="70" w:type="dxa"/>
              <w:bottom w:w="0" w:type="dxa"/>
              <w:right w:w="70" w:type="dxa"/>
            </w:tcMar>
            <w:vAlign w:val="center"/>
          </w:tcPr>
          <w:p w14:paraId="4EC8774A" w14:textId="77777777" w:rsidR="008925B5" w:rsidRPr="00B65CF2" w:rsidRDefault="008925B5" w:rsidP="002A4D88">
            <w:pPr>
              <w:spacing w:after="0" w:line="252" w:lineRule="auto"/>
              <w:jc w:val="right"/>
              <w:rPr>
                <w:bCs/>
                <w:sz w:val="20"/>
                <w:szCs w:val="20"/>
              </w:rPr>
            </w:pPr>
            <w:r w:rsidRPr="00B65CF2">
              <w:rPr>
                <w:bCs/>
                <w:sz w:val="20"/>
                <w:szCs w:val="20"/>
              </w:rPr>
              <w:t>9 948 265</w:t>
            </w:r>
          </w:p>
        </w:tc>
        <w:tc>
          <w:tcPr>
            <w:tcW w:w="796" w:type="dxa"/>
            <w:tcBorders>
              <w:left w:val="nil"/>
              <w:bottom w:val="nil"/>
              <w:right w:val="single" w:sz="8" w:space="0" w:color="auto"/>
            </w:tcBorders>
            <w:tcMar>
              <w:top w:w="0" w:type="dxa"/>
              <w:left w:w="70" w:type="dxa"/>
              <w:bottom w:w="0" w:type="dxa"/>
              <w:right w:w="70" w:type="dxa"/>
            </w:tcMar>
            <w:vAlign w:val="center"/>
          </w:tcPr>
          <w:p w14:paraId="7B952739" w14:textId="77777777" w:rsidR="008925B5" w:rsidRPr="00B65CF2" w:rsidRDefault="008925B5" w:rsidP="002A4D88">
            <w:pPr>
              <w:spacing w:after="0" w:line="252" w:lineRule="auto"/>
              <w:jc w:val="right"/>
              <w:rPr>
                <w:bCs/>
                <w:sz w:val="20"/>
                <w:szCs w:val="20"/>
              </w:rPr>
            </w:pPr>
            <w:r w:rsidRPr="00B65CF2">
              <w:rPr>
                <w:bCs/>
                <w:sz w:val="20"/>
                <w:szCs w:val="20"/>
              </w:rPr>
              <w:t>48,1</w:t>
            </w:r>
          </w:p>
        </w:tc>
      </w:tr>
      <w:tr w:rsidR="008925B5" w:rsidRPr="006A755F" w14:paraId="2338F368" w14:textId="77777777" w:rsidTr="002A4D88">
        <w:trPr>
          <w:trHeight w:val="320"/>
          <w:tblHeader/>
        </w:trPr>
        <w:tc>
          <w:tcPr>
            <w:tcW w:w="2103" w:type="dxa"/>
            <w:tcBorders>
              <w:left w:val="single" w:sz="8" w:space="0" w:color="auto"/>
              <w:bottom w:val="nil"/>
              <w:right w:val="single" w:sz="8" w:space="0" w:color="auto"/>
            </w:tcBorders>
            <w:tcMar>
              <w:top w:w="0" w:type="dxa"/>
              <w:left w:w="70" w:type="dxa"/>
              <w:bottom w:w="0" w:type="dxa"/>
              <w:right w:w="70" w:type="dxa"/>
            </w:tcMar>
            <w:vAlign w:val="center"/>
          </w:tcPr>
          <w:p w14:paraId="62C1A4D6" w14:textId="77777777" w:rsidR="008925B5" w:rsidRPr="006A755F" w:rsidRDefault="008925B5" w:rsidP="002A4D88">
            <w:pPr>
              <w:spacing w:after="0" w:line="252" w:lineRule="auto"/>
              <w:rPr>
                <w:sz w:val="20"/>
                <w:szCs w:val="20"/>
              </w:rPr>
            </w:pPr>
            <w:r w:rsidRPr="006A755F">
              <w:rPr>
                <w:b/>
                <w:sz w:val="20"/>
                <w:szCs w:val="20"/>
              </w:rPr>
              <w:tab/>
            </w:r>
            <w:r w:rsidRPr="006A755F">
              <w:rPr>
                <w:sz w:val="20"/>
                <w:szCs w:val="20"/>
              </w:rPr>
              <w:t>SR podíl</w:t>
            </w:r>
          </w:p>
        </w:tc>
        <w:tc>
          <w:tcPr>
            <w:tcW w:w="1318" w:type="dxa"/>
            <w:tcBorders>
              <w:left w:val="nil"/>
              <w:bottom w:val="nil"/>
              <w:right w:val="single" w:sz="8" w:space="0" w:color="auto"/>
            </w:tcBorders>
            <w:tcMar>
              <w:top w:w="0" w:type="dxa"/>
              <w:left w:w="70" w:type="dxa"/>
              <w:bottom w:w="0" w:type="dxa"/>
              <w:right w:w="70" w:type="dxa"/>
            </w:tcMar>
            <w:vAlign w:val="center"/>
          </w:tcPr>
          <w:p w14:paraId="39DD91CA" w14:textId="77777777" w:rsidR="008925B5" w:rsidRPr="00B01E20" w:rsidRDefault="008925B5" w:rsidP="002A4D88">
            <w:pPr>
              <w:spacing w:after="0" w:line="252" w:lineRule="auto"/>
              <w:jc w:val="right"/>
              <w:rPr>
                <w:bCs/>
                <w:sz w:val="20"/>
                <w:szCs w:val="20"/>
              </w:rPr>
            </w:pPr>
            <w:r w:rsidRPr="00B01E20">
              <w:rPr>
                <w:bCs/>
                <w:sz w:val="20"/>
                <w:szCs w:val="20"/>
              </w:rPr>
              <w:t>13 718</w:t>
            </w:r>
          </w:p>
        </w:tc>
        <w:tc>
          <w:tcPr>
            <w:tcW w:w="1202" w:type="dxa"/>
            <w:tcBorders>
              <w:left w:val="nil"/>
              <w:bottom w:val="nil"/>
              <w:right w:val="single" w:sz="8" w:space="0" w:color="auto"/>
            </w:tcBorders>
            <w:tcMar>
              <w:top w:w="0" w:type="dxa"/>
              <w:left w:w="70" w:type="dxa"/>
              <w:bottom w:w="0" w:type="dxa"/>
              <w:right w:w="70" w:type="dxa"/>
            </w:tcMar>
            <w:vAlign w:val="center"/>
          </w:tcPr>
          <w:p w14:paraId="042EC961" w14:textId="77777777" w:rsidR="008925B5" w:rsidRPr="00B01E20" w:rsidRDefault="008925B5" w:rsidP="002A4D88">
            <w:pPr>
              <w:spacing w:after="0" w:line="252" w:lineRule="auto"/>
              <w:jc w:val="right"/>
              <w:rPr>
                <w:bCs/>
                <w:sz w:val="20"/>
                <w:szCs w:val="20"/>
              </w:rPr>
            </w:pPr>
            <w:r w:rsidRPr="00B01E20">
              <w:rPr>
                <w:bCs/>
                <w:sz w:val="20"/>
                <w:szCs w:val="20"/>
              </w:rPr>
              <w:t>5 859</w:t>
            </w:r>
          </w:p>
        </w:tc>
        <w:tc>
          <w:tcPr>
            <w:tcW w:w="1251" w:type="dxa"/>
            <w:tcBorders>
              <w:left w:val="nil"/>
              <w:bottom w:val="nil"/>
              <w:right w:val="single" w:sz="8" w:space="0" w:color="auto"/>
            </w:tcBorders>
            <w:tcMar>
              <w:top w:w="0" w:type="dxa"/>
              <w:left w:w="70" w:type="dxa"/>
              <w:bottom w:w="0" w:type="dxa"/>
              <w:right w:w="70" w:type="dxa"/>
            </w:tcMar>
            <w:vAlign w:val="center"/>
          </w:tcPr>
          <w:p w14:paraId="11F03D4C" w14:textId="77777777" w:rsidR="008925B5" w:rsidRPr="00B01E20" w:rsidRDefault="008925B5" w:rsidP="002A4D88">
            <w:pPr>
              <w:spacing w:after="0" w:line="252" w:lineRule="auto"/>
              <w:jc w:val="right"/>
              <w:rPr>
                <w:bCs/>
                <w:sz w:val="20"/>
                <w:szCs w:val="20"/>
              </w:rPr>
            </w:pPr>
            <w:r w:rsidRPr="00B01E20">
              <w:rPr>
                <w:bCs/>
                <w:sz w:val="20"/>
                <w:szCs w:val="20"/>
              </w:rPr>
              <w:t>5 859</w:t>
            </w:r>
          </w:p>
        </w:tc>
        <w:tc>
          <w:tcPr>
            <w:tcW w:w="1134" w:type="dxa"/>
            <w:tcBorders>
              <w:left w:val="nil"/>
              <w:bottom w:val="nil"/>
              <w:right w:val="single" w:sz="8" w:space="0" w:color="auto"/>
            </w:tcBorders>
            <w:tcMar>
              <w:top w:w="0" w:type="dxa"/>
              <w:left w:w="70" w:type="dxa"/>
              <w:bottom w:w="0" w:type="dxa"/>
              <w:right w:w="70" w:type="dxa"/>
            </w:tcMar>
            <w:vAlign w:val="center"/>
          </w:tcPr>
          <w:p w14:paraId="486C42C8" w14:textId="77777777" w:rsidR="008925B5" w:rsidRPr="00B01E20" w:rsidRDefault="008925B5" w:rsidP="002A4D88">
            <w:pPr>
              <w:spacing w:after="0" w:line="252" w:lineRule="auto"/>
              <w:jc w:val="right"/>
              <w:rPr>
                <w:bCs/>
                <w:sz w:val="20"/>
                <w:szCs w:val="20"/>
              </w:rPr>
            </w:pPr>
            <w:r w:rsidRPr="00B01E20">
              <w:rPr>
                <w:bCs/>
                <w:sz w:val="20"/>
                <w:szCs w:val="20"/>
              </w:rPr>
              <w:t>16 854</w:t>
            </w:r>
          </w:p>
        </w:tc>
        <w:tc>
          <w:tcPr>
            <w:tcW w:w="1178" w:type="dxa"/>
            <w:tcBorders>
              <w:left w:val="nil"/>
              <w:bottom w:val="nil"/>
              <w:right w:val="single" w:sz="8" w:space="0" w:color="auto"/>
            </w:tcBorders>
            <w:tcMar>
              <w:top w:w="0" w:type="dxa"/>
              <w:left w:w="70" w:type="dxa"/>
              <w:bottom w:w="0" w:type="dxa"/>
              <w:right w:w="70" w:type="dxa"/>
            </w:tcMar>
            <w:vAlign w:val="center"/>
          </w:tcPr>
          <w:p w14:paraId="7C4AD901" w14:textId="77777777" w:rsidR="008925B5" w:rsidRPr="00B01E20" w:rsidRDefault="008925B5" w:rsidP="002A4D88">
            <w:pPr>
              <w:spacing w:after="0" w:line="252" w:lineRule="auto"/>
              <w:jc w:val="right"/>
              <w:rPr>
                <w:bCs/>
                <w:sz w:val="20"/>
                <w:szCs w:val="20"/>
              </w:rPr>
            </w:pPr>
            <w:r w:rsidRPr="00B01E20">
              <w:rPr>
                <w:bCs/>
                <w:sz w:val="20"/>
                <w:szCs w:val="20"/>
              </w:rPr>
              <w:t>6 592</w:t>
            </w:r>
          </w:p>
        </w:tc>
        <w:tc>
          <w:tcPr>
            <w:tcW w:w="796" w:type="dxa"/>
            <w:tcBorders>
              <w:left w:val="nil"/>
              <w:bottom w:val="nil"/>
              <w:right w:val="single" w:sz="8" w:space="0" w:color="auto"/>
            </w:tcBorders>
            <w:tcMar>
              <w:top w:w="0" w:type="dxa"/>
              <w:left w:w="70" w:type="dxa"/>
              <w:bottom w:w="0" w:type="dxa"/>
              <w:right w:w="70" w:type="dxa"/>
            </w:tcMar>
            <w:vAlign w:val="center"/>
          </w:tcPr>
          <w:p w14:paraId="5E740036" w14:textId="77777777" w:rsidR="008925B5" w:rsidRPr="00B01E20" w:rsidRDefault="008925B5" w:rsidP="002A4D88">
            <w:pPr>
              <w:spacing w:after="0" w:line="252" w:lineRule="auto"/>
              <w:jc w:val="right"/>
              <w:rPr>
                <w:bCs/>
                <w:sz w:val="20"/>
                <w:szCs w:val="20"/>
              </w:rPr>
            </w:pPr>
            <w:r w:rsidRPr="00B01E20">
              <w:rPr>
                <w:bCs/>
                <w:sz w:val="20"/>
                <w:szCs w:val="20"/>
              </w:rPr>
              <w:t>48,1</w:t>
            </w:r>
          </w:p>
        </w:tc>
      </w:tr>
      <w:tr w:rsidR="008925B5" w:rsidRPr="006A755F" w14:paraId="36B48D9F" w14:textId="77777777" w:rsidTr="002A4D88">
        <w:trPr>
          <w:trHeight w:val="320"/>
          <w:tblHeader/>
        </w:trPr>
        <w:tc>
          <w:tcPr>
            <w:tcW w:w="2103" w:type="dxa"/>
            <w:tcBorders>
              <w:top w:val="single" w:sz="8" w:space="0" w:color="auto"/>
              <w:left w:val="single" w:sz="8" w:space="0" w:color="auto"/>
              <w:bottom w:val="nil"/>
              <w:right w:val="single" w:sz="8" w:space="0" w:color="auto"/>
            </w:tcBorders>
            <w:tcMar>
              <w:top w:w="0" w:type="dxa"/>
              <w:left w:w="70" w:type="dxa"/>
              <w:bottom w:w="0" w:type="dxa"/>
              <w:right w:w="70" w:type="dxa"/>
            </w:tcMar>
            <w:vAlign w:val="center"/>
          </w:tcPr>
          <w:p w14:paraId="5ADEA3D0" w14:textId="77777777" w:rsidR="008925B5" w:rsidRPr="006A755F" w:rsidRDefault="008925B5" w:rsidP="002A4D88">
            <w:pPr>
              <w:spacing w:after="0" w:line="252" w:lineRule="auto"/>
              <w:rPr>
                <w:color w:val="2F5496" w:themeColor="accent5" w:themeShade="BF"/>
                <w:sz w:val="20"/>
                <w:szCs w:val="20"/>
              </w:rPr>
            </w:pPr>
            <w:r w:rsidRPr="006A755F">
              <w:rPr>
                <w:b/>
                <w:color w:val="2F5496" w:themeColor="accent5" w:themeShade="BF"/>
                <w:sz w:val="20"/>
                <w:szCs w:val="20"/>
              </w:rPr>
              <w:t xml:space="preserve">Programové období </w:t>
            </w:r>
            <w:proofErr w:type="gramStart"/>
            <w:r w:rsidRPr="006A755F">
              <w:rPr>
                <w:b/>
                <w:color w:val="2F5496" w:themeColor="accent5" w:themeShade="BF"/>
                <w:sz w:val="20"/>
                <w:szCs w:val="20"/>
              </w:rPr>
              <w:t>2021 – 2027</w:t>
            </w:r>
            <w:proofErr w:type="gramEnd"/>
            <w:r w:rsidRPr="006A755F">
              <w:rPr>
                <w:b/>
                <w:color w:val="2F5496" w:themeColor="accent5" w:themeShade="BF"/>
                <w:sz w:val="20"/>
                <w:szCs w:val="20"/>
              </w:rPr>
              <w:t xml:space="preserve"> </w:t>
            </w:r>
            <w:r w:rsidRPr="006A755F">
              <w:rPr>
                <w:color w:val="2F5496" w:themeColor="accent5" w:themeShade="BF"/>
                <w:sz w:val="20"/>
                <w:szCs w:val="20"/>
              </w:rPr>
              <w:t>(v tom:)</w:t>
            </w:r>
          </w:p>
        </w:tc>
        <w:tc>
          <w:tcPr>
            <w:tcW w:w="1318" w:type="dxa"/>
            <w:tcBorders>
              <w:top w:val="single" w:sz="8" w:space="0" w:color="auto"/>
              <w:left w:val="nil"/>
              <w:bottom w:val="nil"/>
              <w:right w:val="single" w:sz="8" w:space="0" w:color="auto"/>
            </w:tcBorders>
            <w:tcMar>
              <w:top w:w="0" w:type="dxa"/>
              <w:left w:w="70" w:type="dxa"/>
              <w:bottom w:w="0" w:type="dxa"/>
              <w:right w:w="70" w:type="dxa"/>
            </w:tcMar>
            <w:vAlign w:val="center"/>
          </w:tcPr>
          <w:p w14:paraId="2A3F43E5" w14:textId="77777777" w:rsidR="008925B5" w:rsidRPr="006A755F" w:rsidRDefault="008925B5" w:rsidP="002A4D88">
            <w:pPr>
              <w:spacing w:after="0" w:line="252" w:lineRule="auto"/>
              <w:jc w:val="right"/>
              <w:rPr>
                <w:b/>
                <w:bCs/>
                <w:color w:val="2F5496" w:themeColor="accent5" w:themeShade="BF"/>
                <w:sz w:val="20"/>
                <w:szCs w:val="20"/>
              </w:rPr>
            </w:pPr>
            <w:r>
              <w:rPr>
                <w:b/>
                <w:bCs/>
                <w:color w:val="2F5496" w:themeColor="accent5" w:themeShade="BF"/>
                <w:sz w:val="20"/>
                <w:szCs w:val="20"/>
              </w:rPr>
              <w:t>13 383 162</w:t>
            </w:r>
          </w:p>
        </w:tc>
        <w:tc>
          <w:tcPr>
            <w:tcW w:w="1202" w:type="dxa"/>
            <w:tcBorders>
              <w:top w:val="single" w:sz="8" w:space="0" w:color="auto"/>
              <w:left w:val="nil"/>
              <w:bottom w:val="nil"/>
              <w:right w:val="single" w:sz="8" w:space="0" w:color="auto"/>
            </w:tcBorders>
            <w:tcMar>
              <w:top w:w="0" w:type="dxa"/>
              <w:left w:w="70" w:type="dxa"/>
              <w:bottom w:w="0" w:type="dxa"/>
              <w:right w:w="70" w:type="dxa"/>
            </w:tcMar>
            <w:vAlign w:val="center"/>
          </w:tcPr>
          <w:p w14:paraId="581C8028" w14:textId="77777777" w:rsidR="008925B5" w:rsidRPr="00372F11" w:rsidRDefault="008925B5" w:rsidP="002A4D88">
            <w:pPr>
              <w:spacing w:after="0" w:line="252" w:lineRule="auto"/>
              <w:jc w:val="right"/>
              <w:rPr>
                <w:b/>
                <w:bCs/>
                <w:color w:val="2F5496" w:themeColor="accent5" w:themeShade="BF"/>
                <w:sz w:val="20"/>
                <w:szCs w:val="20"/>
              </w:rPr>
            </w:pPr>
            <w:r w:rsidRPr="00372F11">
              <w:rPr>
                <w:b/>
                <w:bCs/>
                <w:color w:val="2F5496" w:themeColor="accent5" w:themeShade="BF"/>
                <w:sz w:val="20"/>
                <w:szCs w:val="20"/>
              </w:rPr>
              <w:t>20 688 700</w:t>
            </w:r>
          </w:p>
        </w:tc>
        <w:tc>
          <w:tcPr>
            <w:tcW w:w="1251" w:type="dxa"/>
            <w:tcBorders>
              <w:top w:val="single" w:sz="8" w:space="0" w:color="auto"/>
              <w:left w:val="nil"/>
              <w:bottom w:val="nil"/>
              <w:right w:val="single" w:sz="8" w:space="0" w:color="auto"/>
            </w:tcBorders>
            <w:tcMar>
              <w:top w:w="0" w:type="dxa"/>
              <w:left w:w="70" w:type="dxa"/>
              <w:bottom w:w="0" w:type="dxa"/>
              <w:right w:w="70" w:type="dxa"/>
            </w:tcMar>
            <w:vAlign w:val="center"/>
          </w:tcPr>
          <w:p w14:paraId="586D61CF" w14:textId="77777777" w:rsidR="008925B5" w:rsidRPr="00372F11" w:rsidRDefault="008925B5" w:rsidP="002A4D88">
            <w:pPr>
              <w:spacing w:after="0" w:line="252" w:lineRule="auto"/>
              <w:jc w:val="right"/>
              <w:rPr>
                <w:b/>
                <w:bCs/>
                <w:color w:val="2F5496" w:themeColor="accent5" w:themeShade="BF"/>
                <w:sz w:val="20"/>
                <w:szCs w:val="20"/>
              </w:rPr>
            </w:pPr>
            <w:r w:rsidRPr="00372F11">
              <w:rPr>
                <w:b/>
                <w:bCs/>
                <w:color w:val="2F5496" w:themeColor="accent5" w:themeShade="BF"/>
                <w:sz w:val="20"/>
                <w:szCs w:val="20"/>
              </w:rPr>
              <w:t>20 688 700</w:t>
            </w:r>
          </w:p>
        </w:tc>
        <w:tc>
          <w:tcPr>
            <w:tcW w:w="1134" w:type="dxa"/>
            <w:tcBorders>
              <w:top w:val="single" w:sz="8" w:space="0" w:color="auto"/>
              <w:left w:val="nil"/>
              <w:bottom w:val="nil"/>
              <w:right w:val="single" w:sz="8" w:space="0" w:color="auto"/>
            </w:tcBorders>
            <w:tcMar>
              <w:top w:w="0" w:type="dxa"/>
              <w:left w:w="70" w:type="dxa"/>
              <w:bottom w:w="0" w:type="dxa"/>
              <w:right w:w="70" w:type="dxa"/>
            </w:tcMar>
            <w:vAlign w:val="center"/>
          </w:tcPr>
          <w:p w14:paraId="774E35E3" w14:textId="77777777" w:rsidR="008925B5" w:rsidRPr="00372F11" w:rsidRDefault="008925B5" w:rsidP="002A4D88">
            <w:pPr>
              <w:spacing w:after="0" w:line="252" w:lineRule="auto"/>
              <w:jc w:val="right"/>
              <w:rPr>
                <w:b/>
                <w:bCs/>
                <w:color w:val="2F5496" w:themeColor="accent5" w:themeShade="BF"/>
                <w:sz w:val="20"/>
                <w:szCs w:val="20"/>
              </w:rPr>
            </w:pPr>
            <w:r w:rsidRPr="00372F11">
              <w:rPr>
                <w:b/>
                <w:bCs/>
                <w:color w:val="2F5496" w:themeColor="accent5" w:themeShade="BF"/>
                <w:sz w:val="20"/>
                <w:szCs w:val="20"/>
              </w:rPr>
              <w:t>20 688 855</w:t>
            </w:r>
          </w:p>
        </w:tc>
        <w:tc>
          <w:tcPr>
            <w:tcW w:w="1178" w:type="dxa"/>
            <w:tcBorders>
              <w:top w:val="single" w:sz="8" w:space="0" w:color="auto"/>
              <w:left w:val="nil"/>
              <w:bottom w:val="nil"/>
              <w:right w:val="single" w:sz="8" w:space="0" w:color="auto"/>
            </w:tcBorders>
            <w:tcMar>
              <w:top w:w="0" w:type="dxa"/>
              <w:left w:w="70" w:type="dxa"/>
              <w:bottom w:w="0" w:type="dxa"/>
              <w:right w:w="70" w:type="dxa"/>
            </w:tcMar>
            <w:vAlign w:val="center"/>
          </w:tcPr>
          <w:p w14:paraId="0E7630B1" w14:textId="77777777" w:rsidR="008925B5" w:rsidRPr="00372F11" w:rsidRDefault="008925B5" w:rsidP="002A4D88">
            <w:pPr>
              <w:spacing w:after="0" w:line="252" w:lineRule="auto"/>
              <w:jc w:val="right"/>
              <w:rPr>
                <w:b/>
                <w:bCs/>
                <w:color w:val="2F5496" w:themeColor="accent5" w:themeShade="BF"/>
                <w:sz w:val="20"/>
                <w:szCs w:val="20"/>
              </w:rPr>
            </w:pPr>
            <w:r w:rsidRPr="00372F11">
              <w:rPr>
                <w:b/>
                <w:bCs/>
                <w:color w:val="2F5496" w:themeColor="accent5" w:themeShade="BF"/>
                <w:sz w:val="20"/>
                <w:szCs w:val="20"/>
              </w:rPr>
              <w:t>14 194 325</w:t>
            </w:r>
          </w:p>
        </w:tc>
        <w:tc>
          <w:tcPr>
            <w:tcW w:w="796" w:type="dxa"/>
            <w:tcBorders>
              <w:top w:val="single" w:sz="8" w:space="0" w:color="auto"/>
              <w:left w:val="nil"/>
              <w:bottom w:val="nil"/>
              <w:right w:val="single" w:sz="8" w:space="0" w:color="auto"/>
            </w:tcBorders>
            <w:tcMar>
              <w:top w:w="0" w:type="dxa"/>
              <w:left w:w="70" w:type="dxa"/>
              <w:bottom w:w="0" w:type="dxa"/>
              <w:right w:w="70" w:type="dxa"/>
            </w:tcMar>
            <w:vAlign w:val="center"/>
          </w:tcPr>
          <w:p w14:paraId="6736A714" w14:textId="77777777" w:rsidR="008925B5" w:rsidRPr="00372F11" w:rsidRDefault="008925B5" w:rsidP="002A4D88">
            <w:pPr>
              <w:spacing w:after="0" w:line="252" w:lineRule="auto"/>
              <w:jc w:val="right"/>
              <w:rPr>
                <w:b/>
                <w:bCs/>
                <w:color w:val="2F5496" w:themeColor="accent5" w:themeShade="BF"/>
                <w:sz w:val="20"/>
                <w:szCs w:val="20"/>
              </w:rPr>
            </w:pPr>
            <w:r w:rsidRPr="00372F11">
              <w:rPr>
                <w:b/>
                <w:bCs/>
                <w:color w:val="2F5496" w:themeColor="accent5" w:themeShade="BF"/>
                <w:sz w:val="20"/>
                <w:szCs w:val="20"/>
              </w:rPr>
              <w:t>106,1</w:t>
            </w:r>
          </w:p>
        </w:tc>
      </w:tr>
      <w:tr w:rsidR="008925B5" w:rsidRPr="006A755F" w14:paraId="6D81A1BA" w14:textId="77777777" w:rsidTr="002A4D88">
        <w:trPr>
          <w:trHeight w:val="320"/>
          <w:tblHeader/>
        </w:trPr>
        <w:tc>
          <w:tcPr>
            <w:tcW w:w="2103" w:type="dxa"/>
            <w:tcBorders>
              <w:left w:val="single" w:sz="8" w:space="0" w:color="auto"/>
              <w:bottom w:val="nil"/>
              <w:right w:val="single" w:sz="8" w:space="0" w:color="auto"/>
            </w:tcBorders>
            <w:tcMar>
              <w:top w:w="0" w:type="dxa"/>
              <w:left w:w="70" w:type="dxa"/>
              <w:bottom w:w="0" w:type="dxa"/>
              <w:right w:w="70" w:type="dxa"/>
            </w:tcMar>
            <w:vAlign w:val="center"/>
          </w:tcPr>
          <w:p w14:paraId="47A9E10E" w14:textId="77777777" w:rsidR="008925B5" w:rsidRPr="006A755F" w:rsidRDefault="008925B5" w:rsidP="002A4D88">
            <w:pPr>
              <w:spacing w:after="0" w:line="252" w:lineRule="auto"/>
              <w:rPr>
                <w:sz w:val="20"/>
                <w:szCs w:val="20"/>
              </w:rPr>
            </w:pPr>
            <w:r w:rsidRPr="006A755F">
              <w:rPr>
                <w:sz w:val="20"/>
                <w:szCs w:val="20"/>
              </w:rPr>
              <w:tab/>
              <w:t>EU podíl</w:t>
            </w:r>
          </w:p>
        </w:tc>
        <w:tc>
          <w:tcPr>
            <w:tcW w:w="1318" w:type="dxa"/>
            <w:tcBorders>
              <w:left w:val="nil"/>
              <w:bottom w:val="nil"/>
              <w:right w:val="single" w:sz="8" w:space="0" w:color="auto"/>
            </w:tcBorders>
            <w:tcMar>
              <w:top w:w="0" w:type="dxa"/>
              <w:left w:w="70" w:type="dxa"/>
              <w:bottom w:w="0" w:type="dxa"/>
              <w:right w:w="70" w:type="dxa"/>
            </w:tcMar>
            <w:vAlign w:val="center"/>
          </w:tcPr>
          <w:p w14:paraId="5B2BBD30" w14:textId="77777777" w:rsidR="008925B5" w:rsidRPr="006A755F" w:rsidRDefault="008925B5" w:rsidP="002A4D88">
            <w:pPr>
              <w:spacing w:after="0" w:line="252" w:lineRule="auto"/>
              <w:jc w:val="right"/>
              <w:rPr>
                <w:bCs/>
                <w:sz w:val="20"/>
                <w:szCs w:val="20"/>
              </w:rPr>
            </w:pPr>
            <w:r>
              <w:rPr>
                <w:bCs/>
                <w:sz w:val="20"/>
                <w:szCs w:val="20"/>
              </w:rPr>
              <w:t>13 383 162</w:t>
            </w:r>
          </w:p>
        </w:tc>
        <w:tc>
          <w:tcPr>
            <w:tcW w:w="1202" w:type="dxa"/>
            <w:tcBorders>
              <w:left w:val="nil"/>
              <w:bottom w:val="nil"/>
              <w:right w:val="single" w:sz="8" w:space="0" w:color="auto"/>
            </w:tcBorders>
            <w:tcMar>
              <w:top w:w="0" w:type="dxa"/>
              <w:left w:w="70" w:type="dxa"/>
              <w:bottom w:w="0" w:type="dxa"/>
              <w:right w:w="70" w:type="dxa"/>
            </w:tcMar>
            <w:vAlign w:val="center"/>
          </w:tcPr>
          <w:p w14:paraId="3805B1E1" w14:textId="77777777" w:rsidR="008925B5" w:rsidRPr="00055C54" w:rsidRDefault="008925B5" w:rsidP="002A4D88">
            <w:pPr>
              <w:spacing w:after="0" w:line="252" w:lineRule="auto"/>
              <w:jc w:val="right"/>
              <w:rPr>
                <w:bCs/>
                <w:sz w:val="20"/>
                <w:szCs w:val="20"/>
              </w:rPr>
            </w:pPr>
            <w:r w:rsidRPr="00055C54">
              <w:rPr>
                <w:bCs/>
                <w:sz w:val="20"/>
                <w:szCs w:val="20"/>
              </w:rPr>
              <w:t>20 677 030</w:t>
            </w:r>
          </w:p>
        </w:tc>
        <w:tc>
          <w:tcPr>
            <w:tcW w:w="1251" w:type="dxa"/>
            <w:tcBorders>
              <w:left w:val="nil"/>
              <w:bottom w:val="nil"/>
              <w:right w:val="single" w:sz="8" w:space="0" w:color="auto"/>
            </w:tcBorders>
            <w:tcMar>
              <w:top w:w="0" w:type="dxa"/>
              <w:left w:w="70" w:type="dxa"/>
              <w:bottom w:w="0" w:type="dxa"/>
              <w:right w:w="70" w:type="dxa"/>
            </w:tcMar>
            <w:vAlign w:val="center"/>
          </w:tcPr>
          <w:p w14:paraId="4D85DD9A" w14:textId="77777777" w:rsidR="008925B5" w:rsidRPr="00055C54" w:rsidRDefault="008925B5" w:rsidP="002A4D88">
            <w:pPr>
              <w:spacing w:after="0" w:line="252" w:lineRule="auto"/>
              <w:jc w:val="right"/>
              <w:rPr>
                <w:bCs/>
                <w:sz w:val="20"/>
                <w:szCs w:val="20"/>
              </w:rPr>
            </w:pPr>
            <w:r w:rsidRPr="00055C54">
              <w:rPr>
                <w:bCs/>
                <w:sz w:val="20"/>
                <w:szCs w:val="20"/>
              </w:rPr>
              <w:t>20 677 030</w:t>
            </w:r>
          </w:p>
        </w:tc>
        <w:tc>
          <w:tcPr>
            <w:tcW w:w="1134" w:type="dxa"/>
            <w:tcBorders>
              <w:left w:val="nil"/>
              <w:bottom w:val="nil"/>
              <w:right w:val="single" w:sz="8" w:space="0" w:color="auto"/>
            </w:tcBorders>
            <w:tcMar>
              <w:top w:w="0" w:type="dxa"/>
              <w:left w:w="70" w:type="dxa"/>
              <w:bottom w:w="0" w:type="dxa"/>
              <w:right w:w="70" w:type="dxa"/>
            </w:tcMar>
            <w:vAlign w:val="center"/>
          </w:tcPr>
          <w:p w14:paraId="2393471F" w14:textId="77777777" w:rsidR="008925B5" w:rsidRPr="00055C54" w:rsidRDefault="008925B5" w:rsidP="002A4D88">
            <w:pPr>
              <w:spacing w:after="0" w:line="252" w:lineRule="auto"/>
              <w:jc w:val="right"/>
              <w:rPr>
                <w:bCs/>
                <w:sz w:val="20"/>
                <w:szCs w:val="20"/>
              </w:rPr>
            </w:pPr>
            <w:r w:rsidRPr="00055C54">
              <w:rPr>
                <w:bCs/>
                <w:sz w:val="20"/>
                <w:szCs w:val="20"/>
              </w:rPr>
              <w:t>20 677 185</w:t>
            </w:r>
          </w:p>
        </w:tc>
        <w:tc>
          <w:tcPr>
            <w:tcW w:w="1178" w:type="dxa"/>
            <w:tcBorders>
              <w:left w:val="nil"/>
              <w:bottom w:val="nil"/>
              <w:right w:val="single" w:sz="8" w:space="0" w:color="auto"/>
            </w:tcBorders>
            <w:tcMar>
              <w:top w:w="0" w:type="dxa"/>
              <w:left w:w="70" w:type="dxa"/>
              <w:bottom w:w="0" w:type="dxa"/>
              <w:right w:w="70" w:type="dxa"/>
            </w:tcMar>
            <w:vAlign w:val="center"/>
          </w:tcPr>
          <w:p w14:paraId="641C327F" w14:textId="77777777" w:rsidR="008925B5" w:rsidRPr="00055C54" w:rsidRDefault="008925B5" w:rsidP="002A4D88">
            <w:pPr>
              <w:spacing w:after="0" w:line="252" w:lineRule="auto"/>
              <w:jc w:val="right"/>
              <w:rPr>
                <w:bCs/>
                <w:sz w:val="20"/>
                <w:szCs w:val="20"/>
              </w:rPr>
            </w:pPr>
            <w:r w:rsidRPr="00055C54">
              <w:rPr>
                <w:bCs/>
                <w:sz w:val="20"/>
                <w:szCs w:val="20"/>
              </w:rPr>
              <w:t>14 188 001</w:t>
            </w:r>
          </w:p>
        </w:tc>
        <w:tc>
          <w:tcPr>
            <w:tcW w:w="796" w:type="dxa"/>
            <w:tcBorders>
              <w:left w:val="nil"/>
              <w:bottom w:val="nil"/>
              <w:right w:val="single" w:sz="8" w:space="0" w:color="auto"/>
            </w:tcBorders>
            <w:tcMar>
              <w:top w:w="0" w:type="dxa"/>
              <w:left w:w="70" w:type="dxa"/>
              <w:bottom w:w="0" w:type="dxa"/>
              <w:right w:w="70" w:type="dxa"/>
            </w:tcMar>
            <w:vAlign w:val="center"/>
          </w:tcPr>
          <w:p w14:paraId="28CA21DB" w14:textId="77777777" w:rsidR="008925B5" w:rsidRPr="008C7048" w:rsidRDefault="008925B5" w:rsidP="002A4D88">
            <w:pPr>
              <w:spacing w:after="0" w:line="252" w:lineRule="auto"/>
              <w:jc w:val="right"/>
              <w:rPr>
                <w:bCs/>
                <w:color w:val="FF0000"/>
                <w:sz w:val="20"/>
                <w:szCs w:val="20"/>
              </w:rPr>
            </w:pPr>
            <w:r w:rsidRPr="00372F11">
              <w:rPr>
                <w:bCs/>
                <w:sz w:val="20"/>
                <w:szCs w:val="20"/>
              </w:rPr>
              <w:t>106,0</w:t>
            </w:r>
          </w:p>
        </w:tc>
      </w:tr>
      <w:tr w:rsidR="008925B5" w:rsidRPr="006A755F" w14:paraId="1AEA98B9" w14:textId="77777777" w:rsidTr="002A4D88">
        <w:trPr>
          <w:trHeight w:val="320"/>
          <w:tblHeader/>
        </w:trPr>
        <w:tc>
          <w:tcPr>
            <w:tcW w:w="2103" w:type="dxa"/>
            <w:tcBorders>
              <w:left w:val="single" w:sz="8" w:space="0" w:color="auto"/>
              <w:bottom w:val="single" w:sz="4" w:space="0" w:color="auto"/>
              <w:right w:val="single" w:sz="8" w:space="0" w:color="auto"/>
            </w:tcBorders>
            <w:tcMar>
              <w:top w:w="0" w:type="dxa"/>
              <w:left w:w="70" w:type="dxa"/>
              <w:bottom w:w="0" w:type="dxa"/>
              <w:right w:w="70" w:type="dxa"/>
            </w:tcMar>
            <w:vAlign w:val="center"/>
          </w:tcPr>
          <w:p w14:paraId="21264E3D" w14:textId="77777777" w:rsidR="008925B5" w:rsidRPr="006A755F" w:rsidRDefault="008925B5" w:rsidP="002A4D88">
            <w:pPr>
              <w:spacing w:after="0" w:line="252" w:lineRule="auto"/>
              <w:rPr>
                <w:sz w:val="20"/>
                <w:szCs w:val="20"/>
              </w:rPr>
            </w:pPr>
            <w:r w:rsidRPr="006A755F">
              <w:rPr>
                <w:sz w:val="20"/>
                <w:szCs w:val="20"/>
              </w:rPr>
              <w:tab/>
              <w:t>SR podíl</w:t>
            </w:r>
          </w:p>
        </w:tc>
        <w:tc>
          <w:tcPr>
            <w:tcW w:w="1318" w:type="dxa"/>
            <w:tcBorders>
              <w:left w:val="nil"/>
              <w:bottom w:val="single" w:sz="4" w:space="0" w:color="auto"/>
              <w:right w:val="single" w:sz="8" w:space="0" w:color="auto"/>
            </w:tcBorders>
            <w:tcMar>
              <w:top w:w="0" w:type="dxa"/>
              <w:left w:w="70" w:type="dxa"/>
              <w:bottom w:w="0" w:type="dxa"/>
              <w:right w:w="70" w:type="dxa"/>
            </w:tcMar>
            <w:vAlign w:val="center"/>
          </w:tcPr>
          <w:p w14:paraId="559442C4" w14:textId="77777777" w:rsidR="008925B5" w:rsidRPr="006A755F" w:rsidRDefault="008925B5" w:rsidP="002A4D88">
            <w:pPr>
              <w:spacing w:after="0" w:line="252" w:lineRule="auto"/>
              <w:jc w:val="right"/>
              <w:rPr>
                <w:b/>
                <w:bCs/>
                <w:sz w:val="20"/>
                <w:szCs w:val="20"/>
              </w:rPr>
            </w:pPr>
            <w:r w:rsidRPr="006A755F">
              <w:rPr>
                <w:bCs/>
                <w:sz w:val="20"/>
                <w:szCs w:val="20"/>
              </w:rPr>
              <w:t>0</w:t>
            </w:r>
          </w:p>
        </w:tc>
        <w:tc>
          <w:tcPr>
            <w:tcW w:w="1202" w:type="dxa"/>
            <w:tcBorders>
              <w:left w:val="nil"/>
              <w:bottom w:val="single" w:sz="4" w:space="0" w:color="auto"/>
              <w:right w:val="single" w:sz="8" w:space="0" w:color="auto"/>
            </w:tcBorders>
            <w:tcMar>
              <w:top w:w="0" w:type="dxa"/>
              <w:left w:w="70" w:type="dxa"/>
              <w:bottom w:w="0" w:type="dxa"/>
              <w:right w:w="70" w:type="dxa"/>
            </w:tcMar>
            <w:vAlign w:val="center"/>
          </w:tcPr>
          <w:p w14:paraId="33D2336B" w14:textId="77777777" w:rsidR="008925B5" w:rsidRPr="00BC6B7B" w:rsidRDefault="008925B5" w:rsidP="002A4D88">
            <w:pPr>
              <w:spacing w:after="0" w:line="252" w:lineRule="auto"/>
              <w:jc w:val="right"/>
              <w:rPr>
                <w:b/>
                <w:bCs/>
                <w:sz w:val="20"/>
                <w:szCs w:val="20"/>
              </w:rPr>
            </w:pPr>
            <w:r w:rsidRPr="00BC6B7B">
              <w:rPr>
                <w:bCs/>
                <w:sz w:val="20"/>
                <w:szCs w:val="20"/>
              </w:rPr>
              <w:t>11 670</w:t>
            </w:r>
          </w:p>
        </w:tc>
        <w:tc>
          <w:tcPr>
            <w:tcW w:w="1251" w:type="dxa"/>
            <w:tcBorders>
              <w:left w:val="nil"/>
              <w:bottom w:val="single" w:sz="4" w:space="0" w:color="auto"/>
              <w:right w:val="single" w:sz="8" w:space="0" w:color="auto"/>
            </w:tcBorders>
            <w:tcMar>
              <w:top w:w="0" w:type="dxa"/>
              <w:left w:w="70" w:type="dxa"/>
              <w:bottom w:w="0" w:type="dxa"/>
              <w:right w:w="70" w:type="dxa"/>
            </w:tcMar>
            <w:vAlign w:val="center"/>
          </w:tcPr>
          <w:p w14:paraId="220B5E06" w14:textId="77777777" w:rsidR="008925B5" w:rsidRPr="00BC6B7B" w:rsidRDefault="008925B5" w:rsidP="002A4D88">
            <w:pPr>
              <w:spacing w:after="0" w:line="252" w:lineRule="auto"/>
              <w:jc w:val="right"/>
              <w:rPr>
                <w:b/>
                <w:bCs/>
                <w:sz w:val="20"/>
                <w:szCs w:val="20"/>
              </w:rPr>
            </w:pPr>
            <w:r w:rsidRPr="00BC6B7B">
              <w:rPr>
                <w:bCs/>
                <w:sz w:val="20"/>
                <w:szCs w:val="20"/>
              </w:rPr>
              <w:t>11 670</w:t>
            </w:r>
          </w:p>
        </w:tc>
        <w:tc>
          <w:tcPr>
            <w:tcW w:w="1134" w:type="dxa"/>
            <w:tcBorders>
              <w:left w:val="nil"/>
              <w:bottom w:val="single" w:sz="4" w:space="0" w:color="auto"/>
              <w:right w:val="single" w:sz="8" w:space="0" w:color="auto"/>
            </w:tcBorders>
            <w:tcMar>
              <w:top w:w="0" w:type="dxa"/>
              <w:left w:w="70" w:type="dxa"/>
              <w:bottom w:w="0" w:type="dxa"/>
              <w:right w:w="70" w:type="dxa"/>
            </w:tcMar>
            <w:vAlign w:val="center"/>
          </w:tcPr>
          <w:p w14:paraId="2922D0F7" w14:textId="77777777" w:rsidR="008925B5" w:rsidRPr="00BC6B7B" w:rsidRDefault="008925B5" w:rsidP="002A4D88">
            <w:pPr>
              <w:spacing w:after="0" w:line="252" w:lineRule="auto"/>
              <w:jc w:val="right"/>
              <w:rPr>
                <w:b/>
                <w:bCs/>
                <w:sz w:val="20"/>
                <w:szCs w:val="20"/>
              </w:rPr>
            </w:pPr>
            <w:r w:rsidRPr="00BC6B7B">
              <w:rPr>
                <w:bCs/>
                <w:sz w:val="20"/>
                <w:szCs w:val="20"/>
              </w:rPr>
              <w:t>11 670</w:t>
            </w:r>
          </w:p>
        </w:tc>
        <w:tc>
          <w:tcPr>
            <w:tcW w:w="1178" w:type="dxa"/>
            <w:tcBorders>
              <w:left w:val="nil"/>
              <w:bottom w:val="single" w:sz="4" w:space="0" w:color="auto"/>
              <w:right w:val="single" w:sz="8" w:space="0" w:color="auto"/>
            </w:tcBorders>
            <w:tcMar>
              <w:top w:w="0" w:type="dxa"/>
              <w:left w:w="70" w:type="dxa"/>
              <w:bottom w:w="0" w:type="dxa"/>
              <w:right w:w="70" w:type="dxa"/>
            </w:tcMar>
            <w:vAlign w:val="center"/>
          </w:tcPr>
          <w:p w14:paraId="37B763D4" w14:textId="77777777" w:rsidR="008925B5" w:rsidRPr="00BC6B7B" w:rsidRDefault="008925B5" w:rsidP="002A4D88">
            <w:pPr>
              <w:spacing w:after="0" w:line="252" w:lineRule="auto"/>
              <w:jc w:val="right"/>
              <w:rPr>
                <w:sz w:val="20"/>
                <w:szCs w:val="20"/>
              </w:rPr>
            </w:pPr>
            <w:r w:rsidRPr="00BC6B7B">
              <w:rPr>
                <w:sz w:val="20"/>
                <w:szCs w:val="20"/>
              </w:rPr>
              <w:t>6 324</w:t>
            </w:r>
          </w:p>
        </w:tc>
        <w:tc>
          <w:tcPr>
            <w:tcW w:w="796" w:type="dxa"/>
            <w:tcBorders>
              <w:left w:val="nil"/>
              <w:bottom w:val="single" w:sz="4" w:space="0" w:color="auto"/>
              <w:right w:val="single" w:sz="8" w:space="0" w:color="auto"/>
            </w:tcBorders>
            <w:tcMar>
              <w:top w:w="0" w:type="dxa"/>
              <w:left w:w="70" w:type="dxa"/>
              <w:bottom w:w="0" w:type="dxa"/>
              <w:right w:w="70" w:type="dxa"/>
            </w:tcMar>
            <w:vAlign w:val="center"/>
          </w:tcPr>
          <w:p w14:paraId="117D9C87" w14:textId="77777777" w:rsidR="008925B5" w:rsidRPr="00BC6B7B" w:rsidRDefault="008925B5" w:rsidP="002A4D88">
            <w:pPr>
              <w:spacing w:after="0" w:line="252" w:lineRule="auto"/>
              <w:jc w:val="right"/>
              <w:rPr>
                <w:bCs/>
                <w:sz w:val="20"/>
                <w:szCs w:val="20"/>
              </w:rPr>
            </w:pPr>
            <w:r w:rsidRPr="00BC6B7B">
              <w:rPr>
                <w:bCs/>
                <w:sz w:val="20"/>
                <w:szCs w:val="20"/>
              </w:rPr>
              <w:t>X</w:t>
            </w:r>
          </w:p>
        </w:tc>
      </w:tr>
      <w:tr w:rsidR="008925B5" w:rsidRPr="006A755F" w14:paraId="5BC9EF1F" w14:textId="77777777" w:rsidTr="002A4D88">
        <w:trPr>
          <w:trHeight w:val="661"/>
          <w:tblHeader/>
        </w:trPr>
        <w:tc>
          <w:tcPr>
            <w:tcW w:w="2103" w:type="dxa"/>
            <w:tcBorders>
              <w:top w:val="single" w:sz="4" w:space="0" w:color="auto"/>
              <w:left w:val="single" w:sz="8" w:space="0" w:color="auto"/>
              <w:bottom w:val="nil"/>
              <w:right w:val="single" w:sz="8" w:space="0" w:color="auto"/>
            </w:tcBorders>
            <w:tcMar>
              <w:top w:w="0" w:type="dxa"/>
              <w:left w:w="70" w:type="dxa"/>
              <w:bottom w:w="0" w:type="dxa"/>
              <w:right w:w="70" w:type="dxa"/>
            </w:tcMar>
            <w:vAlign w:val="center"/>
          </w:tcPr>
          <w:p w14:paraId="34F1B518" w14:textId="77777777" w:rsidR="008925B5" w:rsidRPr="006A755F" w:rsidRDefault="008925B5" w:rsidP="002A4D88">
            <w:pPr>
              <w:spacing w:after="0" w:line="252" w:lineRule="auto"/>
              <w:rPr>
                <w:b/>
                <w:color w:val="2F5496" w:themeColor="accent5" w:themeShade="BF"/>
                <w:sz w:val="20"/>
                <w:szCs w:val="20"/>
              </w:rPr>
            </w:pPr>
            <w:r w:rsidRPr="006A755F">
              <w:rPr>
                <w:b/>
                <w:color w:val="2F5496" w:themeColor="accent5" w:themeShade="BF"/>
                <w:sz w:val="20"/>
                <w:szCs w:val="20"/>
              </w:rPr>
              <w:t xml:space="preserve">NPO Facilita na podporu oživení </w:t>
            </w:r>
            <w:r w:rsidRPr="006A755F">
              <w:rPr>
                <w:b/>
                <w:color w:val="2F5496" w:themeColor="accent5" w:themeShade="BF"/>
                <w:sz w:val="20"/>
                <w:szCs w:val="20"/>
              </w:rPr>
              <w:br/>
              <w:t xml:space="preserve">a odolnosti </w:t>
            </w:r>
            <w:r w:rsidRPr="006A755F">
              <w:rPr>
                <w:color w:val="2F5496" w:themeColor="accent5" w:themeShade="BF"/>
                <w:sz w:val="20"/>
                <w:szCs w:val="20"/>
              </w:rPr>
              <w:t>(v tom:)</w:t>
            </w:r>
          </w:p>
        </w:tc>
        <w:tc>
          <w:tcPr>
            <w:tcW w:w="1318" w:type="dxa"/>
            <w:tcBorders>
              <w:top w:val="single" w:sz="4" w:space="0" w:color="auto"/>
              <w:left w:val="nil"/>
              <w:bottom w:val="nil"/>
              <w:right w:val="single" w:sz="8" w:space="0" w:color="auto"/>
            </w:tcBorders>
            <w:tcMar>
              <w:top w:w="0" w:type="dxa"/>
              <w:left w:w="70" w:type="dxa"/>
              <w:bottom w:w="0" w:type="dxa"/>
              <w:right w:w="70" w:type="dxa"/>
            </w:tcMar>
            <w:vAlign w:val="center"/>
          </w:tcPr>
          <w:p w14:paraId="37BD22ED" w14:textId="77777777" w:rsidR="008925B5" w:rsidRPr="006A755F" w:rsidRDefault="008925B5" w:rsidP="002A4D88">
            <w:pPr>
              <w:spacing w:after="0" w:line="252" w:lineRule="auto"/>
              <w:jc w:val="right"/>
              <w:rPr>
                <w:b/>
                <w:color w:val="2F5496" w:themeColor="accent5" w:themeShade="BF"/>
                <w:sz w:val="20"/>
                <w:szCs w:val="20"/>
              </w:rPr>
            </w:pPr>
            <w:r w:rsidRPr="006A755F">
              <w:rPr>
                <w:b/>
                <w:color w:val="2F5496" w:themeColor="accent5" w:themeShade="BF"/>
                <w:sz w:val="20"/>
                <w:szCs w:val="20"/>
              </w:rPr>
              <w:t>9</w:t>
            </w:r>
            <w:r>
              <w:rPr>
                <w:b/>
                <w:color w:val="2F5496" w:themeColor="accent5" w:themeShade="BF"/>
                <w:sz w:val="20"/>
                <w:szCs w:val="20"/>
              </w:rPr>
              <w:t> 768 843</w:t>
            </w:r>
          </w:p>
        </w:tc>
        <w:tc>
          <w:tcPr>
            <w:tcW w:w="1202" w:type="dxa"/>
            <w:tcBorders>
              <w:top w:val="single" w:sz="4" w:space="0" w:color="auto"/>
              <w:left w:val="nil"/>
              <w:bottom w:val="nil"/>
              <w:right w:val="single" w:sz="8" w:space="0" w:color="auto"/>
            </w:tcBorders>
            <w:tcMar>
              <w:top w:w="0" w:type="dxa"/>
              <w:left w:w="70" w:type="dxa"/>
              <w:bottom w:w="0" w:type="dxa"/>
              <w:right w:w="70" w:type="dxa"/>
            </w:tcMar>
            <w:vAlign w:val="center"/>
          </w:tcPr>
          <w:p w14:paraId="6DF1A354" w14:textId="77777777" w:rsidR="008925B5" w:rsidRPr="0077769D" w:rsidRDefault="008925B5" w:rsidP="002A4D88">
            <w:pPr>
              <w:spacing w:after="0" w:line="252" w:lineRule="auto"/>
              <w:jc w:val="right"/>
              <w:rPr>
                <w:b/>
                <w:color w:val="2F5496" w:themeColor="accent5" w:themeShade="BF"/>
                <w:sz w:val="20"/>
                <w:szCs w:val="20"/>
              </w:rPr>
            </w:pPr>
            <w:r w:rsidRPr="0077769D">
              <w:rPr>
                <w:b/>
                <w:color w:val="2F5496" w:themeColor="accent5" w:themeShade="BF"/>
                <w:sz w:val="20"/>
                <w:szCs w:val="20"/>
              </w:rPr>
              <w:t>3 003 459</w:t>
            </w:r>
          </w:p>
        </w:tc>
        <w:tc>
          <w:tcPr>
            <w:tcW w:w="1251" w:type="dxa"/>
            <w:tcBorders>
              <w:top w:val="single" w:sz="4" w:space="0" w:color="auto"/>
              <w:left w:val="nil"/>
              <w:bottom w:val="nil"/>
              <w:right w:val="single" w:sz="8" w:space="0" w:color="auto"/>
            </w:tcBorders>
            <w:tcMar>
              <w:top w:w="0" w:type="dxa"/>
              <w:left w:w="70" w:type="dxa"/>
              <w:bottom w:w="0" w:type="dxa"/>
              <w:right w:w="70" w:type="dxa"/>
            </w:tcMar>
            <w:vAlign w:val="center"/>
          </w:tcPr>
          <w:p w14:paraId="6A13C76C" w14:textId="77777777" w:rsidR="008925B5" w:rsidRPr="0077769D" w:rsidRDefault="008925B5" w:rsidP="002A4D88">
            <w:pPr>
              <w:spacing w:after="0" w:line="252" w:lineRule="auto"/>
              <w:jc w:val="right"/>
              <w:rPr>
                <w:b/>
                <w:color w:val="2F5496" w:themeColor="accent5" w:themeShade="BF"/>
                <w:sz w:val="20"/>
                <w:szCs w:val="20"/>
              </w:rPr>
            </w:pPr>
            <w:r w:rsidRPr="0077769D">
              <w:rPr>
                <w:b/>
                <w:color w:val="2F5496" w:themeColor="accent5" w:themeShade="BF"/>
                <w:sz w:val="20"/>
                <w:szCs w:val="20"/>
              </w:rPr>
              <w:t>3 546 662</w:t>
            </w:r>
          </w:p>
        </w:tc>
        <w:tc>
          <w:tcPr>
            <w:tcW w:w="1134" w:type="dxa"/>
            <w:tcBorders>
              <w:top w:val="single" w:sz="4" w:space="0" w:color="auto"/>
              <w:left w:val="nil"/>
              <w:bottom w:val="nil"/>
              <w:right w:val="single" w:sz="8" w:space="0" w:color="auto"/>
            </w:tcBorders>
            <w:tcMar>
              <w:top w:w="0" w:type="dxa"/>
              <w:left w:w="70" w:type="dxa"/>
              <w:bottom w:w="0" w:type="dxa"/>
              <w:right w:w="70" w:type="dxa"/>
            </w:tcMar>
            <w:vAlign w:val="center"/>
          </w:tcPr>
          <w:p w14:paraId="13D66875" w14:textId="77777777" w:rsidR="008925B5" w:rsidRPr="0077769D" w:rsidRDefault="008925B5" w:rsidP="002A4D88">
            <w:pPr>
              <w:spacing w:after="0" w:line="252" w:lineRule="auto"/>
              <w:jc w:val="right"/>
              <w:rPr>
                <w:b/>
                <w:color w:val="2F5496" w:themeColor="accent5" w:themeShade="BF"/>
                <w:sz w:val="20"/>
                <w:szCs w:val="20"/>
              </w:rPr>
            </w:pPr>
            <w:r w:rsidRPr="0077769D">
              <w:rPr>
                <w:b/>
                <w:color w:val="2F5496" w:themeColor="accent5" w:themeShade="BF"/>
                <w:sz w:val="20"/>
                <w:szCs w:val="20"/>
              </w:rPr>
              <w:t>4 935 647</w:t>
            </w:r>
          </w:p>
        </w:tc>
        <w:tc>
          <w:tcPr>
            <w:tcW w:w="1178" w:type="dxa"/>
            <w:tcBorders>
              <w:top w:val="single" w:sz="4" w:space="0" w:color="auto"/>
              <w:left w:val="nil"/>
              <w:bottom w:val="nil"/>
              <w:right w:val="single" w:sz="8" w:space="0" w:color="auto"/>
            </w:tcBorders>
            <w:tcMar>
              <w:top w:w="0" w:type="dxa"/>
              <w:left w:w="70" w:type="dxa"/>
              <w:bottom w:w="0" w:type="dxa"/>
              <w:right w:w="70" w:type="dxa"/>
            </w:tcMar>
            <w:vAlign w:val="center"/>
          </w:tcPr>
          <w:p w14:paraId="23720B66" w14:textId="77777777" w:rsidR="008925B5" w:rsidRPr="0077769D" w:rsidRDefault="008925B5" w:rsidP="002A4D88">
            <w:pPr>
              <w:spacing w:after="0" w:line="252" w:lineRule="auto"/>
              <w:jc w:val="right"/>
              <w:rPr>
                <w:b/>
                <w:color w:val="2F5496" w:themeColor="accent5" w:themeShade="BF"/>
                <w:sz w:val="20"/>
                <w:szCs w:val="20"/>
              </w:rPr>
            </w:pPr>
            <w:r w:rsidRPr="0077769D">
              <w:rPr>
                <w:b/>
                <w:color w:val="2F5496" w:themeColor="accent5" w:themeShade="BF"/>
                <w:sz w:val="20"/>
                <w:szCs w:val="20"/>
              </w:rPr>
              <w:t>4 170 228</w:t>
            </w:r>
          </w:p>
        </w:tc>
        <w:tc>
          <w:tcPr>
            <w:tcW w:w="796" w:type="dxa"/>
            <w:tcBorders>
              <w:top w:val="single" w:sz="4" w:space="0" w:color="auto"/>
              <w:left w:val="nil"/>
              <w:bottom w:val="nil"/>
              <w:right w:val="single" w:sz="8" w:space="0" w:color="auto"/>
            </w:tcBorders>
            <w:tcMar>
              <w:top w:w="0" w:type="dxa"/>
              <w:left w:w="70" w:type="dxa"/>
              <w:bottom w:w="0" w:type="dxa"/>
              <w:right w:w="70" w:type="dxa"/>
            </w:tcMar>
            <w:vAlign w:val="center"/>
          </w:tcPr>
          <w:p w14:paraId="692C190D" w14:textId="77777777" w:rsidR="008925B5" w:rsidRPr="0077769D" w:rsidRDefault="008925B5" w:rsidP="002A4D88">
            <w:pPr>
              <w:spacing w:after="0" w:line="252" w:lineRule="auto"/>
              <w:jc w:val="right"/>
              <w:rPr>
                <w:b/>
                <w:color w:val="2F5496" w:themeColor="accent5" w:themeShade="BF"/>
                <w:sz w:val="20"/>
                <w:szCs w:val="20"/>
              </w:rPr>
            </w:pPr>
            <w:r w:rsidRPr="0077769D">
              <w:rPr>
                <w:b/>
                <w:color w:val="2F5496" w:themeColor="accent5" w:themeShade="BF"/>
                <w:sz w:val="20"/>
                <w:szCs w:val="20"/>
              </w:rPr>
              <w:t>42,7</w:t>
            </w:r>
          </w:p>
        </w:tc>
      </w:tr>
      <w:tr w:rsidR="008925B5" w:rsidRPr="006A755F" w14:paraId="1224891A" w14:textId="77777777" w:rsidTr="002A4D88">
        <w:trPr>
          <w:trHeight w:val="225"/>
          <w:tblHeader/>
        </w:trPr>
        <w:tc>
          <w:tcPr>
            <w:tcW w:w="2103" w:type="dxa"/>
            <w:tcBorders>
              <w:top w:val="nil"/>
              <w:left w:val="single" w:sz="8" w:space="0" w:color="auto"/>
              <w:right w:val="single" w:sz="8" w:space="0" w:color="auto"/>
            </w:tcBorders>
            <w:tcMar>
              <w:top w:w="0" w:type="dxa"/>
              <w:left w:w="70" w:type="dxa"/>
              <w:bottom w:w="0" w:type="dxa"/>
              <w:right w:w="70" w:type="dxa"/>
            </w:tcMar>
            <w:vAlign w:val="center"/>
          </w:tcPr>
          <w:p w14:paraId="6CE76B93" w14:textId="77777777" w:rsidR="008925B5" w:rsidRPr="006A755F" w:rsidRDefault="008925B5" w:rsidP="002A4D88">
            <w:pPr>
              <w:spacing w:after="0" w:line="252" w:lineRule="auto"/>
              <w:rPr>
                <w:sz w:val="20"/>
                <w:szCs w:val="20"/>
              </w:rPr>
            </w:pPr>
            <w:r w:rsidRPr="006A755F">
              <w:rPr>
                <w:sz w:val="20"/>
                <w:szCs w:val="20"/>
              </w:rPr>
              <w:tab/>
              <w:t>EU podíl</w:t>
            </w:r>
          </w:p>
        </w:tc>
        <w:tc>
          <w:tcPr>
            <w:tcW w:w="1318" w:type="dxa"/>
            <w:tcBorders>
              <w:top w:val="nil"/>
              <w:left w:val="nil"/>
              <w:right w:val="single" w:sz="8" w:space="0" w:color="auto"/>
            </w:tcBorders>
            <w:tcMar>
              <w:top w:w="0" w:type="dxa"/>
              <w:left w:w="70" w:type="dxa"/>
              <w:bottom w:w="0" w:type="dxa"/>
              <w:right w:w="70" w:type="dxa"/>
            </w:tcMar>
            <w:vAlign w:val="center"/>
          </w:tcPr>
          <w:p w14:paraId="0516D526" w14:textId="77777777" w:rsidR="008925B5" w:rsidRPr="006A755F" w:rsidRDefault="008925B5" w:rsidP="002A4D88">
            <w:pPr>
              <w:spacing w:after="0" w:line="252" w:lineRule="auto"/>
              <w:jc w:val="right"/>
              <w:rPr>
                <w:sz w:val="20"/>
                <w:szCs w:val="20"/>
              </w:rPr>
            </w:pPr>
            <w:r>
              <w:rPr>
                <w:sz w:val="20"/>
                <w:szCs w:val="20"/>
              </w:rPr>
              <w:t>9 768 843</w:t>
            </w:r>
          </w:p>
        </w:tc>
        <w:tc>
          <w:tcPr>
            <w:tcW w:w="1202" w:type="dxa"/>
            <w:tcBorders>
              <w:top w:val="nil"/>
              <w:left w:val="nil"/>
              <w:right w:val="single" w:sz="8" w:space="0" w:color="auto"/>
            </w:tcBorders>
            <w:tcMar>
              <w:top w:w="0" w:type="dxa"/>
              <w:left w:w="70" w:type="dxa"/>
              <w:bottom w:w="0" w:type="dxa"/>
              <w:right w:w="70" w:type="dxa"/>
            </w:tcMar>
            <w:vAlign w:val="center"/>
          </w:tcPr>
          <w:p w14:paraId="57FBD843" w14:textId="77777777" w:rsidR="008925B5" w:rsidRPr="0077769D" w:rsidRDefault="008925B5" w:rsidP="002A4D88">
            <w:pPr>
              <w:spacing w:after="0" w:line="252" w:lineRule="auto"/>
              <w:jc w:val="right"/>
              <w:rPr>
                <w:sz w:val="20"/>
                <w:szCs w:val="20"/>
              </w:rPr>
            </w:pPr>
            <w:r w:rsidRPr="0077769D">
              <w:rPr>
                <w:sz w:val="20"/>
                <w:szCs w:val="20"/>
              </w:rPr>
              <w:t>3 003 459</w:t>
            </w:r>
          </w:p>
        </w:tc>
        <w:tc>
          <w:tcPr>
            <w:tcW w:w="1251" w:type="dxa"/>
            <w:tcBorders>
              <w:top w:val="nil"/>
              <w:left w:val="nil"/>
              <w:right w:val="single" w:sz="8" w:space="0" w:color="auto"/>
            </w:tcBorders>
            <w:tcMar>
              <w:top w:w="0" w:type="dxa"/>
              <w:left w:w="70" w:type="dxa"/>
              <w:bottom w:w="0" w:type="dxa"/>
              <w:right w:w="70" w:type="dxa"/>
            </w:tcMar>
            <w:vAlign w:val="center"/>
          </w:tcPr>
          <w:p w14:paraId="73A46AC9" w14:textId="77777777" w:rsidR="008925B5" w:rsidRPr="0077769D" w:rsidRDefault="008925B5" w:rsidP="002A4D88">
            <w:pPr>
              <w:spacing w:after="0" w:line="252" w:lineRule="auto"/>
              <w:jc w:val="right"/>
              <w:rPr>
                <w:sz w:val="20"/>
                <w:szCs w:val="20"/>
              </w:rPr>
            </w:pPr>
            <w:r w:rsidRPr="0077769D">
              <w:rPr>
                <w:sz w:val="20"/>
                <w:szCs w:val="20"/>
              </w:rPr>
              <w:t>3 522 550</w:t>
            </w:r>
          </w:p>
        </w:tc>
        <w:tc>
          <w:tcPr>
            <w:tcW w:w="1134" w:type="dxa"/>
            <w:tcBorders>
              <w:top w:val="nil"/>
              <w:left w:val="nil"/>
              <w:right w:val="single" w:sz="8" w:space="0" w:color="auto"/>
            </w:tcBorders>
            <w:tcMar>
              <w:top w:w="0" w:type="dxa"/>
              <w:left w:w="70" w:type="dxa"/>
              <w:bottom w:w="0" w:type="dxa"/>
              <w:right w:w="70" w:type="dxa"/>
            </w:tcMar>
            <w:vAlign w:val="center"/>
          </w:tcPr>
          <w:p w14:paraId="05A1A92B" w14:textId="77777777" w:rsidR="008925B5" w:rsidRPr="0077769D" w:rsidRDefault="008925B5" w:rsidP="002A4D88">
            <w:pPr>
              <w:spacing w:after="0" w:line="252" w:lineRule="auto"/>
              <w:jc w:val="right"/>
              <w:rPr>
                <w:sz w:val="20"/>
                <w:szCs w:val="20"/>
              </w:rPr>
            </w:pPr>
            <w:r w:rsidRPr="0077769D">
              <w:rPr>
                <w:sz w:val="20"/>
                <w:szCs w:val="20"/>
              </w:rPr>
              <w:t>4 911 535</w:t>
            </w:r>
          </w:p>
        </w:tc>
        <w:tc>
          <w:tcPr>
            <w:tcW w:w="1178" w:type="dxa"/>
            <w:tcBorders>
              <w:top w:val="nil"/>
              <w:left w:val="nil"/>
              <w:right w:val="single" w:sz="8" w:space="0" w:color="auto"/>
            </w:tcBorders>
            <w:tcMar>
              <w:top w:w="0" w:type="dxa"/>
              <w:left w:w="70" w:type="dxa"/>
              <w:bottom w:w="0" w:type="dxa"/>
              <w:right w:w="70" w:type="dxa"/>
            </w:tcMar>
            <w:vAlign w:val="center"/>
          </w:tcPr>
          <w:p w14:paraId="25E38BBF" w14:textId="77777777" w:rsidR="008925B5" w:rsidRPr="0077769D" w:rsidRDefault="008925B5" w:rsidP="002A4D88">
            <w:pPr>
              <w:spacing w:after="0" w:line="252" w:lineRule="auto"/>
              <w:jc w:val="right"/>
              <w:rPr>
                <w:sz w:val="20"/>
                <w:szCs w:val="20"/>
              </w:rPr>
            </w:pPr>
            <w:r w:rsidRPr="0077769D">
              <w:rPr>
                <w:sz w:val="20"/>
                <w:szCs w:val="20"/>
              </w:rPr>
              <w:t>4 168 455</w:t>
            </w:r>
          </w:p>
        </w:tc>
        <w:tc>
          <w:tcPr>
            <w:tcW w:w="796" w:type="dxa"/>
            <w:tcBorders>
              <w:top w:val="nil"/>
              <w:left w:val="nil"/>
              <w:right w:val="single" w:sz="8" w:space="0" w:color="auto"/>
            </w:tcBorders>
            <w:tcMar>
              <w:top w:w="0" w:type="dxa"/>
              <w:left w:w="70" w:type="dxa"/>
              <w:bottom w:w="0" w:type="dxa"/>
              <w:right w:w="70" w:type="dxa"/>
            </w:tcMar>
            <w:vAlign w:val="center"/>
          </w:tcPr>
          <w:p w14:paraId="2574EFE9" w14:textId="77777777" w:rsidR="008925B5" w:rsidRPr="0077769D" w:rsidRDefault="008925B5" w:rsidP="002A4D88">
            <w:pPr>
              <w:spacing w:after="0" w:line="252" w:lineRule="auto"/>
              <w:jc w:val="right"/>
              <w:rPr>
                <w:sz w:val="20"/>
                <w:szCs w:val="20"/>
              </w:rPr>
            </w:pPr>
            <w:r w:rsidRPr="0077769D">
              <w:rPr>
                <w:sz w:val="20"/>
                <w:szCs w:val="20"/>
              </w:rPr>
              <w:t>42,7</w:t>
            </w:r>
          </w:p>
        </w:tc>
      </w:tr>
      <w:tr w:rsidR="008925B5" w:rsidRPr="006A755F" w14:paraId="10E10A52" w14:textId="77777777" w:rsidTr="002A4D88">
        <w:trPr>
          <w:trHeight w:val="225"/>
          <w:tblHeader/>
        </w:trPr>
        <w:tc>
          <w:tcPr>
            <w:tcW w:w="2103"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tcPr>
          <w:p w14:paraId="1EAC5A8D" w14:textId="77777777" w:rsidR="008925B5" w:rsidRPr="006A755F" w:rsidRDefault="008925B5" w:rsidP="002A4D88">
            <w:pPr>
              <w:spacing w:after="0" w:line="252" w:lineRule="auto"/>
              <w:rPr>
                <w:sz w:val="20"/>
                <w:szCs w:val="20"/>
              </w:rPr>
            </w:pPr>
            <w:r w:rsidRPr="006A755F">
              <w:rPr>
                <w:sz w:val="20"/>
                <w:szCs w:val="20"/>
              </w:rPr>
              <w:tab/>
              <w:t>SR podíl</w:t>
            </w:r>
          </w:p>
        </w:tc>
        <w:tc>
          <w:tcPr>
            <w:tcW w:w="1318" w:type="dxa"/>
            <w:tcBorders>
              <w:top w:val="nil"/>
              <w:left w:val="nil"/>
              <w:bottom w:val="single" w:sz="4" w:space="0" w:color="auto"/>
              <w:right w:val="single" w:sz="8" w:space="0" w:color="auto"/>
            </w:tcBorders>
            <w:tcMar>
              <w:top w:w="0" w:type="dxa"/>
              <w:left w:w="70" w:type="dxa"/>
              <w:bottom w:w="0" w:type="dxa"/>
              <w:right w:w="70" w:type="dxa"/>
            </w:tcMar>
            <w:vAlign w:val="center"/>
          </w:tcPr>
          <w:p w14:paraId="551A9E3A" w14:textId="77777777" w:rsidR="008925B5" w:rsidRPr="006A755F" w:rsidRDefault="008925B5" w:rsidP="002A4D88">
            <w:pPr>
              <w:spacing w:after="0" w:line="252" w:lineRule="auto"/>
              <w:jc w:val="right"/>
              <w:rPr>
                <w:sz w:val="20"/>
                <w:szCs w:val="20"/>
              </w:rPr>
            </w:pPr>
            <w:r w:rsidRPr="006A755F">
              <w:rPr>
                <w:sz w:val="20"/>
                <w:szCs w:val="20"/>
              </w:rPr>
              <w:t>0</w:t>
            </w:r>
          </w:p>
        </w:tc>
        <w:tc>
          <w:tcPr>
            <w:tcW w:w="1202" w:type="dxa"/>
            <w:tcBorders>
              <w:top w:val="nil"/>
              <w:left w:val="nil"/>
              <w:bottom w:val="single" w:sz="4" w:space="0" w:color="auto"/>
              <w:right w:val="single" w:sz="8" w:space="0" w:color="auto"/>
            </w:tcBorders>
            <w:tcMar>
              <w:top w:w="0" w:type="dxa"/>
              <w:left w:w="70" w:type="dxa"/>
              <w:bottom w:w="0" w:type="dxa"/>
              <w:right w:w="70" w:type="dxa"/>
            </w:tcMar>
            <w:vAlign w:val="center"/>
          </w:tcPr>
          <w:p w14:paraId="7934EA16" w14:textId="77777777" w:rsidR="008925B5" w:rsidRPr="00DF7B82" w:rsidRDefault="008925B5" w:rsidP="002A4D88">
            <w:pPr>
              <w:spacing w:after="0" w:line="252" w:lineRule="auto"/>
              <w:jc w:val="right"/>
              <w:rPr>
                <w:sz w:val="20"/>
                <w:szCs w:val="20"/>
              </w:rPr>
            </w:pPr>
            <w:r w:rsidRPr="00DF7B82">
              <w:rPr>
                <w:sz w:val="20"/>
                <w:szCs w:val="20"/>
              </w:rPr>
              <w:t>0</w:t>
            </w:r>
          </w:p>
        </w:tc>
        <w:tc>
          <w:tcPr>
            <w:tcW w:w="1251" w:type="dxa"/>
            <w:tcBorders>
              <w:top w:val="nil"/>
              <w:left w:val="nil"/>
              <w:bottom w:val="single" w:sz="4" w:space="0" w:color="auto"/>
              <w:right w:val="single" w:sz="8" w:space="0" w:color="auto"/>
            </w:tcBorders>
            <w:tcMar>
              <w:top w:w="0" w:type="dxa"/>
              <w:left w:w="70" w:type="dxa"/>
              <w:bottom w:w="0" w:type="dxa"/>
              <w:right w:w="70" w:type="dxa"/>
            </w:tcMar>
            <w:vAlign w:val="center"/>
          </w:tcPr>
          <w:p w14:paraId="7E055815" w14:textId="77777777" w:rsidR="008925B5" w:rsidRPr="00DF7B82" w:rsidRDefault="008925B5" w:rsidP="002A4D88">
            <w:pPr>
              <w:spacing w:after="0" w:line="252" w:lineRule="auto"/>
              <w:jc w:val="right"/>
              <w:rPr>
                <w:sz w:val="20"/>
                <w:szCs w:val="20"/>
              </w:rPr>
            </w:pPr>
            <w:r>
              <w:rPr>
                <w:sz w:val="20"/>
                <w:szCs w:val="20"/>
              </w:rPr>
              <w:t>24 112</w:t>
            </w:r>
          </w:p>
        </w:tc>
        <w:tc>
          <w:tcPr>
            <w:tcW w:w="1134" w:type="dxa"/>
            <w:tcBorders>
              <w:top w:val="nil"/>
              <w:left w:val="nil"/>
              <w:bottom w:val="single" w:sz="4" w:space="0" w:color="auto"/>
              <w:right w:val="single" w:sz="8" w:space="0" w:color="auto"/>
            </w:tcBorders>
            <w:tcMar>
              <w:top w:w="0" w:type="dxa"/>
              <w:left w:w="70" w:type="dxa"/>
              <w:bottom w:w="0" w:type="dxa"/>
              <w:right w:w="70" w:type="dxa"/>
            </w:tcMar>
            <w:vAlign w:val="center"/>
          </w:tcPr>
          <w:p w14:paraId="2E1114D7" w14:textId="77777777" w:rsidR="008925B5" w:rsidRPr="00DF7B82" w:rsidRDefault="008925B5" w:rsidP="002A4D88">
            <w:pPr>
              <w:spacing w:after="0" w:line="252" w:lineRule="auto"/>
              <w:jc w:val="right"/>
              <w:rPr>
                <w:sz w:val="20"/>
                <w:szCs w:val="20"/>
              </w:rPr>
            </w:pPr>
            <w:r>
              <w:rPr>
                <w:sz w:val="20"/>
                <w:szCs w:val="20"/>
              </w:rPr>
              <w:t>24 112</w:t>
            </w:r>
          </w:p>
        </w:tc>
        <w:tc>
          <w:tcPr>
            <w:tcW w:w="1178" w:type="dxa"/>
            <w:tcBorders>
              <w:top w:val="nil"/>
              <w:left w:val="nil"/>
              <w:bottom w:val="single" w:sz="4" w:space="0" w:color="auto"/>
              <w:right w:val="single" w:sz="8" w:space="0" w:color="auto"/>
            </w:tcBorders>
            <w:tcMar>
              <w:top w:w="0" w:type="dxa"/>
              <w:left w:w="70" w:type="dxa"/>
              <w:bottom w:w="0" w:type="dxa"/>
              <w:right w:w="70" w:type="dxa"/>
            </w:tcMar>
            <w:vAlign w:val="center"/>
          </w:tcPr>
          <w:p w14:paraId="605955A5" w14:textId="77777777" w:rsidR="008925B5" w:rsidRPr="00DF7B82" w:rsidRDefault="008925B5" w:rsidP="002A4D88">
            <w:pPr>
              <w:spacing w:after="0" w:line="252" w:lineRule="auto"/>
              <w:jc w:val="right"/>
              <w:rPr>
                <w:sz w:val="20"/>
                <w:szCs w:val="20"/>
              </w:rPr>
            </w:pPr>
            <w:r>
              <w:rPr>
                <w:sz w:val="20"/>
                <w:szCs w:val="20"/>
              </w:rPr>
              <w:t>1 773</w:t>
            </w:r>
          </w:p>
        </w:tc>
        <w:tc>
          <w:tcPr>
            <w:tcW w:w="796" w:type="dxa"/>
            <w:tcBorders>
              <w:top w:val="nil"/>
              <w:left w:val="nil"/>
              <w:bottom w:val="single" w:sz="4" w:space="0" w:color="auto"/>
              <w:right w:val="single" w:sz="8" w:space="0" w:color="auto"/>
            </w:tcBorders>
            <w:tcMar>
              <w:top w:w="0" w:type="dxa"/>
              <w:left w:w="70" w:type="dxa"/>
              <w:bottom w:w="0" w:type="dxa"/>
              <w:right w:w="70" w:type="dxa"/>
            </w:tcMar>
            <w:vAlign w:val="center"/>
          </w:tcPr>
          <w:p w14:paraId="5E37771A" w14:textId="77777777" w:rsidR="008925B5" w:rsidRPr="00DF7B82" w:rsidRDefault="008925B5" w:rsidP="002A4D88">
            <w:pPr>
              <w:spacing w:after="0" w:line="252" w:lineRule="auto"/>
              <w:jc w:val="right"/>
              <w:rPr>
                <w:sz w:val="20"/>
                <w:szCs w:val="20"/>
              </w:rPr>
            </w:pPr>
            <w:r>
              <w:rPr>
                <w:sz w:val="20"/>
                <w:szCs w:val="20"/>
              </w:rPr>
              <w:t>X</w:t>
            </w:r>
          </w:p>
        </w:tc>
      </w:tr>
      <w:tr w:rsidR="008925B5" w:rsidRPr="006A755F" w14:paraId="16BEDD13" w14:textId="77777777" w:rsidTr="002A4D88">
        <w:trPr>
          <w:trHeight w:val="655"/>
          <w:tblHeader/>
        </w:trPr>
        <w:tc>
          <w:tcPr>
            <w:tcW w:w="2103"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2455B885" w14:textId="5E8296E0" w:rsidR="008925B5" w:rsidRPr="006A755F" w:rsidRDefault="008925B5" w:rsidP="002A4D88">
            <w:pPr>
              <w:spacing w:after="0" w:line="252" w:lineRule="auto"/>
              <w:rPr>
                <w:sz w:val="20"/>
                <w:szCs w:val="20"/>
              </w:rPr>
            </w:pPr>
            <w:r>
              <w:rPr>
                <w:b/>
                <w:color w:val="2F5496" w:themeColor="accent5" w:themeShade="BF"/>
                <w:sz w:val="20"/>
                <w:szCs w:val="20"/>
              </w:rPr>
              <w:t>Ostatní fondy EU</w:t>
            </w:r>
            <w:r w:rsidRPr="006A755F">
              <w:rPr>
                <w:b/>
                <w:color w:val="2F5496" w:themeColor="accent5" w:themeShade="BF"/>
                <w:sz w:val="20"/>
                <w:szCs w:val="20"/>
              </w:rPr>
              <w:t xml:space="preserve"> </w:t>
            </w:r>
            <w:r w:rsidR="006A71C8">
              <w:rPr>
                <w:b/>
                <w:color w:val="2F5496" w:themeColor="accent5" w:themeShade="BF"/>
                <w:sz w:val="20"/>
                <w:szCs w:val="20"/>
              </w:rPr>
              <w:br/>
            </w:r>
            <w:r w:rsidRPr="006A755F">
              <w:rPr>
                <w:color w:val="2F5496" w:themeColor="accent5" w:themeShade="BF"/>
                <w:sz w:val="20"/>
                <w:szCs w:val="20"/>
              </w:rPr>
              <w:t>(v tom:)</w:t>
            </w:r>
          </w:p>
        </w:tc>
        <w:tc>
          <w:tcPr>
            <w:tcW w:w="1318"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079479CC" w14:textId="77777777" w:rsidR="008925B5" w:rsidRPr="000F4B96" w:rsidRDefault="008925B5" w:rsidP="002A4D88">
            <w:pPr>
              <w:spacing w:after="0" w:line="252" w:lineRule="auto"/>
              <w:jc w:val="right"/>
              <w:rPr>
                <w:b/>
                <w:bCs/>
                <w:sz w:val="20"/>
                <w:szCs w:val="20"/>
              </w:rPr>
            </w:pPr>
            <w:r>
              <w:rPr>
                <w:b/>
                <w:color w:val="2F5496" w:themeColor="accent5" w:themeShade="BF"/>
                <w:sz w:val="20"/>
                <w:szCs w:val="20"/>
              </w:rPr>
              <w:t>0</w:t>
            </w:r>
          </w:p>
        </w:tc>
        <w:tc>
          <w:tcPr>
            <w:tcW w:w="1202"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6611326A" w14:textId="77777777" w:rsidR="008925B5" w:rsidRPr="000F4B96" w:rsidRDefault="008925B5" w:rsidP="002A4D88">
            <w:pPr>
              <w:spacing w:after="0" w:line="252" w:lineRule="auto"/>
              <w:jc w:val="right"/>
              <w:rPr>
                <w:b/>
                <w:bCs/>
                <w:sz w:val="20"/>
                <w:szCs w:val="20"/>
              </w:rPr>
            </w:pPr>
            <w:r>
              <w:rPr>
                <w:b/>
                <w:color w:val="2F5496" w:themeColor="accent5" w:themeShade="BF"/>
                <w:sz w:val="20"/>
                <w:szCs w:val="20"/>
              </w:rPr>
              <w:t>532 116</w:t>
            </w:r>
          </w:p>
        </w:tc>
        <w:tc>
          <w:tcPr>
            <w:tcW w:w="1251"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3CC80C43" w14:textId="77777777" w:rsidR="008925B5" w:rsidRPr="000F4B96" w:rsidRDefault="008925B5" w:rsidP="002A4D88">
            <w:pPr>
              <w:spacing w:after="0" w:line="252" w:lineRule="auto"/>
              <w:jc w:val="right"/>
              <w:rPr>
                <w:b/>
                <w:bCs/>
                <w:sz w:val="20"/>
                <w:szCs w:val="20"/>
              </w:rPr>
            </w:pPr>
            <w:r>
              <w:rPr>
                <w:b/>
                <w:color w:val="2F5496" w:themeColor="accent5" w:themeShade="BF"/>
                <w:sz w:val="20"/>
                <w:szCs w:val="20"/>
              </w:rPr>
              <w:t>14 606</w:t>
            </w:r>
          </w:p>
        </w:tc>
        <w:tc>
          <w:tcPr>
            <w:tcW w:w="1134"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618B3490" w14:textId="77777777" w:rsidR="008925B5" w:rsidRPr="000F4B96" w:rsidRDefault="008925B5" w:rsidP="002A4D88">
            <w:pPr>
              <w:spacing w:after="0" w:line="252" w:lineRule="auto"/>
              <w:jc w:val="right"/>
              <w:rPr>
                <w:b/>
                <w:bCs/>
                <w:sz w:val="20"/>
                <w:szCs w:val="20"/>
              </w:rPr>
            </w:pPr>
            <w:r>
              <w:rPr>
                <w:b/>
                <w:color w:val="2F5496" w:themeColor="accent5" w:themeShade="BF"/>
                <w:sz w:val="20"/>
                <w:szCs w:val="20"/>
              </w:rPr>
              <w:t>13 236</w:t>
            </w:r>
          </w:p>
        </w:tc>
        <w:tc>
          <w:tcPr>
            <w:tcW w:w="1178"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346C6A6E" w14:textId="77777777" w:rsidR="008925B5" w:rsidRPr="000F4B96" w:rsidRDefault="008925B5" w:rsidP="002A4D88">
            <w:pPr>
              <w:spacing w:after="0" w:line="252" w:lineRule="auto"/>
              <w:jc w:val="right"/>
              <w:rPr>
                <w:b/>
                <w:bCs/>
                <w:sz w:val="20"/>
                <w:szCs w:val="20"/>
              </w:rPr>
            </w:pPr>
            <w:r>
              <w:rPr>
                <w:b/>
                <w:color w:val="2F5496" w:themeColor="accent5" w:themeShade="BF"/>
                <w:sz w:val="20"/>
                <w:szCs w:val="20"/>
              </w:rPr>
              <w:t>720</w:t>
            </w:r>
          </w:p>
        </w:tc>
        <w:tc>
          <w:tcPr>
            <w:tcW w:w="796" w:type="dxa"/>
            <w:tcBorders>
              <w:top w:val="single" w:sz="4" w:space="0" w:color="auto"/>
              <w:left w:val="single" w:sz="4" w:space="0" w:color="auto"/>
              <w:right w:val="single" w:sz="4" w:space="0" w:color="auto"/>
            </w:tcBorders>
            <w:tcMar>
              <w:top w:w="0" w:type="dxa"/>
              <w:left w:w="70" w:type="dxa"/>
              <w:bottom w:w="0" w:type="dxa"/>
              <w:right w:w="70" w:type="dxa"/>
            </w:tcMar>
            <w:vAlign w:val="center"/>
          </w:tcPr>
          <w:p w14:paraId="3E3BC9F0" w14:textId="77777777" w:rsidR="008925B5" w:rsidRPr="000F4B96" w:rsidRDefault="008925B5" w:rsidP="002A4D88">
            <w:pPr>
              <w:spacing w:after="0" w:line="252" w:lineRule="auto"/>
              <w:jc w:val="right"/>
              <w:rPr>
                <w:b/>
                <w:bCs/>
                <w:sz w:val="20"/>
                <w:szCs w:val="20"/>
              </w:rPr>
            </w:pPr>
            <w:r>
              <w:rPr>
                <w:b/>
                <w:color w:val="2F5496" w:themeColor="accent5" w:themeShade="BF"/>
                <w:sz w:val="20"/>
                <w:szCs w:val="20"/>
              </w:rPr>
              <w:t>X</w:t>
            </w:r>
          </w:p>
        </w:tc>
      </w:tr>
      <w:tr w:rsidR="008925B5" w:rsidRPr="006A755F" w14:paraId="7430A7D2" w14:textId="77777777" w:rsidTr="002A4D88">
        <w:trPr>
          <w:trHeight w:val="406"/>
          <w:tblHeader/>
        </w:trPr>
        <w:tc>
          <w:tcPr>
            <w:tcW w:w="2103" w:type="dxa"/>
            <w:tcBorders>
              <w:left w:val="single" w:sz="4" w:space="0" w:color="auto"/>
              <w:right w:val="single" w:sz="4" w:space="0" w:color="auto"/>
            </w:tcBorders>
            <w:tcMar>
              <w:top w:w="0" w:type="dxa"/>
              <w:left w:w="70" w:type="dxa"/>
              <w:bottom w:w="0" w:type="dxa"/>
              <w:right w:w="70" w:type="dxa"/>
            </w:tcMar>
            <w:vAlign w:val="center"/>
          </w:tcPr>
          <w:p w14:paraId="3333D00F" w14:textId="77777777" w:rsidR="008925B5" w:rsidRPr="006A755F" w:rsidRDefault="008925B5" w:rsidP="002A4D88">
            <w:pPr>
              <w:spacing w:after="0" w:line="252" w:lineRule="auto"/>
              <w:rPr>
                <w:b/>
                <w:color w:val="2F5496" w:themeColor="accent5" w:themeShade="BF"/>
                <w:sz w:val="20"/>
                <w:szCs w:val="20"/>
              </w:rPr>
            </w:pPr>
            <w:r w:rsidRPr="006A755F">
              <w:rPr>
                <w:sz w:val="20"/>
                <w:szCs w:val="20"/>
              </w:rPr>
              <w:tab/>
              <w:t>EU podíl</w:t>
            </w:r>
          </w:p>
        </w:tc>
        <w:tc>
          <w:tcPr>
            <w:tcW w:w="1318" w:type="dxa"/>
            <w:tcBorders>
              <w:left w:val="single" w:sz="4" w:space="0" w:color="auto"/>
              <w:right w:val="single" w:sz="4" w:space="0" w:color="auto"/>
            </w:tcBorders>
            <w:tcMar>
              <w:top w:w="0" w:type="dxa"/>
              <w:left w:w="70" w:type="dxa"/>
              <w:bottom w:w="0" w:type="dxa"/>
              <w:right w:w="70" w:type="dxa"/>
            </w:tcMar>
            <w:vAlign w:val="center"/>
          </w:tcPr>
          <w:p w14:paraId="65C1A517" w14:textId="77777777" w:rsidR="008925B5" w:rsidRPr="006566A2" w:rsidRDefault="008925B5" w:rsidP="002A4D88">
            <w:pPr>
              <w:spacing w:after="0" w:line="252" w:lineRule="auto"/>
              <w:jc w:val="right"/>
              <w:rPr>
                <w:bCs/>
                <w:color w:val="2F5496" w:themeColor="accent5" w:themeShade="BF"/>
                <w:sz w:val="20"/>
                <w:szCs w:val="20"/>
              </w:rPr>
            </w:pPr>
            <w:r w:rsidRPr="006566A2">
              <w:rPr>
                <w:bCs/>
                <w:sz w:val="20"/>
                <w:szCs w:val="20"/>
              </w:rPr>
              <w:t>0</w:t>
            </w:r>
          </w:p>
        </w:tc>
        <w:tc>
          <w:tcPr>
            <w:tcW w:w="1202" w:type="dxa"/>
            <w:tcBorders>
              <w:left w:val="single" w:sz="4" w:space="0" w:color="auto"/>
              <w:right w:val="single" w:sz="4" w:space="0" w:color="auto"/>
            </w:tcBorders>
            <w:tcMar>
              <w:top w:w="0" w:type="dxa"/>
              <w:left w:w="70" w:type="dxa"/>
              <w:bottom w:w="0" w:type="dxa"/>
              <w:right w:w="70" w:type="dxa"/>
            </w:tcMar>
            <w:vAlign w:val="center"/>
          </w:tcPr>
          <w:p w14:paraId="50E754CC" w14:textId="77777777" w:rsidR="008925B5" w:rsidRPr="008129D1" w:rsidRDefault="008925B5" w:rsidP="002A4D88">
            <w:pPr>
              <w:spacing w:after="0" w:line="252" w:lineRule="auto"/>
              <w:jc w:val="right"/>
              <w:rPr>
                <w:bCs/>
                <w:color w:val="FF0000"/>
                <w:sz w:val="20"/>
                <w:szCs w:val="20"/>
              </w:rPr>
            </w:pPr>
            <w:r w:rsidRPr="008129D1">
              <w:rPr>
                <w:bCs/>
                <w:sz w:val="20"/>
                <w:szCs w:val="20"/>
              </w:rPr>
              <w:t>532 116</w:t>
            </w:r>
          </w:p>
        </w:tc>
        <w:tc>
          <w:tcPr>
            <w:tcW w:w="1251" w:type="dxa"/>
            <w:tcBorders>
              <w:left w:val="single" w:sz="4" w:space="0" w:color="auto"/>
              <w:right w:val="single" w:sz="4" w:space="0" w:color="auto"/>
            </w:tcBorders>
            <w:tcMar>
              <w:top w:w="0" w:type="dxa"/>
              <w:left w:w="70" w:type="dxa"/>
              <w:bottom w:w="0" w:type="dxa"/>
              <w:right w:w="70" w:type="dxa"/>
            </w:tcMar>
            <w:vAlign w:val="center"/>
          </w:tcPr>
          <w:p w14:paraId="55ACF019" w14:textId="77777777" w:rsidR="008925B5" w:rsidRPr="00504253" w:rsidRDefault="008925B5" w:rsidP="002A4D88">
            <w:pPr>
              <w:spacing w:after="0" w:line="252" w:lineRule="auto"/>
              <w:jc w:val="right"/>
              <w:rPr>
                <w:bCs/>
                <w:sz w:val="20"/>
                <w:szCs w:val="20"/>
              </w:rPr>
            </w:pPr>
            <w:r w:rsidRPr="00504253">
              <w:rPr>
                <w:bCs/>
                <w:sz w:val="20"/>
                <w:szCs w:val="20"/>
              </w:rPr>
              <w:t>14 606</w:t>
            </w:r>
          </w:p>
        </w:tc>
        <w:tc>
          <w:tcPr>
            <w:tcW w:w="1134" w:type="dxa"/>
            <w:tcBorders>
              <w:left w:val="single" w:sz="4" w:space="0" w:color="auto"/>
              <w:right w:val="single" w:sz="4" w:space="0" w:color="auto"/>
            </w:tcBorders>
            <w:tcMar>
              <w:top w:w="0" w:type="dxa"/>
              <w:left w:w="70" w:type="dxa"/>
              <w:bottom w:w="0" w:type="dxa"/>
              <w:right w:w="70" w:type="dxa"/>
            </w:tcMar>
            <w:vAlign w:val="center"/>
          </w:tcPr>
          <w:p w14:paraId="6683CEB0" w14:textId="77777777" w:rsidR="008925B5" w:rsidRPr="00504253" w:rsidRDefault="008925B5" w:rsidP="002A4D88">
            <w:pPr>
              <w:spacing w:after="0" w:line="252" w:lineRule="auto"/>
              <w:jc w:val="right"/>
              <w:rPr>
                <w:bCs/>
                <w:sz w:val="20"/>
                <w:szCs w:val="20"/>
              </w:rPr>
            </w:pPr>
            <w:r w:rsidRPr="00504253">
              <w:rPr>
                <w:bCs/>
                <w:sz w:val="20"/>
                <w:szCs w:val="20"/>
              </w:rPr>
              <w:t>13 236</w:t>
            </w:r>
          </w:p>
        </w:tc>
        <w:tc>
          <w:tcPr>
            <w:tcW w:w="1178" w:type="dxa"/>
            <w:tcBorders>
              <w:left w:val="single" w:sz="4" w:space="0" w:color="auto"/>
              <w:right w:val="single" w:sz="4" w:space="0" w:color="auto"/>
            </w:tcBorders>
            <w:tcMar>
              <w:top w:w="0" w:type="dxa"/>
              <w:left w:w="70" w:type="dxa"/>
              <w:bottom w:w="0" w:type="dxa"/>
              <w:right w:w="70" w:type="dxa"/>
            </w:tcMar>
            <w:vAlign w:val="center"/>
          </w:tcPr>
          <w:p w14:paraId="699D2D72" w14:textId="77777777" w:rsidR="008925B5" w:rsidRPr="00504253" w:rsidRDefault="008925B5" w:rsidP="002A4D88">
            <w:pPr>
              <w:spacing w:after="0" w:line="252" w:lineRule="auto"/>
              <w:jc w:val="right"/>
              <w:rPr>
                <w:bCs/>
                <w:sz w:val="20"/>
                <w:szCs w:val="20"/>
              </w:rPr>
            </w:pPr>
            <w:r w:rsidRPr="00504253">
              <w:rPr>
                <w:bCs/>
                <w:sz w:val="20"/>
                <w:szCs w:val="20"/>
              </w:rPr>
              <w:t>720</w:t>
            </w:r>
          </w:p>
        </w:tc>
        <w:tc>
          <w:tcPr>
            <w:tcW w:w="796" w:type="dxa"/>
            <w:tcBorders>
              <w:left w:val="single" w:sz="4" w:space="0" w:color="auto"/>
              <w:right w:val="single" w:sz="4" w:space="0" w:color="auto"/>
            </w:tcBorders>
            <w:tcMar>
              <w:top w:w="0" w:type="dxa"/>
              <w:left w:w="70" w:type="dxa"/>
              <w:bottom w:w="0" w:type="dxa"/>
              <w:right w:w="70" w:type="dxa"/>
            </w:tcMar>
            <w:vAlign w:val="center"/>
          </w:tcPr>
          <w:p w14:paraId="4DE563C0" w14:textId="77777777" w:rsidR="008925B5" w:rsidRPr="008C7048" w:rsidRDefault="008925B5" w:rsidP="002A4D88">
            <w:pPr>
              <w:spacing w:after="0" w:line="252" w:lineRule="auto"/>
              <w:jc w:val="right"/>
              <w:rPr>
                <w:b/>
                <w:color w:val="FF0000"/>
                <w:sz w:val="20"/>
                <w:szCs w:val="20"/>
              </w:rPr>
            </w:pPr>
            <w:r>
              <w:rPr>
                <w:sz w:val="20"/>
                <w:szCs w:val="20"/>
              </w:rPr>
              <w:t>X</w:t>
            </w:r>
          </w:p>
        </w:tc>
      </w:tr>
      <w:tr w:rsidR="008925B5" w:rsidRPr="006A755F" w14:paraId="069E56E5" w14:textId="77777777" w:rsidTr="002A4D88">
        <w:trPr>
          <w:trHeight w:val="139"/>
          <w:tblHeader/>
        </w:trPr>
        <w:tc>
          <w:tcPr>
            <w:tcW w:w="2103"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09A312C9" w14:textId="77777777" w:rsidR="008925B5" w:rsidRPr="006A755F" w:rsidRDefault="008925B5" w:rsidP="002A4D88">
            <w:pPr>
              <w:spacing w:after="0" w:line="252" w:lineRule="auto"/>
              <w:rPr>
                <w:sz w:val="20"/>
                <w:szCs w:val="20"/>
              </w:rPr>
            </w:pPr>
            <w:r w:rsidRPr="006A755F">
              <w:rPr>
                <w:sz w:val="20"/>
                <w:szCs w:val="20"/>
              </w:rPr>
              <w:tab/>
              <w:t>SR podíl</w:t>
            </w:r>
          </w:p>
        </w:tc>
        <w:tc>
          <w:tcPr>
            <w:tcW w:w="1318"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50146749" w14:textId="77777777" w:rsidR="008925B5" w:rsidRDefault="008925B5" w:rsidP="002A4D88">
            <w:pPr>
              <w:spacing w:after="0" w:line="252" w:lineRule="auto"/>
              <w:jc w:val="right"/>
              <w:rPr>
                <w:sz w:val="20"/>
                <w:szCs w:val="20"/>
              </w:rPr>
            </w:pPr>
            <w:r w:rsidRPr="006A755F">
              <w:rPr>
                <w:sz w:val="20"/>
                <w:szCs w:val="20"/>
              </w:rPr>
              <w:t>0</w:t>
            </w:r>
          </w:p>
        </w:tc>
        <w:tc>
          <w:tcPr>
            <w:tcW w:w="1202"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39CB3330" w14:textId="77777777" w:rsidR="008925B5" w:rsidRPr="008C7048" w:rsidRDefault="008925B5" w:rsidP="002A4D88">
            <w:pPr>
              <w:spacing w:after="0" w:line="252" w:lineRule="auto"/>
              <w:jc w:val="right"/>
              <w:rPr>
                <w:color w:val="FF0000"/>
                <w:sz w:val="20"/>
                <w:szCs w:val="20"/>
              </w:rPr>
            </w:pPr>
            <w:r w:rsidRPr="00DF7B82">
              <w:rPr>
                <w:sz w:val="20"/>
                <w:szCs w:val="20"/>
              </w:rPr>
              <w:t>0</w:t>
            </w:r>
          </w:p>
        </w:tc>
        <w:tc>
          <w:tcPr>
            <w:tcW w:w="1251"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43777FD8" w14:textId="77777777" w:rsidR="008925B5" w:rsidRPr="008C7048" w:rsidRDefault="008925B5" w:rsidP="002A4D88">
            <w:pPr>
              <w:spacing w:after="0" w:line="252" w:lineRule="auto"/>
              <w:jc w:val="right"/>
              <w:rPr>
                <w:color w:val="FF0000"/>
                <w:sz w:val="20"/>
                <w:szCs w:val="20"/>
              </w:rPr>
            </w:pPr>
            <w:r w:rsidRPr="00DF7B82">
              <w:rPr>
                <w:sz w:val="20"/>
                <w:szCs w:val="20"/>
              </w:rPr>
              <w:t>0</w:t>
            </w:r>
          </w:p>
        </w:tc>
        <w:tc>
          <w:tcPr>
            <w:tcW w:w="1134"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5A705F47" w14:textId="77777777" w:rsidR="008925B5" w:rsidRPr="008C7048" w:rsidRDefault="008925B5" w:rsidP="002A4D88">
            <w:pPr>
              <w:spacing w:after="0" w:line="252" w:lineRule="auto"/>
              <w:jc w:val="right"/>
              <w:rPr>
                <w:color w:val="FF0000"/>
                <w:sz w:val="20"/>
                <w:szCs w:val="20"/>
              </w:rPr>
            </w:pPr>
            <w:r w:rsidRPr="00DF7B82">
              <w:rPr>
                <w:sz w:val="20"/>
                <w:szCs w:val="20"/>
              </w:rPr>
              <w:t>0</w:t>
            </w:r>
          </w:p>
        </w:tc>
        <w:tc>
          <w:tcPr>
            <w:tcW w:w="1178"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24041085" w14:textId="77777777" w:rsidR="008925B5" w:rsidRPr="008C7048" w:rsidRDefault="008925B5" w:rsidP="002A4D88">
            <w:pPr>
              <w:spacing w:after="0" w:line="252" w:lineRule="auto"/>
              <w:jc w:val="right"/>
              <w:rPr>
                <w:color w:val="FF0000"/>
                <w:sz w:val="20"/>
                <w:szCs w:val="20"/>
              </w:rPr>
            </w:pPr>
            <w:r w:rsidRPr="00DF7B82">
              <w:rPr>
                <w:sz w:val="20"/>
                <w:szCs w:val="20"/>
              </w:rPr>
              <w:t>0</w:t>
            </w:r>
          </w:p>
        </w:tc>
        <w:tc>
          <w:tcPr>
            <w:tcW w:w="796" w:type="dxa"/>
            <w:tcBorders>
              <w:left w:val="single" w:sz="4" w:space="0" w:color="auto"/>
              <w:bottom w:val="single" w:sz="4" w:space="0" w:color="auto"/>
              <w:right w:val="single" w:sz="4" w:space="0" w:color="auto"/>
            </w:tcBorders>
            <w:tcMar>
              <w:top w:w="0" w:type="dxa"/>
              <w:left w:w="70" w:type="dxa"/>
              <w:bottom w:w="0" w:type="dxa"/>
              <w:right w:w="70" w:type="dxa"/>
            </w:tcMar>
            <w:vAlign w:val="center"/>
          </w:tcPr>
          <w:p w14:paraId="4AFA7D1B" w14:textId="77777777" w:rsidR="008925B5" w:rsidRPr="008C7048" w:rsidRDefault="008925B5" w:rsidP="002A4D88">
            <w:pPr>
              <w:spacing w:after="0" w:line="252" w:lineRule="auto"/>
              <w:jc w:val="right"/>
              <w:rPr>
                <w:color w:val="FF0000"/>
                <w:sz w:val="20"/>
                <w:szCs w:val="20"/>
              </w:rPr>
            </w:pPr>
            <w:r>
              <w:rPr>
                <w:sz w:val="20"/>
                <w:szCs w:val="20"/>
              </w:rPr>
              <w:t>X</w:t>
            </w:r>
          </w:p>
        </w:tc>
      </w:tr>
    </w:tbl>
    <w:p w14:paraId="15EE2A5A" w14:textId="5DC2A3F4" w:rsidR="0043755D" w:rsidRPr="006B6D61" w:rsidRDefault="00EE339D" w:rsidP="00BA4E5A">
      <w:pPr>
        <w:pStyle w:val="KOMtext"/>
      </w:pPr>
      <w:r w:rsidRPr="006B6D61">
        <w:t>Přehled výdajů na programy spolufinancované z rozpočtu EU po jednotlivých nástrojích je podrobně uveden v tabulce č. 7.</w:t>
      </w:r>
    </w:p>
    <w:p w14:paraId="78D081C0" w14:textId="001122EC" w:rsidR="00EE339D" w:rsidRPr="006B6D61" w:rsidRDefault="00EE339D" w:rsidP="00E20BD6">
      <w:pPr>
        <w:pStyle w:val="KOMnadp3"/>
      </w:pPr>
      <w:bookmarkStart w:id="181" w:name="_Toc162269251"/>
      <w:r w:rsidRPr="006B6D61">
        <w:t xml:space="preserve">Operační program Doprava – programové období </w:t>
      </w:r>
      <w:proofErr w:type="gramStart"/>
      <w:r w:rsidRPr="006B6D61">
        <w:t>2014 – 2020</w:t>
      </w:r>
      <w:bookmarkEnd w:id="181"/>
      <w:proofErr w:type="gramEnd"/>
    </w:p>
    <w:tbl>
      <w:tblPr>
        <w:tblStyle w:val="Mkatabulky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AB3661" w:rsidRPr="006A755F" w14:paraId="49960AAB" w14:textId="77777777" w:rsidTr="00CD7332">
        <w:trPr>
          <w:trHeight w:val="354"/>
        </w:trPr>
        <w:tc>
          <w:tcPr>
            <w:tcW w:w="4253" w:type="dxa"/>
            <w:gridSpan w:val="2"/>
            <w:vAlign w:val="center"/>
          </w:tcPr>
          <w:p w14:paraId="0EC14A15" w14:textId="77777777" w:rsidR="00AB3661" w:rsidRPr="004A12C5" w:rsidRDefault="00AB3661" w:rsidP="00CD7332">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2843BC28" w14:textId="77777777" w:rsidR="00AB3661" w:rsidRPr="004A12C5" w:rsidRDefault="00AB3661" w:rsidP="00CD7332">
            <w:pPr>
              <w:keepNext/>
              <w:keepLines/>
              <w:tabs>
                <w:tab w:val="left" w:pos="3969"/>
              </w:tabs>
              <w:spacing w:before="120" w:after="60"/>
              <w:jc w:val="right"/>
              <w:rPr>
                <w:b/>
                <w:sz w:val="24"/>
                <w:szCs w:val="24"/>
              </w:rPr>
            </w:pPr>
            <w:r>
              <w:rPr>
                <w:b/>
                <w:sz w:val="24"/>
                <w:szCs w:val="24"/>
              </w:rPr>
              <w:t>7 706 595</w:t>
            </w:r>
            <w:r w:rsidRPr="004A12C5">
              <w:rPr>
                <w:b/>
                <w:sz w:val="24"/>
                <w:szCs w:val="24"/>
              </w:rPr>
              <w:t xml:space="preserve"> tis. Kč</w:t>
            </w:r>
          </w:p>
        </w:tc>
      </w:tr>
      <w:tr w:rsidR="00AB3661" w:rsidRPr="006A755F" w14:paraId="1593B3E9" w14:textId="77777777" w:rsidTr="00CD7332">
        <w:trPr>
          <w:trHeight w:val="418"/>
        </w:trPr>
        <w:tc>
          <w:tcPr>
            <w:tcW w:w="4253" w:type="dxa"/>
            <w:gridSpan w:val="2"/>
            <w:vAlign w:val="center"/>
          </w:tcPr>
          <w:p w14:paraId="1C242E8B" w14:textId="77777777" w:rsidR="00AB3661" w:rsidRPr="004A12C5" w:rsidRDefault="00AB3661" w:rsidP="00CD7332">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331A5DF8" w14:textId="77777777" w:rsidR="00AB3661" w:rsidRPr="004A12C5" w:rsidRDefault="00AB3661" w:rsidP="00CD7332">
            <w:pPr>
              <w:keepNext/>
              <w:keepLines/>
              <w:tabs>
                <w:tab w:val="left" w:pos="3969"/>
              </w:tabs>
              <w:spacing w:before="60" w:after="60"/>
              <w:jc w:val="right"/>
              <w:rPr>
                <w:b/>
                <w:sz w:val="24"/>
                <w:szCs w:val="24"/>
              </w:rPr>
            </w:pPr>
            <w:r>
              <w:rPr>
                <w:b/>
                <w:sz w:val="24"/>
                <w:szCs w:val="24"/>
              </w:rPr>
              <w:t>7 700 546</w:t>
            </w:r>
            <w:r w:rsidRPr="004A12C5">
              <w:rPr>
                <w:b/>
                <w:sz w:val="24"/>
                <w:szCs w:val="24"/>
              </w:rPr>
              <w:t xml:space="preserve"> tis. Kč</w:t>
            </w:r>
          </w:p>
        </w:tc>
      </w:tr>
      <w:tr w:rsidR="00AB3661" w:rsidRPr="006A755F" w14:paraId="0CF9C994" w14:textId="77777777" w:rsidTr="00CD7332">
        <w:trPr>
          <w:trHeight w:val="170"/>
        </w:trPr>
        <w:tc>
          <w:tcPr>
            <w:tcW w:w="704" w:type="dxa"/>
            <w:vAlign w:val="center"/>
          </w:tcPr>
          <w:p w14:paraId="5E69A9B0" w14:textId="77777777" w:rsidR="00AB3661" w:rsidRPr="004A12C5" w:rsidRDefault="00AB3661" w:rsidP="00CD7332">
            <w:pPr>
              <w:keepNext/>
              <w:keepLines/>
              <w:tabs>
                <w:tab w:val="left" w:pos="3969"/>
              </w:tabs>
              <w:spacing w:before="60" w:after="60"/>
              <w:rPr>
                <w:b/>
                <w:sz w:val="24"/>
                <w:szCs w:val="24"/>
              </w:rPr>
            </w:pPr>
          </w:p>
        </w:tc>
        <w:tc>
          <w:tcPr>
            <w:tcW w:w="3549" w:type="dxa"/>
            <w:vAlign w:val="center"/>
          </w:tcPr>
          <w:p w14:paraId="169FC00C" w14:textId="77777777" w:rsidR="00AB3661" w:rsidRPr="004A12C5" w:rsidRDefault="00AB3661" w:rsidP="00CD7332">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0997508C" w14:textId="77777777" w:rsidR="00AB3661" w:rsidRPr="004A12C5" w:rsidRDefault="00AB3661" w:rsidP="00CD7332">
            <w:pPr>
              <w:keepNext/>
              <w:keepLines/>
              <w:tabs>
                <w:tab w:val="left" w:pos="3969"/>
              </w:tabs>
              <w:spacing w:before="60" w:after="60"/>
              <w:jc w:val="right"/>
              <w:rPr>
                <w:b/>
                <w:sz w:val="24"/>
                <w:szCs w:val="24"/>
              </w:rPr>
            </w:pPr>
            <w:r>
              <w:rPr>
                <w:b/>
                <w:sz w:val="24"/>
                <w:szCs w:val="24"/>
              </w:rPr>
              <w:t>6 049</w:t>
            </w:r>
            <w:r w:rsidRPr="004A12C5">
              <w:rPr>
                <w:b/>
                <w:sz w:val="24"/>
                <w:szCs w:val="24"/>
              </w:rPr>
              <w:t xml:space="preserve"> tis. Kč</w:t>
            </w:r>
          </w:p>
        </w:tc>
      </w:tr>
    </w:tbl>
    <w:p w14:paraId="25443E50" w14:textId="77777777" w:rsidR="005309BB" w:rsidRDefault="005309BB" w:rsidP="00BA17BA">
      <w:pPr>
        <w:pStyle w:val="KOMtext"/>
      </w:pPr>
    </w:p>
    <w:p w14:paraId="0395DA43" w14:textId="23739C69" w:rsidR="00BA17BA" w:rsidRPr="00A65A3B" w:rsidRDefault="00EE339D" w:rsidP="00BA17BA">
      <w:pPr>
        <w:pStyle w:val="KOMtext"/>
      </w:pPr>
      <w:r w:rsidRPr="00A65A3B">
        <w:lastRenderedPageBreak/>
        <w:t xml:space="preserve">Operační program Doprava 2014-2020 byl schválen usnesením vlády č. 558 ze dne </w:t>
      </w:r>
      <w:r w:rsidRPr="00A65A3B">
        <w:br/>
        <w:t xml:space="preserve">9. července 2014. Řídícím orgánem Operačního programu Doprava 2014-2020 bylo usnesením vlády č. 867 ze dne 28. listopadu 2012 pověřeno Ministerstvo dopravy. Operační program Doprava 2014-2020 vychází z materiálu Dopravní politika ČR pro období 2014-2020 </w:t>
      </w:r>
      <w:r w:rsidRPr="00A65A3B">
        <w:br/>
        <w:t xml:space="preserve">s výhledem do roku 2050 a jejích návazných strategických dokumentů, především Dopravní sektorové strategie, 2. fáze (Střednědobý plán rozvoje dopravní infrastruktury s dlouhodobým výhledem do roku 2050). Schválení Operačního programu Doprava 2014-2020 ze strany Evropské komise se uskutečnilo dne 11. 5. 2015 ve vazbě na změnu rozpočtu EU. </w:t>
      </w:r>
      <w:r w:rsidRPr="00A65A3B">
        <w:br/>
        <w:t xml:space="preserve">Dne 30. 11. 2015 byly vyhlášeny první výzvy a v roce 2016 byl zahájen proces hodnocení projektů a jejich následná realizace, což pokračovalo i v letech 2017-2022. Celková alokace Operačního programu Doprava 2014-2020 činí </w:t>
      </w:r>
      <w:r w:rsidRPr="00A65A3B">
        <w:rPr>
          <w:b/>
        </w:rPr>
        <w:t>4 559 769 999 EUR</w:t>
      </w:r>
      <w:r w:rsidRPr="00A65A3B">
        <w:t xml:space="preserve"> v členění: </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09"/>
        <w:gridCol w:w="2182"/>
      </w:tblGrid>
      <w:tr w:rsidR="00BA17BA" w:rsidRPr="00A65A3B" w14:paraId="5F95CC96" w14:textId="77777777" w:rsidTr="008F72E2">
        <w:trPr>
          <w:trHeight w:val="370"/>
        </w:trPr>
        <w:tc>
          <w:tcPr>
            <w:tcW w:w="1309" w:type="dxa"/>
          </w:tcPr>
          <w:p w14:paraId="26E2DFA2" w14:textId="77777777" w:rsidR="00BA17BA" w:rsidRPr="00A65A3B" w:rsidRDefault="00BA17BA" w:rsidP="008F72E2">
            <w:pPr>
              <w:jc w:val="both"/>
              <w:rPr>
                <w:b/>
                <w:i/>
                <w:sz w:val="24"/>
                <w:szCs w:val="24"/>
              </w:rPr>
            </w:pPr>
            <w:r w:rsidRPr="00A65A3B">
              <w:rPr>
                <w:b/>
                <w:i/>
                <w:sz w:val="24"/>
                <w:szCs w:val="24"/>
              </w:rPr>
              <w:t>FS:</w:t>
            </w:r>
          </w:p>
        </w:tc>
        <w:tc>
          <w:tcPr>
            <w:tcW w:w="2182" w:type="dxa"/>
          </w:tcPr>
          <w:p w14:paraId="68AA1288" w14:textId="77777777" w:rsidR="00BA17BA" w:rsidRPr="00A65A3B" w:rsidRDefault="00BA17BA" w:rsidP="008F72E2">
            <w:pPr>
              <w:jc w:val="right"/>
              <w:rPr>
                <w:b/>
                <w:i/>
                <w:sz w:val="24"/>
                <w:szCs w:val="24"/>
              </w:rPr>
            </w:pPr>
            <w:r w:rsidRPr="00A65A3B">
              <w:rPr>
                <w:b/>
                <w:i/>
                <w:sz w:val="24"/>
                <w:szCs w:val="24"/>
              </w:rPr>
              <w:t>3 657 452 860 EUR</w:t>
            </w:r>
          </w:p>
        </w:tc>
      </w:tr>
      <w:tr w:rsidR="00BA17BA" w:rsidRPr="008A687D" w14:paraId="005701B5" w14:textId="77777777" w:rsidTr="008F72E2">
        <w:trPr>
          <w:trHeight w:val="352"/>
        </w:trPr>
        <w:tc>
          <w:tcPr>
            <w:tcW w:w="1309" w:type="dxa"/>
          </w:tcPr>
          <w:p w14:paraId="10D686E3" w14:textId="77777777" w:rsidR="00BA17BA" w:rsidRPr="00A65A3B" w:rsidRDefault="00BA17BA" w:rsidP="008F72E2">
            <w:pPr>
              <w:jc w:val="both"/>
              <w:rPr>
                <w:b/>
                <w:i/>
                <w:sz w:val="24"/>
                <w:szCs w:val="24"/>
              </w:rPr>
            </w:pPr>
            <w:r w:rsidRPr="00A65A3B">
              <w:rPr>
                <w:b/>
                <w:i/>
                <w:sz w:val="24"/>
                <w:szCs w:val="24"/>
              </w:rPr>
              <w:t>ERDF:</w:t>
            </w:r>
          </w:p>
        </w:tc>
        <w:tc>
          <w:tcPr>
            <w:tcW w:w="2182" w:type="dxa"/>
          </w:tcPr>
          <w:p w14:paraId="110177A0" w14:textId="77777777" w:rsidR="00BA17BA" w:rsidRPr="00A65A3B" w:rsidRDefault="00BA17BA" w:rsidP="008F72E2">
            <w:pPr>
              <w:jc w:val="right"/>
              <w:rPr>
                <w:b/>
                <w:i/>
                <w:sz w:val="24"/>
                <w:szCs w:val="24"/>
              </w:rPr>
            </w:pPr>
            <w:r w:rsidRPr="00A65A3B">
              <w:rPr>
                <w:b/>
                <w:i/>
                <w:sz w:val="24"/>
                <w:szCs w:val="24"/>
              </w:rPr>
              <w:t>902 317 139 EUR</w:t>
            </w:r>
          </w:p>
        </w:tc>
      </w:tr>
    </w:tbl>
    <w:p w14:paraId="24E9224C" w14:textId="77777777" w:rsidR="00BA17BA" w:rsidRPr="000871CC" w:rsidRDefault="00BA17BA" w:rsidP="00BA17BA">
      <w:pPr>
        <w:pStyle w:val="KOMtext"/>
      </w:pPr>
      <w:r w:rsidRPr="000871CC">
        <w:t xml:space="preserve">Při schválení Operačního programu Doprava 2014-2020 byla jeho alokace 4 695 769 435 EUR, v roce 2016 došlo k realokaci prostředků FS ve výši 73 762 632 EUR z Operačního programu Doprava 2014-2020 do Operačního programu Životní prostředí (o tuto částku byla snížena celková alokace prioritní osy 2). </w:t>
      </w:r>
    </w:p>
    <w:p w14:paraId="1ED5712A" w14:textId="77777777" w:rsidR="00BA17BA" w:rsidRPr="000871CC" w:rsidRDefault="00BA17BA" w:rsidP="00BA17BA">
      <w:pPr>
        <w:pStyle w:val="KOMtext"/>
      </w:pPr>
      <w:r w:rsidRPr="000871CC">
        <w:rPr>
          <w:szCs w:val="24"/>
        </w:rPr>
        <w:t>K dalšímu snížení alokace došlo v roce 2017 v důsledku snížení alokace ČR pro období 2017</w:t>
      </w:r>
      <w:r w:rsidRPr="000871CC">
        <w:t xml:space="preserve">-2020 po přezkumu celkové alokace pro cíl Investice pro růst a zaměstnanost kohezní politiky (tzv. Kohezní obálky) o 115 mil. EUR, tj. 0,5 % celkové původní alokace pro kohezní politiku ČR pro období 2014-2020. V rámci OPD došlo ke snížení alokace FS o částku 62 236 804 EUR, </w:t>
      </w:r>
      <w:r w:rsidRPr="000871CC">
        <w:br/>
        <w:t>a to z prioritní osy 1.</w:t>
      </w:r>
    </w:p>
    <w:p w14:paraId="7D6318EB" w14:textId="77777777" w:rsidR="00BA17BA" w:rsidRPr="00435FA9" w:rsidRDefault="00BA17BA" w:rsidP="008A0E44">
      <w:pPr>
        <w:pStyle w:val="KOMnadp4"/>
      </w:pPr>
      <w:r w:rsidRPr="00435FA9">
        <w:t>Zprostředkující subjekt</w:t>
      </w:r>
    </w:p>
    <w:p w14:paraId="5DBFE635" w14:textId="77777777" w:rsidR="00BA17BA" w:rsidRPr="00435FA9" w:rsidRDefault="00BA17BA" w:rsidP="00BA17BA">
      <w:pPr>
        <w:pStyle w:val="KOMtext"/>
      </w:pPr>
      <w:r w:rsidRPr="00435FA9">
        <w:t xml:space="preserve">Dne 19. 5. 2015 byla uzavřena mezi Ministerstvem dopravy a Státním fondem dopravní infrastruktury (SFDI) </w:t>
      </w:r>
      <w:r w:rsidRPr="00435FA9">
        <w:rPr>
          <w:b/>
        </w:rPr>
        <w:t>„Dohoda o delegování některých pravomocí a činností Řídícího orgánu OP Doprava na Zprostředkující subjekt OP Doprava</w:t>
      </w:r>
      <w:r w:rsidRPr="00435FA9">
        <w:rPr>
          <w:b/>
          <w:i/>
        </w:rPr>
        <w:t>“</w:t>
      </w:r>
      <w:r w:rsidRPr="00435FA9">
        <w:t xml:space="preserve"> (dále jen Dohoda). Tímto aktem byl </w:t>
      </w:r>
      <w:r w:rsidRPr="00435FA9">
        <w:br/>
        <w:t xml:space="preserve">v rámci implementační struktury OP Doprava formálně ustaven Zprostředkující subjekt (ZS). </w:t>
      </w:r>
      <w:r w:rsidRPr="00435FA9">
        <w:rPr>
          <w:i/>
        </w:rPr>
        <w:t>Dne 10. 5. 2017</w:t>
      </w:r>
      <w:r w:rsidRPr="00435FA9">
        <w:t xml:space="preserve"> byl podepsán </w:t>
      </w:r>
      <w:r w:rsidRPr="00435FA9">
        <w:rPr>
          <w:i/>
        </w:rPr>
        <w:t>dodatek č. 1</w:t>
      </w:r>
      <w:r w:rsidRPr="00435FA9">
        <w:t xml:space="preserve">, který byl uzavřen v návaznosti na zákon </w:t>
      </w:r>
      <w:r w:rsidRPr="00435FA9">
        <w:br/>
        <w:t>č. 129/2016 Sb., kterým se novelizuje zákon č. 104/2000 Sb., o Státním fondu dopravní infrastruktury, ve znění pozdějších předpisů, jehož účinností byla rozšířena možnost ustanovit SFDI jako ZS OPD nově i pro specifické cíle:</w:t>
      </w:r>
    </w:p>
    <w:p w14:paraId="25EF5C64" w14:textId="77777777" w:rsidR="00BA17BA" w:rsidRPr="00393FFD" w:rsidRDefault="00BA17BA" w:rsidP="00BA17BA">
      <w:pPr>
        <w:spacing w:before="240" w:after="80"/>
        <w:jc w:val="both"/>
        <w:rPr>
          <w:i/>
          <w:sz w:val="24"/>
          <w:szCs w:val="24"/>
        </w:rPr>
      </w:pPr>
      <w:r w:rsidRPr="00393FFD">
        <w:rPr>
          <w:i/>
          <w:sz w:val="24"/>
          <w:szCs w:val="24"/>
        </w:rPr>
        <w:t>1.3 „Vytvoření podmínek pro větší využití multimodální dopravy“;</w:t>
      </w:r>
    </w:p>
    <w:p w14:paraId="6AB839B3" w14:textId="77777777" w:rsidR="00BA17BA" w:rsidRPr="00393FFD" w:rsidRDefault="00BA17BA" w:rsidP="00BA17BA">
      <w:pPr>
        <w:spacing w:before="120" w:after="80"/>
        <w:ind w:left="426" w:hanging="426"/>
        <w:jc w:val="both"/>
        <w:rPr>
          <w:i/>
          <w:sz w:val="24"/>
          <w:szCs w:val="24"/>
        </w:rPr>
      </w:pPr>
      <w:r w:rsidRPr="00393FFD">
        <w:rPr>
          <w:i/>
          <w:sz w:val="24"/>
          <w:szCs w:val="24"/>
        </w:rPr>
        <w:t xml:space="preserve">1.4 „Vytvoření podmínek pro zvýšení využívání veřejné hromadné dopravy ve městech </w:t>
      </w:r>
      <w:r w:rsidRPr="00393FFD">
        <w:rPr>
          <w:i/>
          <w:sz w:val="24"/>
          <w:szCs w:val="24"/>
        </w:rPr>
        <w:br/>
        <w:t>v elektrické trakci OPD“.</w:t>
      </w:r>
    </w:p>
    <w:p w14:paraId="388A6BE8" w14:textId="77777777" w:rsidR="00BA17BA" w:rsidRPr="00393FFD" w:rsidRDefault="00BA17BA" w:rsidP="00BA17BA">
      <w:pPr>
        <w:pStyle w:val="KOMtext"/>
      </w:pPr>
      <w:r w:rsidRPr="00393FFD">
        <w:lastRenderedPageBreak/>
        <w:t xml:space="preserve">Dne 27. 6. 2017 byl podepsán </w:t>
      </w:r>
      <w:r w:rsidRPr="00393FFD">
        <w:rPr>
          <w:i/>
        </w:rPr>
        <w:t>dodatek č. 2</w:t>
      </w:r>
      <w:r w:rsidRPr="00393FFD">
        <w:t xml:space="preserve">, který byl uzavřen v návaznosti na zákon </w:t>
      </w:r>
      <w:r w:rsidRPr="00393FFD">
        <w:br/>
        <w:t>č. 129/2016 Sb., kterým se novelizuje zákon č. 104/2000 Sb., o Státním fondu dopravní infrastruktury, ve znění pozdějších předpisů, jehož účinností byla rozšířena možnost ustanovit SFDI jako ZS OPD nově i pro specifický cíl:</w:t>
      </w:r>
    </w:p>
    <w:p w14:paraId="315A81FE" w14:textId="77777777" w:rsidR="00BA17BA" w:rsidRPr="00393FFD" w:rsidRDefault="00BA17BA" w:rsidP="00BA17BA">
      <w:pPr>
        <w:spacing w:before="240" w:after="80"/>
        <w:jc w:val="both"/>
        <w:rPr>
          <w:i/>
          <w:sz w:val="24"/>
          <w:szCs w:val="24"/>
        </w:rPr>
      </w:pPr>
      <w:r w:rsidRPr="00393FFD">
        <w:rPr>
          <w:i/>
          <w:sz w:val="24"/>
          <w:szCs w:val="24"/>
        </w:rPr>
        <w:t xml:space="preserve">1.5 „Vytvoření podmínek pro širší využití železniční a vodní dopravy prostřednictvím modernizace dopravního parku“, a to v rozsahu financování aktivit spadajících zároveň </w:t>
      </w:r>
      <w:r w:rsidRPr="00393FFD">
        <w:rPr>
          <w:i/>
          <w:sz w:val="24"/>
          <w:szCs w:val="24"/>
        </w:rPr>
        <w:br/>
        <w:t>do účelu SFDI.</w:t>
      </w:r>
    </w:p>
    <w:p w14:paraId="7839B786" w14:textId="77777777" w:rsidR="00BA17BA" w:rsidRPr="00393FFD" w:rsidRDefault="00BA17BA" w:rsidP="00BA17BA">
      <w:pPr>
        <w:pStyle w:val="KOMtext"/>
      </w:pPr>
      <w:r w:rsidRPr="00393FFD">
        <w:t>Příjemci dotací z OP Doprava jsou vlastníci a správci dotčené infrastruktury, vlastníci drážních vozidel a provozovatelé drážní dopravy, vlastníci překládacích mechanismů u multimodální dopravy a případně další relevantní subjekty. Především se jedná o státní investorské organizace Správa železniční dopravní cesty a Ředitelství silnic a dálnic ČR.</w:t>
      </w:r>
    </w:p>
    <w:p w14:paraId="5942901B" w14:textId="77777777" w:rsidR="00BA17BA" w:rsidRPr="0004328C" w:rsidRDefault="00BA17BA" w:rsidP="008A0E44">
      <w:pPr>
        <w:pStyle w:val="KOMnadp4"/>
      </w:pPr>
      <w:r w:rsidRPr="0004328C">
        <w:t xml:space="preserve">Operační program Doprava </w:t>
      </w:r>
      <w:proofErr w:type="gramStart"/>
      <w:r w:rsidRPr="0004328C">
        <w:t>2014 - 2020</w:t>
      </w:r>
      <w:proofErr w:type="gramEnd"/>
      <w:r w:rsidRPr="0004328C">
        <w:t xml:space="preserve"> obsahuje následující prioritní osy:</w:t>
      </w:r>
    </w:p>
    <w:p w14:paraId="699F4288" w14:textId="77777777" w:rsidR="00BA17BA" w:rsidRPr="0004328C" w:rsidRDefault="00BA17BA" w:rsidP="00BA17BA">
      <w:pPr>
        <w:pStyle w:val="KOMnadp5"/>
      </w:pPr>
      <w:r w:rsidRPr="0004328C">
        <w:t>Prioritní osa 1 – Infrastruktura pro železniční a další udržitelnou dopravu (FS)</w:t>
      </w:r>
    </w:p>
    <w:p w14:paraId="1DC85CBC"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Specifický cíl 1.1 - Zlepšení infrastruktury pro vyšší konkurenceschopnost a větší využití železniční dopravy.</w:t>
      </w:r>
      <w:r w:rsidRPr="0004328C" w:rsidDel="00F06086">
        <w:rPr>
          <w:i/>
          <w:sz w:val="24"/>
          <w:szCs w:val="24"/>
        </w:rPr>
        <w:t xml:space="preserve"> </w:t>
      </w:r>
    </w:p>
    <w:p w14:paraId="2A9A5F68"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 xml:space="preserve">Specifický cíl 1.2 - Zlepšení infrastruktury pro vyšší konkurenceschopnost a větší využití vnitrozemské vodní dopravy – </w:t>
      </w:r>
      <w:r w:rsidRPr="0004328C">
        <w:rPr>
          <w:b/>
          <w:i/>
          <w:sz w:val="24"/>
          <w:szCs w:val="24"/>
        </w:rPr>
        <w:t>tento specifický cíl byl z OPD vypuštěn.</w:t>
      </w:r>
    </w:p>
    <w:p w14:paraId="7F4ADAB7" w14:textId="77777777" w:rsidR="00BA17BA" w:rsidRPr="0004328C" w:rsidRDefault="00BA17BA" w:rsidP="00BA17BA">
      <w:pPr>
        <w:keepLines/>
        <w:spacing w:before="120" w:after="120" w:line="276" w:lineRule="auto"/>
        <w:rPr>
          <w:i/>
          <w:sz w:val="24"/>
          <w:szCs w:val="24"/>
        </w:rPr>
      </w:pPr>
      <w:r w:rsidRPr="0004328C">
        <w:rPr>
          <w:i/>
          <w:sz w:val="24"/>
          <w:szCs w:val="24"/>
        </w:rPr>
        <w:t>Specifický cíl 1.3 - Vytvoření podmínek pro větší využití multimodální dopravy.</w:t>
      </w:r>
      <w:r w:rsidRPr="0004328C" w:rsidDel="00684652">
        <w:rPr>
          <w:i/>
          <w:sz w:val="24"/>
          <w:szCs w:val="24"/>
        </w:rPr>
        <w:t xml:space="preserve"> </w:t>
      </w:r>
    </w:p>
    <w:p w14:paraId="75B598B0"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 xml:space="preserve">Specifický cíl 1.4 - Vytvoření podmínek pro zvýšení využívání veřejné hromadné dopravy </w:t>
      </w:r>
      <w:r w:rsidRPr="0004328C">
        <w:rPr>
          <w:i/>
          <w:sz w:val="24"/>
          <w:szCs w:val="24"/>
        </w:rPr>
        <w:br/>
        <w:t>ve městech v elektrické trakci.</w:t>
      </w:r>
      <w:r w:rsidRPr="0004328C" w:rsidDel="00684652">
        <w:rPr>
          <w:i/>
          <w:sz w:val="24"/>
          <w:szCs w:val="24"/>
        </w:rPr>
        <w:t xml:space="preserve"> </w:t>
      </w:r>
    </w:p>
    <w:p w14:paraId="52AF7BAB"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Specifický cíl 1.5 - Vytvoření podmínek pro širší využití železniční a vodní dopravy prostřednictvím modernizace dopravního parku.</w:t>
      </w:r>
    </w:p>
    <w:p w14:paraId="31281FF8" w14:textId="77777777" w:rsidR="00BA17BA" w:rsidRPr="0004328C" w:rsidRDefault="00BA17BA" w:rsidP="00BA17BA">
      <w:pPr>
        <w:pStyle w:val="KOMnadp5"/>
      </w:pPr>
      <w:r w:rsidRPr="0004328C">
        <w:t>Prioritní osa 2 - Silniční infrastruktura na síti TEN-T a veřejná infrastruktura pro čistou mobilitu (FS)</w:t>
      </w:r>
    </w:p>
    <w:p w14:paraId="6B5F468E"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Specifický cíl 2.1 - Zlepšení propojení center a regionů a zvýšení bezpečnosti a efektivnosti silniční dopravy prostřednictvím výstavby, obnovy a modernizace dálnic, rychlostních silnic a silnic sítě TEN-T včetně rozvoje systémů ITS.</w:t>
      </w:r>
    </w:p>
    <w:p w14:paraId="4122B125"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 xml:space="preserve">Specifický cíl 2.2 - Vytvoření podmínek pro širší využití vozidel na alternativní pohon </w:t>
      </w:r>
      <w:r w:rsidRPr="0004328C">
        <w:rPr>
          <w:i/>
          <w:sz w:val="24"/>
          <w:szCs w:val="24"/>
        </w:rPr>
        <w:br/>
        <w:t>na silniční síti.</w:t>
      </w:r>
    </w:p>
    <w:p w14:paraId="6AF2A025" w14:textId="77777777" w:rsidR="00BA17BA" w:rsidRPr="0004328C" w:rsidRDefault="00BA17BA" w:rsidP="00BA17BA">
      <w:pPr>
        <w:keepLines/>
        <w:spacing w:before="120" w:after="120" w:line="276" w:lineRule="auto"/>
        <w:ind w:left="1701" w:hanging="1701"/>
        <w:rPr>
          <w:i/>
          <w:sz w:val="24"/>
          <w:szCs w:val="24"/>
        </w:rPr>
      </w:pPr>
      <w:r w:rsidRPr="0004328C">
        <w:rPr>
          <w:i/>
          <w:sz w:val="24"/>
          <w:szCs w:val="24"/>
        </w:rPr>
        <w:t>Specifický cíl 2.3 - Zlepšení řízení dopravního provozu a zvyšování bezpečnosti dopravního provozu.</w:t>
      </w:r>
    </w:p>
    <w:p w14:paraId="78F6A51F" w14:textId="77777777" w:rsidR="00BA17BA" w:rsidRPr="00D5207C" w:rsidRDefault="00BA17BA" w:rsidP="00BA17BA">
      <w:pPr>
        <w:pStyle w:val="KOMnadp5"/>
      </w:pPr>
      <w:r w:rsidRPr="00D5207C">
        <w:lastRenderedPageBreak/>
        <w:t>Prioritní osa 3 - Silniční infrastruktura mimo síť TEN-T (ERDF)</w:t>
      </w:r>
    </w:p>
    <w:p w14:paraId="292995DE" w14:textId="77777777" w:rsidR="00BA17BA" w:rsidRPr="00D5207C" w:rsidRDefault="00BA17BA" w:rsidP="00BA17BA">
      <w:pPr>
        <w:keepLines/>
        <w:spacing w:before="120" w:after="120" w:line="276" w:lineRule="auto"/>
        <w:ind w:left="1843" w:hanging="1843"/>
        <w:jc w:val="both"/>
        <w:rPr>
          <w:i/>
          <w:sz w:val="24"/>
          <w:szCs w:val="24"/>
        </w:rPr>
      </w:pPr>
      <w:r w:rsidRPr="00D5207C">
        <w:rPr>
          <w:i/>
          <w:sz w:val="24"/>
          <w:szCs w:val="24"/>
        </w:rPr>
        <w:t xml:space="preserve">Specifický cíl 3.1 - Zlepšení dostupnosti regionů, zvýšení bezpečnosti a plynulosti a snížení dopadů dopravy na veřejné zdraví prostřednictvím výstavby, obnovy </w:t>
      </w:r>
      <w:r w:rsidRPr="00D5207C">
        <w:rPr>
          <w:i/>
          <w:sz w:val="24"/>
          <w:szCs w:val="24"/>
        </w:rPr>
        <w:br/>
        <w:t xml:space="preserve">a zlepšení parametrů dálnic, rychlostních silnic a silnic I. třídy mimo síť </w:t>
      </w:r>
      <w:r w:rsidRPr="00D5207C">
        <w:rPr>
          <w:i/>
          <w:sz w:val="24"/>
          <w:szCs w:val="24"/>
        </w:rPr>
        <w:br/>
        <w:t>TEN-T.</w:t>
      </w:r>
    </w:p>
    <w:p w14:paraId="3B672603" w14:textId="77777777" w:rsidR="00BA17BA" w:rsidRPr="009C1167" w:rsidRDefault="00BA17BA" w:rsidP="00BA17BA">
      <w:pPr>
        <w:pStyle w:val="KOMnadp5"/>
      </w:pPr>
      <w:r w:rsidRPr="009C1167">
        <w:t xml:space="preserve">Prioritní osa 4 - Technická pomoc (FS) </w:t>
      </w:r>
    </w:p>
    <w:p w14:paraId="7F2A1C0D" w14:textId="77777777" w:rsidR="00BA17BA" w:rsidRPr="009C1167" w:rsidRDefault="00BA17BA" w:rsidP="00BA17BA">
      <w:pPr>
        <w:keepLines/>
        <w:spacing w:before="120" w:after="120" w:line="276" w:lineRule="auto"/>
        <w:jc w:val="both"/>
        <w:rPr>
          <w:i/>
          <w:sz w:val="24"/>
          <w:szCs w:val="24"/>
        </w:rPr>
      </w:pPr>
      <w:r w:rsidRPr="009C1167">
        <w:rPr>
          <w:i/>
          <w:sz w:val="24"/>
          <w:szCs w:val="24"/>
        </w:rPr>
        <w:t xml:space="preserve">Specifický cíl 4.1 - Podpora a zajištění implementace OP Doprava. </w:t>
      </w:r>
    </w:p>
    <w:p w14:paraId="0D830C32" w14:textId="77777777" w:rsidR="00BA17BA" w:rsidRPr="009C1167" w:rsidRDefault="00BA17BA" w:rsidP="00BA17BA">
      <w:pPr>
        <w:pStyle w:val="KOMtext"/>
        <w:rPr>
          <w:i/>
        </w:rPr>
      </w:pPr>
      <w:r w:rsidRPr="009C1167">
        <w:rPr>
          <w:i/>
        </w:rPr>
        <w:t xml:space="preserve">V rámci prioritní osy Technická pomoc může být podle článku 59 obecného nařízení financována příprava, řízení, monitorování, hodnocení, aktivity v oblasti informovanosti </w:t>
      </w:r>
      <w:r w:rsidRPr="009C1167">
        <w:rPr>
          <w:i/>
        </w:rPr>
        <w:br/>
        <w:t xml:space="preserve">a publicity, výměna informací, řešení stížností, kontrola a audit. </w:t>
      </w:r>
    </w:p>
    <w:p w14:paraId="42AF4529" w14:textId="77777777" w:rsidR="00BA17BA" w:rsidRPr="009C1167" w:rsidRDefault="00BA17BA" w:rsidP="00BA17BA">
      <w:pPr>
        <w:pStyle w:val="KOMtext"/>
      </w:pPr>
      <w:r w:rsidRPr="009C1167">
        <w:t xml:space="preserve">Od zahájení realizace programu v roce 2015 do konce roku 2022 bylo na národní úrovni v rámci všech prioritních os schváleno ke spolufinancování z fondů EU v rámci OPD </w:t>
      </w:r>
      <w:proofErr w:type="gramStart"/>
      <w:r w:rsidRPr="009C1167">
        <w:t>2014 - 2020</w:t>
      </w:r>
      <w:proofErr w:type="gramEnd"/>
      <w:r w:rsidRPr="009C1167">
        <w:t xml:space="preserve"> </w:t>
      </w:r>
      <w:r w:rsidRPr="00F56422">
        <w:t>celkem 307 projektů (304 investičních projektů v rámci prioritních os 1-3 a 3 projekty v rámci prioritní osy 4) s celkovými způsobilými výdaji ve výši 162,7 mld. Kč. Z toho schválený</w:t>
      </w:r>
      <w:r w:rsidRPr="009C1167">
        <w:t xml:space="preserve"> podíl EU činil 138,3 mld. Kč.</w:t>
      </w:r>
    </w:p>
    <w:p w14:paraId="58FD156D" w14:textId="4BF63136" w:rsidR="00BA17BA" w:rsidRPr="00A757E6" w:rsidRDefault="00BA17BA" w:rsidP="00BA17BA">
      <w:pPr>
        <w:pStyle w:val="KOMtext"/>
      </w:pPr>
      <w:r w:rsidRPr="00A757E6">
        <w:t>V průběhu roku 202</w:t>
      </w:r>
      <w:r w:rsidR="0013420F">
        <w:t xml:space="preserve">3 </w:t>
      </w:r>
      <w:r w:rsidRPr="00A757E6">
        <w:t xml:space="preserve">byly na Platebním a certifikačním orgánu (odbor Národního fondu MF) vyžádány prostředky v souhrnné výši </w:t>
      </w:r>
      <w:r w:rsidRPr="00A757E6">
        <w:rPr>
          <w:b/>
        </w:rPr>
        <w:t>16 205 921 613 Kč.</w:t>
      </w:r>
      <w:r w:rsidRPr="00A757E6">
        <w:t xml:space="preserve"> Částka ve výši </w:t>
      </w:r>
      <w:r w:rsidRPr="00A757E6">
        <w:rPr>
          <w:b/>
        </w:rPr>
        <w:t>17 672 497 823 Kč</w:t>
      </w:r>
      <w:r w:rsidRPr="00A757E6">
        <w:t xml:space="preserve"> byla v roce 2023 refundována zpět do kapitoly MD. Celkově od počátku implementace OPD 2014–2020 až do konce roku 2023 bylo </w:t>
      </w:r>
      <w:r w:rsidRPr="00A757E6">
        <w:rPr>
          <w:b/>
        </w:rPr>
        <w:t>z Národního fondu refundováno 114 066 581 993 Kč.</w:t>
      </w:r>
      <w:r w:rsidRPr="00A757E6">
        <w:t xml:space="preserve"> V částce refundace je již odečtena částka extrapolované opravy ve výši 381 320 381 Kč, která byla zaplacena v lednu 2018 na účet Ministerstva financí. K zaplacení této částky bylo Ministerstvo dopravy vyzváno ze strany Ministerstva financí dopisem č. j. MF-1486/2018/5501-1 ze dne 18. 1. 2018, a to v souladu s Metodickým pokynem finančních toků programů spolufinancovaných z Evropských strukturálních fondů, Fondu soudržnosti </w:t>
      </w:r>
      <w:r w:rsidRPr="00A757E6">
        <w:br/>
        <w:t>a Evropského námořního a rybářského fondu pro programové období 2014 – 2020, kap. 4.5. Extrapolovaná korekce byla provedena s cílem snížit zbytkové riziko na hranici 2 %, neboť celková projektovaná chybovost v OP Doprava na základě ukončených auditů operací dosáhla hodnoty nad limit 2 % hladiny významnosti a vychází z doporučení Auditního orgánu Ministerstva financí a následného souhlasu Ministerstva dopravy.</w:t>
      </w:r>
      <w:r w:rsidRPr="00A757E6">
        <w:rPr>
          <w:b/>
        </w:rPr>
        <w:t xml:space="preserve"> </w:t>
      </w:r>
    </w:p>
    <w:p w14:paraId="002BE725" w14:textId="77777777" w:rsidR="00BA17BA" w:rsidRPr="00636E31" w:rsidRDefault="00BA17BA" w:rsidP="008A0E44">
      <w:pPr>
        <w:pStyle w:val="KOMnadp4"/>
      </w:pPr>
      <w:r w:rsidRPr="00636E31">
        <w:t xml:space="preserve">Financování národních podílů u projektů spolufinancovaných z OPD </w:t>
      </w:r>
      <w:proofErr w:type="gramStart"/>
      <w:r w:rsidRPr="00636E31">
        <w:t>2014 - 2020</w:t>
      </w:r>
      <w:proofErr w:type="gramEnd"/>
      <w:r w:rsidRPr="00636E31">
        <w:t xml:space="preserve"> </w:t>
      </w:r>
    </w:p>
    <w:p w14:paraId="2F4F232D" w14:textId="77777777" w:rsidR="00BA17BA" w:rsidRPr="00636E31" w:rsidRDefault="00BA17BA" w:rsidP="00BA17BA">
      <w:pPr>
        <w:pStyle w:val="KOMtext"/>
      </w:pPr>
      <w:r w:rsidRPr="00636E31">
        <w:t>Na krytí národního podílu u projektů spolufinancovaných z OPD byly čerpány finanční prostředky v roce 202</w:t>
      </w:r>
      <w:r>
        <w:t>3</w:t>
      </w:r>
      <w:r w:rsidRPr="00636E31">
        <w:t xml:space="preserve"> ve výši </w:t>
      </w:r>
      <w:r>
        <w:t>6 049</w:t>
      </w:r>
      <w:r w:rsidRPr="00636E31">
        <w:t xml:space="preserve"> tis. Kč, z toho jsou 1 </w:t>
      </w:r>
      <w:r>
        <w:t>361</w:t>
      </w:r>
      <w:r w:rsidRPr="00636E31">
        <w:t xml:space="preserve"> tis. Kč nároky. Jedná se čerpání Řídícího orgánu v rámci Prioritní osy 4 - Technická pomoc.</w:t>
      </w:r>
    </w:p>
    <w:p w14:paraId="0A0539B0" w14:textId="77777777" w:rsidR="00BA17BA" w:rsidRPr="00257B03" w:rsidRDefault="00BA17BA" w:rsidP="008A0E44">
      <w:pPr>
        <w:pStyle w:val="KOMnadp4"/>
      </w:pPr>
      <w:r w:rsidRPr="00257B03">
        <w:lastRenderedPageBreak/>
        <w:t>Mzdové výdaje hrazené z Technické pomoci Operačního programu Doprava</w:t>
      </w:r>
    </w:p>
    <w:p w14:paraId="0582C99E" w14:textId="77777777" w:rsidR="00BA17BA" w:rsidRPr="00257B03" w:rsidRDefault="00BA17BA" w:rsidP="00BA17BA">
      <w:pPr>
        <w:pStyle w:val="KOMtext"/>
      </w:pPr>
      <w:r w:rsidRPr="00257B03">
        <w:t>V rámci OP Doprava 2014–2020 byly v roce 202</w:t>
      </w:r>
      <w:r>
        <w:t>3</w:t>
      </w:r>
      <w:r w:rsidRPr="00257B03">
        <w:t xml:space="preserve"> financovány mzdové výdaje včetně příslušenství u zaměstnanců podílejících se na implementaci OP Doprava. Jedná </w:t>
      </w:r>
      <w:r w:rsidRPr="00257B03">
        <w:br/>
        <w:t xml:space="preserve">se o zaměstnance Řídícího orgánu (Odbor fondů EU), finančního útvaru (Odbor financí </w:t>
      </w:r>
      <w:r w:rsidRPr="00257B03">
        <w:br/>
        <w:t xml:space="preserve">a ekonomiky) a věcně příslušných odborů ústředního orgánu Ministerstva dopravy (podílející se na schvalovacím procesu při implementaci OP Doprava). </w:t>
      </w:r>
    </w:p>
    <w:p w14:paraId="057D5A1D" w14:textId="77777777" w:rsidR="00BA17BA" w:rsidRPr="008A687D" w:rsidRDefault="00BA17BA" w:rsidP="00BA17BA">
      <w:pPr>
        <w:pStyle w:val="KOMtext"/>
        <w:rPr>
          <w:highlight w:val="yellow"/>
        </w:rPr>
      </w:pPr>
      <w:r w:rsidRPr="00257B03">
        <w:t xml:space="preserve">Dále byly z Technické pomoci OP Doprava financovány ostatní osobní výdaje včetně souvisejících odvodů, a to na základě uzavřených dohod o provedení práce a dohod o pracovní činnosti. Cílem bylo posílení odborné administrativní kapacity související s realizací projektů. </w:t>
      </w:r>
    </w:p>
    <w:p w14:paraId="125A1E65" w14:textId="77777777" w:rsidR="00A94C6C" w:rsidRDefault="00BA17BA" w:rsidP="00267CB4">
      <w:pPr>
        <w:pStyle w:val="KOMtext"/>
        <w:rPr>
          <w:b/>
          <w:i/>
          <w:szCs w:val="24"/>
        </w:rPr>
      </w:pPr>
      <w:r w:rsidRPr="0027458B">
        <w:t>V roce 2023 byly proplaceny prostředky na platy a ostatní osobní výdaje včetně příslušenství ve výši celkem 35 555 tis. Kč, v tom EU podíl 30 222 tis. Kč a SR podíl ve výši 5 333 tis. Kč</w:t>
      </w:r>
      <w:r>
        <w:rPr>
          <w:b/>
          <w:i/>
          <w:szCs w:val="24"/>
        </w:rPr>
        <w:t>.</w:t>
      </w:r>
      <w:r w:rsidR="00A94C6C">
        <w:rPr>
          <w:b/>
          <w:i/>
          <w:szCs w:val="24"/>
        </w:rPr>
        <w:t xml:space="preserve"> </w:t>
      </w:r>
    </w:p>
    <w:p w14:paraId="4BA72629" w14:textId="30BB0922" w:rsidR="00267CB4" w:rsidRPr="0077128B" w:rsidRDefault="00267CB4" w:rsidP="00267CB4">
      <w:pPr>
        <w:pStyle w:val="KOMtext"/>
      </w:pPr>
      <w:r>
        <w:t>Podrobněji viz kapitola 3.2.</w:t>
      </w:r>
    </w:p>
    <w:p w14:paraId="0B6FB4B7" w14:textId="4BED2290" w:rsidR="00EE339D" w:rsidRPr="006B6D61" w:rsidRDefault="00F30B65" w:rsidP="00E20BD6">
      <w:pPr>
        <w:pStyle w:val="KOMnadp3"/>
      </w:pPr>
      <w:bookmarkStart w:id="182" w:name="_Toc162269252"/>
      <w:r w:rsidRPr="006B6D61">
        <w:t xml:space="preserve">Operační program Zaměstnanost – programové období </w:t>
      </w:r>
      <w:proofErr w:type="gramStart"/>
      <w:r w:rsidRPr="006B6D61">
        <w:t>2014 – 2020</w:t>
      </w:r>
      <w:bookmarkEnd w:id="182"/>
      <w:proofErr w:type="gramEnd"/>
    </w:p>
    <w:tbl>
      <w:tblPr>
        <w:tblStyle w:val="Mkatabulky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D5795E" w:rsidRPr="006A755F" w14:paraId="79F5B34A" w14:textId="77777777" w:rsidTr="00637539">
        <w:trPr>
          <w:trHeight w:val="354"/>
        </w:trPr>
        <w:tc>
          <w:tcPr>
            <w:tcW w:w="4253" w:type="dxa"/>
            <w:gridSpan w:val="2"/>
            <w:shd w:val="clear" w:color="auto" w:fill="auto"/>
            <w:vAlign w:val="center"/>
          </w:tcPr>
          <w:p w14:paraId="0303365F" w14:textId="77777777" w:rsidR="00D5795E" w:rsidRPr="004A12C5" w:rsidRDefault="00D5795E" w:rsidP="00637539">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2D498EBD" w14:textId="77777777" w:rsidR="00D5795E" w:rsidRPr="004A12C5" w:rsidRDefault="00D5795E" w:rsidP="00637539">
            <w:pPr>
              <w:keepNext/>
              <w:keepLines/>
              <w:tabs>
                <w:tab w:val="left" w:pos="3969"/>
              </w:tabs>
              <w:spacing w:before="120" w:after="60"/>
              <w:jc w:val="right"/>
              <w:rPr>
                <w:b/>
                <w:color w:val="000000" w:themeColor="text1"/>
                <w:sz w:val="24"/>
                <w:szCs w:val="24"/>
              </w:rPr>
            </w:pPr>
            <w:r>
              <w:rPr>
                <w:b/>
                <w:sz w:val="24"/>
                <w:szCs w:val="24"/>
              </w:rPr>
              <w:t>1 594</w:t>
            </w:r>
            <w:r w:rsidRPr="004A12C5">
              <w:rPr>
                <w:b/>
                <w:sz w:val="24"/>
                <w:szCs w:val="24"/>
              </w:rPr>
              <w:t xml:space="preserve"> tis. Kč</w:t>
            </w:r>
          </w:p>
        </w:tc>
      </w:tr>
      <w:tr w:rsidR="00D5795E" w:rsidRPr="006A755F" w14:paraId="28612B1E" w14:textId="77777777" w:rsidTr="00637539">
        <w:trPr>
          <w:trHeight w:val="418"/>
        </w:trPr>
        <w:tc>
          <w:tcPr>
            <w:tcW w:w="4253" w:type="dxa"/>
            <w:gridSpan w:val="2"/>
            <w:shd w:val="clear" w:color="auto" w:fill="auto"/>
            <w:vAlign w:val="center"/>
          </w:tcPr>
          <w:p w14:paraId="61EC0B6D" w14:textId="77777777" w:rsidR="00D5795E" w:rsidRPr="004A12C5" w:rsidRDefault="00D5795E" w:rsidP="00637539">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377F4404" w14:textId="77777777" w:rsidR="00D5795E" w:rsidRPr="004A12C5" w:rsidRDefault="00D5795E" w:rsidP="00637539">
            <w:pPr>
              <w:keepNext/>
              <w:keepLines/>
              <w:tabs>
                <w:tab w:val="left" w:pos="3969"/>
              </w:tabs>
              <w:spacing w:before="60" w:after="60"/>
              <w:jc w:val="right"/>
              <w:rPr>
                <w:b/>
                <w:color w:val="000000" w:themeColor="text1"/>
                <w:sz w:val="24"/>
                <w:szCs w:val="24"/>
              </w:rPr>
            </w:pPr>
            <w:r>
              <w:rPr>
                <w:b/>
                <w:sz w:val="24"/>
                <w:szCs w:val="24"/>
              </w:rPr>
              <w:t>1 289</w:t>
            </w:r>
            <w:r w:rsidRPr="004A12C5">
              <w:rPr>
                <w:b/>
                <w:sz w:val="24"/>
                <w:szCs w:val="24"/>
              </w:rPr>
              <w:t xml:space="preserve"> tis. Kč</w:t>
            </w:r>
          </w:p>
        </w:tc>
      </w:tr>
      <w:tr w:rsidR="00D5795E" w:rsidRPr="006A755F" w14:paraId="175F77C0" w14:textId="77777777" w:rsidTr="00637539">
        <w:trPr>
          <w:trHeight w:val="170"/>
        </w:trPr>
        <w:tc>
          <w:tcPr>
            <w:tcW w:w="704" w:type="dxa"/>
            <w:shd w:val="clear" w:color="auto" w:fill="auto"/>
            <w:vAlign w:val="center"/>
          </w:tcPr>
          <w:p w14:paraId="32BFD353" w14:textId="77777777" w:rsidR="00D5795E" w:rsidRPr="004A12C5" w:rsidRDefault="00D5795E" w:rsidP="00637539">
            <w:pPr>
              <w:keepNext/>
              <w:keepLines/>
              <w:tabs>
                <w:tab w:val="left" w:pos="3969"/>
              </w:tabs>
              <w:spacing w:before="60" w:after="60"/>
              <w:rPr>
                <w:b/>
                <w:color w:val="000000" w:themeColor="text1"/>
                <w:sz w:val="24"/>
                <w:szCs w:val="24"/>
              </w:rPr>
            </w:pPr>
          </w:p>
        </w:tc>
        <w:tc>
          <w:tcPr>
            <w:tcW w:w="3549" w:type="dxa"/>
            <w:shd w:val="clear" w:color="auto" w:fill="auto"/>
            <w:vAlign w:val="center"/>
          </w:tcPr>
          <w:p w14:paraId="041ADE30" w14:textId="77777777" w:rsidR="00D5795E" w:rsidRPr="004A12C5" w:rsidRDefault="00D5795E" w:rsidP="00637539">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15CA9269" w14:textId="77777777" w:rsidR="00D5795E" w:rsidRPr="004A12C5" w:rsidRDefault="00D5795E" w:rsidP="00637539">
            <w:pPr>
              <w:keepNext/>
              <w:keepLines/>
              <w:tabs>
                <w:tab w:val="left" w:pos="3969"/>
              </w:tabs>
              <w:spacing w:before="60" w:after="60"/>
              <w:jc w:val="right"/>
              <w:rPr>
                <w:b/>
                <w:color w:val="000000" w:themeColor="text1"/>
                <w:sz w:val="24"/>
                <w:szCs w:val="24"/>
              </w:rPr>
            </w:pPr>
            <w:r>
              <w:rPr>
                <w:b/>
                <w:sz w:val="24"/>
                <w:szCs w:val="24"/>
              </w:rPr>
              <w:t>305</w:t>
            </w:r>
            <w:r w:rsidRPr="004A12C5">
              <w:rPr>
                <w:b/>
                <w:sz w:val="24"/>
                <w:szCs w:val="24"/>
              </w:rPr>
              <w:t xml:space="preserve"> tis. Kč</w:t>
            </w:r>
          </w:p>
        </w:tc>
      </w:tr>
    </w:tbl>
    <w:p w14:paraId="6E3BBCB8" w14:textId="404471C3" w:rsidR="00521D88" w:rsidRPr="006A755F" w:rsidRDefault="00521D88" w:rsidP="00521D88">
      <w:pPr>
        <w:pStyle w:val="KOMtext"/>
      </w:pPr>
      <w:r w:rsidRPr="006A755F">
        <w:t>V rámci Operačního programu Zaměstnanost byly v roce 202</w:t>
      </w:r>
      <w:r>
        <w:t>3</w:t>
      </w:r>
      <w:r w:rsidRPr="006A755F">
        <w:t xml:space="preserve"> čerpány prostředky v rámci </w:t>
      </w:r>
      <w:r w:rsidRPr="006A755F">
        <w:br/>
        <w:t xml:space="preserve">projektu </w:t>
      </w:r>
      <w:r w:rsidRPr="006A755F">
        <w:rPr>
          <w:i/>
        </w:rPr>
        <w:t xml:space="preserve">Profesionalizace Drážní inspekce </w:t>
      </w:r>
      <w:proofErr w:type="spellStart"/>
      <w:r w:rsidRPr="006A755F">
        <w:t>reg</w:t>
      </w:r>
      <w:proofErr w:type="spellEnd"/>
      <w:r w:rsidRPr="006A755F">
        <w:t xml:space="preserve">. číslo Z.03.4.74/0.0/0.0/15_025/0016437. </w:t>
      </w:r>
    </w:p>
    <w:p w14:paraId="04C3E379" w14:textId="77777777" w:rsidR="00521D88" w:rsidRPr="006A755F" w:rsidRDefault="00521D88" w:rsidP="00521D88">
      <w:pPr>
        <w:pStyle w:val="KOMtext"/>
      </w:pPr>
      <w:r w:rsidRPr="006A755F">
        <w:t xml:space="preserve">Cílem projektu Drážní inspekce je formulování strategie rozvoje úřadu Drážní inspekce </w:t>
      </w:r>
      <w:r w:rsidRPr="006A755F">
        <w:br/>
        <w:t>a zavedení elektronické spisové služby. V rámci realizace projektu dojde rovněž k vytvoření týmů interních expertů v pěti základních oblastech drážní problematiky a zajištění obnovení znalostí inspektorů šetřících mimořádné událostí.</w:t>
      </w:r>
    </w:p>
    <w:p w14:paraId="69FA398C" w14:textId="6A5F9DD5" w:rsidR="00521D88" w:rsidRDefault="00521D88" w:rsidP="00521D88">
      <w:pPr>
        <w:pStyle w:val="KOMtext"/>
      </w:pPr>
      <w:r w:rsidRPr="006A755F">
        <w:t>V roce 202</w:t>
      </w:r>
      <w:r>
        <w:t>3</w:t>
      </w:r>
      <w:r w:rsidRPr="006A755F">
        <w:t xml:space="preserve"> bylo v rámci projektu čerpáno </w:t>
      </w:r>
      <w:r>
        <w:rPr>
          <w:b/>
        </w:rPr>
        <w:t>1 594</w:t>
      </w:r>
      <w:r w:rsidRPr="006A755F">
        <w:rPr>
          <w:b/>
        </w:rPr>
        <w:t xml:space="preserve"> tis. Kč</w:t>
      </w:r>
      <w:r w:rsidRPr="006A755F">
        <w:t xml:space="preserve"> (v tom EU podíl </w:t>
      </w:r>
      <w:r>
        <w:t>1 289</w:t>
      </w:r>
      <w:r w:rsidRPr="006A755F">
        <w:t xml:space="preserve"> tis. Kč, SR podíl </w:t>
      </w:r>
      <w:r>
        <w:t>305</w:t>
      </w:r>
      <w:r w:rsidRPr="006A755F">
        <w:t xml:space="preserve"> tis. Kč). Čerpány byly neinvestiční prostředky ve výši </w:t>
      </w:r>
      <w:r>
        <w:t>896</w:t>
      </w:r>
      <w:r w:rsidRPr="006A755F">
        <w:t xml:space="preserve"> tis. Kč, z toho nároky činily </w:t>
      </w:r>
      <w:r w:rsidR="00A94C6C">
        <w:br/>
      </w:r>
      <w:r>
        <w:t>896</w:t>
      </w:r>
      <w:r w:rsidRPr="006A755F">
        <w:t xml:space="preserve"> tis. Kč. Prostředky byly čerpány zejména na mzdové náklady včetně příslušenství, </w:t>
      </w:r>
      <w:r w:rsidRPr="006A755F">
        <w:br/>
        <w:t xml:space="preserve">a to ve výši </w:t>
      </w:r>
      <w:r>
        <w:t>584</w:t>
      </w:r>
      <w:r w:rsidRPr="006A755F">
        <w:t xml:space="preserve"> tis. Kč. Zbylá část neinvestičních prostředků ve výši </w:t>
      </w:r>
      <w:r>
        <w:t>312</w:t>
      </w:r>
      <w:r w:rsidRPr="006A755F">
        <w:t xml:space="preserve"> tis. Kč připadá </w:t>
      </w:r>
      <w:r w:rsidRPr="006A755F">
        <w:br/>
        <w:t>na výdaje za školení a vzdělávání, cestovné a ostatní služby.</w:t>
      </w:r>
      <w:r>
        <w:t xml:space="preserve"> Investiční prostředky ve výši </w:t>
      </w:r>
      <w:r w:rsidR="00A94C6C">
        <w:br/>
      </w:r>
      <w:r>
        <w:t>697 tis. Kč, z toho nároky činily 697 tis. Kč, byly čerpány na rozvoj elektronické spisové služby Drážní inspekce.</w:t>
      </w:r>
    </w:p>
    <w:p w14:paraId="6353DE07" w14:textId="1D8208AF" w:rsidR="00F30B65" w:rsidRPr="0077128B" w:rsidRDefault="00521D88" w:rsidP="00BA4E5A">
      <w:pPr>
        <w:pStyle w:val="KOMtext"/>
        <w:rPr>
          <w:color w:val="FF0000"/>
        </w:rPr>
      </w:pPr>
      <w:r>
        <w:t xml:space="preserve">Projekt </w:t>
      </w:r>
      <w:r w:rsidRPr="006A755F">
        <w:rPr>
          <w:i/>
        </w:rPr>
        <w:t>Profesionalizace Drážní inspekce</w:t>
      </w:r>
      <w:r>
        <w:t xml:space="preserve"> byl v roce 2023 ukončen.</w:t>
      </w:r>
    </w:p>
    <w:p w14:paraId="1719B148" w14:textId="624389C3" w:rsidR="00BB24DD" w:rsidRPr="006B6D61" w:rsidRDefault="00DC2B2D" w:rsidP="00E20BD6">
      <w:pPr>
        <w:pStyle w:val="KOMnadp3"/>
      </w:pPr>
      <w:bookmarkStart w:id="183" w:name="_Toc162269253"/>
      <w:r w:rsidRPr="006B6D61">
        <w:lastRenderedPageBreak/>
        <w:t xml:space="preserve">Operační program Podnikání a inovace pro konkurenceschopnost </w:t>
      </w:r>
      <w:proofErr w:type="gramStart"/>
      <w:r w:rsidRPr="006B6D61">
        <w:t>2014 – 2020</w:t>
      </w:r>
      <w:bookmarkEnd w:id="183"/>
      <w:proofErr w:type="gramEnd"/>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F22EAB" w:rsidRPr="004A12C5" w14:paraId="6168A4EA" w14:textId="77777777" w:rsidTr="00AE2DE8">
        <w:trPr>
          <w:trHeight w:val="354"/>
        </w:trPr>
        <w:tc>
          <w:tcPr>
            <w:tcW w:w="4253" w:type="dxa"/>
            <w:gridSpan w:val="2"/>
            <w:shd w:val="clear" w:color="auto" w:fill="auto"/>
            <w:vAlign w:val="center"/>
          </w:tcPr>
          <w:p w14:paraId="7939C536" w14:textId="77777777" w:rsidR="00F22EAB" w:rsidRPr="004A12C5" w:rsidRDefault="00F22EAB" w:rsidP="00AE2DE8">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384F9DE1" w14:textId="77777777" w:rsidR="00F22EAB" w:rsidRPr="004A12C5" w:rsidRDefault="00F22EAB" w:rsidP="00AE2DE8">
            <w:pPr>
              <w:keepNext/>
              <w:keepLines/>
              <w:tabs>
                <w:tab w:val="left" w:pos="3969"/>
              </w:tabs>
              <w:spacing w:before="120" w:after="60"/>
              <w:jc w:val="right"/>
              <w:rPr>
                <w:b/>
                <w:color w:val="000000" w:themeColor="text1"/>
                <w:sz w:val="24"/>
                <w:szCs w:val="24"/>
              </w:rPr>
            </w:pPr>
            <w:r>
              <w:rPr>
                <w:b/>
                <w:sz w:val="24"/>
                <w:szCs w:val="24"/>
              </w:rPr>
              <w:t>429 315</w:t>
            </w:r>
            <w:r w:rsidRPr="004A12C5">
              <w:rPr>
                <w:b/>
                <w:sz w:val="24"/>
                <w:szCs w:val="24"/>
              </w:rPr>
              <w:t xml:space="preserve"> tis. Kč</w:t>
            </w:r>
          </w:p>
        </w:tc>
      </w:tr>
      <w:tr w:rsidR="00F22EAB" w:rsidRPr="004A12C5" w14:paraId="151B1C7A" w14:textId="77777777" w:rsidTr="00AE2DE8">
        <w:trPr>
          <w:trHeight w:val="418"/>
        </w:trPr>
        <w:tc>
          <w:tcPr>
            <w:tcW w:w="4253" w:type="dxa"/>
            <w:gridSpan w:val="2"/>
            <w:shd w:val="clear" w:color="auto" w:fill="auto"/>
            <w:vAlign w:val="center"/>
          </w:tcPr>
          <w:p w14:paraId="068B9F98" w14:textId="77777777" w:rsidR="00F22EAB" w:rsidRPr="004A12C5" w:rsidRDefault="00F22EAB" w:rsidP="00AE2DE8">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357643FD" w14:textId="77777777" w:rsidR="00F22EAB" w:rsidRPr="004A12C5" w:rsidRDefault="00F22EAB" w:rsidP="00AE2DE8">
            <w:pPr>
              <w:keepNext/>
              <w:keepLines/>
              <w:tabs>
                <w:tab w:val="left" w:pos="3969"/>
              </w:tabs>
              <w:spacing w:before="60" w:after="60"/>
              <w:jc w:val="right"/>
              <w:rPr>
                <w:b/>
                <w:color w:val="000000" w:themeColor="text1"/>
                <w:sz w:val="24"/>
                <w:szCs w:val="24"/>
              </w:rPr>
            </w:pPr>
            <w:r>
              <w:rPr>
                <w:b/>
                <w:sz w:val="24"/>
                <w:szCs w:val="24"/>
              </w:rPr>
              <w:t>429 315</w:t>
            </w:r>
            <w:r w:rsidRPr="004A12C5">
              <w:rPr>
                <w:b/>
                <w:sz w:val="24"/>
                <w:szCs w:val="24"/>
              </w:rPr>
              <w:t xml:space="preserve"> tis. Kč</w:t>
            </w:r>
          </w:p>
        </w:tc>
      </w:tr>
      <w:tr w:rsidR="00F22EAB" w:rsidRPr="004A12C5" w14:paraId="13ABBEF0" w14:textId="77777777" w:rsidTr="00AE2DE8">
        <w:trPr>
          <w:trHeight w:val="170"/>
        </w:trPr>
        <w:tc>
          <w:tcPr>
            <w:tcW w:w="704" w:type="dxa"/>
            <w:shd w:val="clear" w:color="auto" w:fill="auto"/>
            <w:vAlign w:val="center"/>
          </w:tcPr>
          <w:p w14:paraId="4C202672" w14:textId="77777777" w:rsidR="00F22EAB" w:rsidRPr="004A12C5" w:rsidRDefault="00F22EAB" w:rsidP="00AE2DE8">
            <w:pPr>
              <w:keepNext/>
              <w:keepLines/>
              <w:tabs>
                <w:tab w:val="left" w:pos="3969"/>
              </w:tabs>
              <w:spacing w:before="60" w:after="60"/>
              <w:rPr>
                <w:b/>
                <w:color w:val="000000" w:themeColor="text1"/>
                <w:sz w:val="24"/>
                <w:szCs w:val="24"/>
              </w:rPr>
            </w:pPr>
          </w:p>
        </w:tc>
        <w:tc>
          <w:tcPr>
            <w:tcW w:w="3549" w:type="dxa"/>
            <w:shd w:val="clear" w:color="auto" w:fill="auto"/>
            <w:vAlign w:val="center"/>
          </w:tcPr>
          <w:p w14:paraId="086FD11D" w14:textId="77777777" w:rsidR="00F22EAB" w:rsidRPr="004A12C5" w:rsidRDefault="00F22EAB" w:rsidP="00AE2DE8">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44B5F604" w14:textId="77777777" w:rsidR="00F22EAB" w:rsidRPr="004A12C5" w:rsidRDefault="00F22EAB" w:rsidP="00AE2DE8">
            <w:pPr>
              <w:keepNext/>
              <w:keepLines/>
              <w:tabs>
                <w:tab w:val="left" w:pos="3969"/>
              </w:tabs>
              <w:spacing w:before="60" w:after="60"/>
              <w:jc w:val="right"/>
              <w:rPr>
                <w:b/>
                <w:color w:val="000000" w:themeColor="text1"/>
                <w:sz w:val="24"/>
                <w:szCs w:val="24"/>
              </w:rPr>
            </w:pPr>
            <w:r>
              <w:rPr>
                <w:b/>
                <w:sz w:val="24"/>
                <w:szCs w:val="24"/>
              </w:rPr>
              <w:t>0</w:t>
            </w:r>
            <w:r w:rsidRPr="004A12C5">
              <w:rPr>
                <w:b/>
                <w:sz w:val="24"/>
                <w:szCs w:val="24"/>
              </w:rPr>
              <w:t xml:space="preserve"> tis. Kč</w:t>
            </w:r>
          </w:p>
        </w:tc>
      </w:tr>
    </w:tbl>
    <w:p w14:paraId="20582B2A" w14:textId="615DCBD0" w:rsidR="00C54C4B" w:rsidRPr="004C41C0" w:rsidRDefault="00C54C4B" w:rsidP="00C54C4B">
      <w:pPr>
        <w:pStyle w:val="Styl1"/>
        <w:rPr>
          <w:iCs w:val="0"/>
          <w:szCs w:val="20"/>
        </w:rPr>
      </w:pPr>
      <w:r w:rsidRPr="004C41C0">
        <w:rPr>
          <w:iCs w:val="0"/>
          <w:szCs w:val="20"/>
        </w:rPr>
        <w:t>Příspěvková organizace Ředitelství silnic a dálnic ČR se přihlásila s projektem Digitální technická mapa ŘSD ČR do výzvy Vznik a rozvoj digitálních technických map veřejnoprávních subjektů. Výzvu vyhlásilo Ministerstvo průmyslu a obchodu v rámci Operačního programu podnikání a inovace pro konkurenceschopnost 2014-2020, prioritní osy Rozvoj</w:t>
      </w:r>
      <w:r w:rsidR="00A94C6C">
        <w:rPr>
          <w:iCs w:val="0"/>
          <w:szCs w:val="20"/>
        </w:rPr>
        <w:t xml:space="preserve"> </w:t>
      </w:r>
      <w:r w:rsidRPr="004C41C0">
        <w:rPr>
          <w:iCs w:val="0"/>
          <w:szCs w:val="20"/>
        </w:rPr>
        <w:t>vysokorychlostních přístupových sítí k internetu a informačních a komunikačních technologií.</w:t>
      </w:r>
    </w:p>
    <w:p w14:paraId="717CA214" w14:textId="77777777" w:rsidR="00C54C4B" w:rsidRPr="004C41C0" w:rsidRDefault="00C54C4B" w:rsidP="00C54C4B">
      <w:pPr>
        <w:pStyle w:val="Styl1"/>
        <w:rPr>
          <w:iCs w:val="0"/>
          <w:szCs w:val="20"/>
        </w:rPr>
      </w:pPr>
      <w:r w:rsidRPr="004C41C0">
        <w:rPr>
          <w:iCs w:val="0"/>
          <w:szCs w:val="20"/>
        </w:rPr>
        <w:t xml:space="preserve">Cílem projektu „Digitální technická mapa ŘSD ČR“ </w:t>
      </w:r>
      <w:r>
        <w:rPr>
          <w:iCs w:val="0"/>
          <w:szCs w:val="20"/>
        </w:rPr>
        <w:t>bylo</w:t>
      </w:r>
      <w:r w:rsidRPr="004C41C0">
        <w:rPr>
          <w:iCs w:val="0"/>
          <w:szCs w:val="20"/>
        </w:rPr>
        <w:t xml:space="preserve"> vytvoření přesné datové sady </w:t>
      </w:r>
      <w:proofErr w:type="spellStart"/>
      <w:r w:rsidRPr="004C41C0">
        <w:rPr>
          <w:iCs w:val="0"/>
          <w:szCs w:val="20"/>
        </w:rPr>
        <w:t>geoprostorově</w:t>
      </w:r>
      <w:proofErr w:type="spellEnd"/>
      <w:r w:rsidRPr="004C41C0">
        <w:rPr>
          <w:iCs w:val="0"/>
          <w:szCs w:val="20"/>
        </w:rPr>
        <w:t xml:space="preserve"> definovaných objektů pro poskytování údajů do digitální technické mapy krajů v rámci dopravní a technické infrastruktury a základní polohové situace v působnosti ŘSD ČR. </w:t>
      </w:r>
    </w:p>
    <w:p w14:paraId="5562BF78" w14:textId="77777777" w:rsidR="00C54C4B" w:rsidRDefault="00C54C4B" w:rsidP="00C54C4B">
      <w:pPr>
        <w:pStyle w:val="KOMtext"/>
      </w:pPr>
      <w:r w:rsidRPr="009A082E">
        <w:t>Projekt b</w:t>
      </w:r>
      <w:r>
        <w:t>yl</w:t>
      </w:r>
      <w:r w:rsidRPr="009A082E">
        <w:t xml:space="preserve"> realizován v režimu </w:t>
      </w:r>
      <w:proofErr w:type="gramStart"/>
      <w:r w:rsidRPr="009A082E">
        <w:t>ex- post</w:t>
      </w:r>
      <w:proofErr w:type="gramEnd"/>
      <w:r w:rsidRPr="009A082E">
        <w:t xml:space="preserve">. Prostředky na předfinancování a národní podíl k EU </w:t>
      </w:r>
      <w:r>
        <w:t>bylo zajištěno</w:t>
      </w:r>
      <w:r w:rsidRPr="009A082E">
        <w:t xml:space="preserve"> z prostředků Státního fondu dopravní infrastruktury. Poměr národního podílu </w:t>
      </w:r>
      <w:r w:rsidRPr="009A082E">
        <w:br/>
        <w:t xml:space="preserve">a podílu EU </w:t>
      </w:r>
      <w:r>
        <w:t>byl</w:t>
      </w:r>
      <w:r w:rsidRPr="009A082E">
        <w:t xml:space="preserve"> stanoven 15 </w:t>
      </w:r>
      <w:proofErr w:type="gramStart"/>
      <w:r w:rsidRPr="009A082E">
        <w:t>% :</w:t>
      </w:r>
      <w:proofErr w:type="gramEnd"/>
      <w:r w:rsidRPr="009A082E">
        <w:t xml:space="preserve"> 85 %. </w:t>
      </w:r>
    </w:p>
    <w:p w14:paraId="754F1CF6" w14:textId="48582F24" w:rsidR="00DC2B2D" w:rsidRDefault="00C54C4B" w:rsidP="006B6D61">
      <w:pPr>
        <w:pStyle w:val="KOMtext"/>
      </w:pPr>
      <w:r w:rsidRPr="006A755F">
        <w:t>Finanční prostředky byly</w:t>
      </w:r>
      <w:r>
        <w:t xml:space="preserve"> čerpány</w:t>
      </w:r>
      <w:r w:rsidRPr="006A755F">
        <w:t xml:space="preserve"> </w:t>
      </w:r>
      <w:r>
        <w:t>Ředitelstvím silnic a dálnic</w:t>
      </w:r>
      <w:r w:rsidRPr="006A755F">
        <w:t xml:space="preserve"> ve výši </w:t>
      </w:r>
      <w:r>
        <w:rPr>
          <w:b/>
        </w:rPr>
        <w:t>429 315</w:t>
      </w:r>
      <w:r w:rsidRPr="006A755F">
        <w:rPr>
          <w:b/>
        </w:rPr>
        <w:t xml:space="preserve"> tis. Kč</w:t>
      </w:r>
      <w:r>
        <w:rPr>
          <w:b/>
        </w:rPr>
        <w:t xml:space="preserve"> (pouze EU)</w:t>
      </w:r>
      <w:r w:rsidRPr="006A755F">
        <w:t xml:space="preserve">, </w:t>
      </w:r>
      <w:r w:rsidRPr="006A755F">
        <w:rPr>
          <w:b/>
        </w:rPr>
        <w:t xml:space="preserve">z toho </w:t>
      </w:r>
      <w:r>
        <w:rPr>
          <w:b/>
        </w:rPr>
        <w:t>136 594</w:t>
      </w:r>
      <w:r w:rsidRPr="006A755F">
        <w:rPr>
          <w:b/>
        </w:rPr>
        <w:t xml:space="preserve"> tis. Kč nároky</w:t>
      </w:r>
      <w:r>
        <w:rPr>
          <w:bCs/>
        </w:rPr>
        <w:t>.</w:t>
      </w:r>
      <w:r w:rsidRPr="00C447F4">
        <w:t xml:space="preserve"> </w:t>
      </w:r>
      <w:r w:rsidRPr="009A082E">
        <w:t xml:space="preserve">Realizace projektu </w:t>
      </w:r>
      <w:r>
        <w:t>byla ukončena v roce 2023.</w:t>
      </w:r>
    </w:p>
    <w:p w14:paraId="018B392B" w14:textId="5E4EFBAB" w:rsidR="00F30B65" w:rsidRPr="006B6D61" w:rsidRDefault="00F30B65" w:rsidP="00E20BD6">
      <w:pPr>
        <w:pStyle w:val="KOMnadp3"/>
      </w:pPr>
      <w:bookmarkStart w:id="184" w:name="_Toc162269254"/>
      <w:r w:rsidRPr="006B6D61">
        <w:t xml:space="preserve">Komunitární programy – programové období </w:t>
      </w:r>
      <w:proofErr w:type="gramStart"/>
      <w:r w:rsidRPr="006B6D61">
        <w:t>2014 – 2020</w:t>
      </w:r>
      <w:bookmarkEnd w:id="184"/>
      <w:proofErr w:type="gramEnd"/>
    </w:p>
    <w:p w14:paraId="626E5811" w14:textId="77777777" w:rsidR="001E44CB" w:rsidRPr="006B6D61" w:rsidRDefault="001E44CB" w:rsidP="008A0E44">
      <w:pPr>
        <w:pStyle w:val="KOMnadp4"/>
      </w:pPr>
      <w:r w:rsidRPr="006B6D61">
        <w:t>NÁSTROJ PRO PROPOJENÍ EVROPY – CEF</w:t>
      </w:r>
    </w:p>
    <w:tbl>
      <w:tblPr>
        <w:tblStyle w:val="Mkatabulky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04388F" w:rsidRPr="004A12C5" w14:paraId="0BCC8228" w14:textId="77777777" w:rsidTr="00B433B4">
        <w:trPr>
          <w:trHeight w:val="354"/>
        </w:trPr>
        <w:tc>
          <w:tcPr>
            <w:tcW w:w="4253" w:type="dxa"/>
            <w:gridSpan w:val="2"/>
            <w:shd w:val="clear" w:color="auto" w:fill="auto"/>
            <w:vAlign w:val="center"/>
          </w:tcPr>
          <w:p w14:paraId="32312D29" w14:textId="77777777" w:rsidR="0004388F" w:rsidRPr="004A12C5" w:rsidRDefault="0004388F" w:rsidP="00B433B4">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239E526A" w14:textId="77777777" w:rsidR="0004388F" w:rsidRPr="004A12C5" w:rsidRDefault="0004388F" w:rsidP="00B433B4">
            <w:pPr>
              <w:keepNext/>
              <w:keepLines/>
              <w:tabs>
                <w:tab w:val="left" w:pos="3969"/>
              </w:tabs>
              <w:spacing w:before="120" w:after="60"/>
              <w:jc w:val="right"/>
              <w:rPr>
                <w:b/>
                <w:color w:val="000000" w:themeColor="text1"/>
                <w:sz w:val="24"/>
                <w:szCs w:val="24"/>
              </w:rPr>
            </w:pPr>
            <w:r>
              <w:rPr>
                <w:b/>
                <w:sz w:val="24"/>
                <w:szCs w:val="24"/>
              </w:rPr>
              <w:t>1 817 353</w:t>
            </w:r>
            <w:r w:rsidRPr="004A12C5">
              <w:rPr>
                <w:b/>
                <w:sz w:val="24"/>
                <w:szCs w:val="24"/>
              </w:rPr>
              <w:t xml:space="preserve"> </w:t>
            </w:r>
            <w:r w:rsidRPr="004A12C5">
              <w:rPr>
                <w:b/>
                <w:color w:val="000000" w:themeColor="text1"/>
                <w:sz w:val="24"/>
                <w:szCs w:val="24"/>
              </w:rPr>
              <w:t>tis. Kč</w:t>
            </w:r>
          </w:p>
        </w:tc>
      </w:tr>
      <w:tr w:rsidR="0004388F" w:rsidRPr="004A12C5" w14:paraId="08CAD7FD" w14:textId="77777777" w:rsidTr="00B433B4">
        <w:trPr>
          <w:trHeight w:val="418"/>
        </w:trPr>
        <w:tc>
          <w:tcPr>
            <w:tcW w:w="4253" w:type="dxa"/>
            <w:gridSpan w:val="2"/>
            <w:shd w:val="clear" w:color="auto" w:fill="auto"/>
            <w:vAlign w:val="center"/>
          </w:tcPr>
          <w:p w14:paraId="3FA9DD3F" w14:textId="77777777" w:rsidR="0004388F" w:rsidRPr="004A12C5" w:rsidRDefault="0004388F" w:rsidP="00B433B4">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729993DF" w14:textId="77777777" w:rsidR="0004388F" w:rsidRPr="004A12C5" w:rsidRDefault="0004388F" w:rsidP="00B433B4">
            <w:pPr>
              <w:keepNext/>
              <w:keepLines/>
              <w:tabs>
                <w:tab w:val="left" w:pos="3969"/>
              </w:tabs>
              <w:spacing w:before="60" w:after="60"/>
              <w:jc w:val="right"/>
              <w:rPr>
                <w:b/>
                <w:color w:val="000000" w:themeColor="text1"/>
                <w:sz w:val="24"/>
                <w:szCs w:val="24"/>
              </w:rPr>
            </w:pPr>
            <w:r>
              <w:rPr>
                <w:b/>
                <w:sz w:val="24"/>
                <w:szCs w:val="24"/>
              </w:rPr>
              <w:t>1 817 115</w:t>
            </w:r>
            <w:r w:rsidRPr="004A12C5">
              <w:rPr>
                <w:b/>
                <w:color w:val="000000" w:themeColor="text1"/>
                <w:sz w:val="24"/>
                <w:szCs w:val="24"/>
              </w:rPr>
              <w:t xml:space="preserve"> tis. Kč</w:t>
            </w:r>
          </w:p>
        </w:tc>
      </w:tr>
      <w:tr w:rsidR="0004388F" w:rsidRPr="004A12C5" w14:paraId="713ED603" w14:textId="77777777" w:rsidTr="00B433B4">
        <w:trPr>
          <w:trHeight w:val="170"/>
        </w:trPr>
        <w:tc>
          <w:tcPr>
            <w:tcW w:w="704" w:type="dxa"/>
            <w:shd w:val="clear" w:color="auto" w:fill="auto"/>
            <w:vAlign w:val="center"/>
          </w:tcPr>
          <w:p w14:paraId="68CCAFB1" w14:textId="77777777" w:rsidR="0004388F" w:rsidRPr="004A12C5" w:rsidRDefault="0004388F" w:rsidP="00B433B4">
            <w:pPr>
              <w:keepNext/>
              <w:keepLines/>
              <w:tabs>
                <w:tab w:val="left" w:pos="3969"/>
              </w:tabs>
              <w:spacing w:before="60" w:after="60"/>
              <w:rPr>
                <w:b/>
                <w:color w:val="000000" w:themeColor="text1"/>
                <w:sz w:val="24"/>
                <w:szCs w:val="24"/>
              </w:rPr>
            </w:pPr>
          </w:p>
        </w:tc>
        <w:tc>
          <w:tcPr>
            <w:tcW w:w="3549" w:type="dxa"/>
            <w:shd w:val="clear" w:color="auto" w:fill="auto"/>
            <w:vAlign w:val="center"/>
          </w:tcPr>
          <w:p w14:paraId="0F7D0EA4" w14:textId="77777777" w:rsidR="0004388F" w:rsidRPr="004A12C5" w:rsidRDefault="0004388F" w:rsidP="00B433B4">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4BA76E49" w14:textId="77777777" w:rsidR="0004388F" w:rsidRPr="004A12C5" w:rsidRDefault="0004388F" w:rsidP="00B433B4">
            <w:pPr>
              <w:keepNext/>
              <w:keepLines/>
              <w:tabs>
                <w:tab w:val="left" w:pos="3969"/>
              </w:tabs>
              <w:spacing w:before="60" w:after="60"/>
              <w:jc w:val="right"/>
              <w:rPr>
                <w:b/>
                <w:color w:val="000000" w:themeColor="text1"/>
                <w:sz w:val="24"/>
                <w:szCs w:val="24"/>
              </w:rPr>
            </w:pPr>
            <w:r>
              <w:rPr>
                <w:b/>
                <w:sz w:val="24"/>
                <w:szCs w:val="24"/>
              </w:rPr>
              <w:t>238</w:t>
            </w:r>
            <w:r w:rsidRPr="004A12C5">
              <w:rPr>
                <w:b/>
                <w:sz w:val="24"/>
                <w:szCs w:val="24"/>
              </w:rPr>
              <w:t xml:space="preserve"> </w:t>
            </w:r>
            <w:r w:rsidRPr="004A12C5">
              <w:rPr>
                <w:b/>
                <w:color w:val="000000" w:themeColor="text1"/>
                <w:sz w:val="24"/>
                <w:szCs w:val="24"/>
              </w:rPr>
              <w:t>tis. Kč</w:t>
            </w:r>
          </w:p>
        </w:tc>
      </w:tr>
    </w:tbl>
    <w:p w14:paraId="543B3840" w14:textId="5ABBFCB9" w:rsidR="001A19B9" w:rsidRPr="006A755F" w:rsidRDefault="001E44CB" w:rsidP="001A19B9">
      <w:pPr>
        <w:pStyle w:val="KOMtext"/>
      </w:pPr>
      <w:r w:rsidRPr="006A755F">
        <w:t xml:space="preserve">Jedná se o integrovaný nástroj k financování prioritních transevropských infrastrukturních sítí. Cílem tohoto nástroje je podpořit vybudování infrastruktury, která </w:t>
      </w:r>
      <w:proofErr w:type="gramStart"/>
      <w:r w:rsidRPr="006A755F">
        <w:t>zlepší</w:t>
      </w:r>
      <w:proofErr w:type="gramEnd"/>
      <w:r w:rsidRPr="006A755F">
        <w:t xml:space="preserve"> fungování vnitřního trhu EU. Podpora EU je zaměřena na prioritní energetické, dopravní a telekomunikační sítě.</w:t>
      </w:r>
    </w:p>
    <w:p w14:paraId="7EE9DD3E" w14:textId="77777777" w:rsidR="001A19B9" w:rsidRPr="006A755F" w:rsidRDefault="001A19B9" w:rsidP="001A19B9">
      <w:pPr>
        <w:pStyle w:val="KOMnadp5"/>
      </w:pPr>
      <w:r w:rsidRPr="006A755F">
        <w:lastRenderedPageBreak/>
        <w:t>NÁSTROJ PRO PROPOJENÍ EVROPY – CEF (projekty SŽ, ŘSD ČR)</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1A19B9" w:rsidRPr="006A755F" w14:paraId="3F00478A" w14:textId="77777777" w:rsidTr="00AE2DE8">
        <w:trPr>
          <w:trHeight w:val="354"/>
        </w:trPr>
        <w:tc>
          <w:tcPr>
            <w:tcW w:w="4253" w:type="dxa"/>
            <w:gridSpan w:val="2"/>
            <w:shd w:val="clear" w:color="auto" w:fill="auto"/>
            <w:vAlign w:val="center"/>
          </w:tcPr>
          <w:p w14:paraId="6CD9863C" w14:textId="77777777" w:rsidR="001A19B9" w:rsidRPr="004A12C5" w:rsidRDefault="001A19B9" w:rsidP="00AE2DE8">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6FFFAF98" w14:textId="77777777" w:rsidR="001A19B9" w:rsidRPr="004A12C5" w:rsidRDefault="001A19B9" w:rsidP="00AE2DE8">
            <w:pPr>
              <w:keepNext/>
              <w:keepLines/>
              <w:tabs>
                <w:tab w:val="left" w:pos="3969"/>
              </w:tabs>
              <w:spacing w:before="120" w:after="60"/>
              <w:jc w:val="right"/>
              <w:rPr>
                <w:b/>
                <w:color w:val="000000" w:themeColor="text1"/>
                <w:sz w:val="24"/>
                <w:szCs w:val="24"/>
              </w:rPr>
            </w:pPr>
            <w:r>
              <w:rPr>
                <w:b/>
                <w:bCs/>
                <w:color w:val="000000" w:themeColor="text1"/>
                <w:sz w:val="24"/>
                <w:szCs w:val="24"/>
              </w:rPr>
              <w:t>1 814 765</w:t>
            </w:r>
            <w:r w:rsidRPr="004A12C5">
              <w:rPr>
                <w:b/>
                <w:bCs/>
                <w:color w:val="000000" w:themeColor="text1"/>
                <w:sz w:val="24"/>
                <w:szCs w:val="24"/>
              </w:rPr>
              <w:t xml:space="preserve"> </w:t>
            </w:r>
            <w:r w:rsidRPr="004A12C5">
              <w:rPr>
                <w:b/>
                <w:color w:val="000000" w:themeColor="text1"/>
                <w:sz w:val="24"/>
                <w:szCs w:val="24"/>
              </w:rPr>
              <w:t>tis. Kč</w:t>
            </w:r>
          </w:p>
        </w:tc>
      </w:tr>
      <w:tr w:rsidR="001A19B9" w:rsidRPr="006A755F" w14:paraId="1DFED681" w14:textId="77777777" w:rsidTr="00AE2DE8">
        <w:trPr>
          <w:trHeight w:val="418"/>
        </w:trPr>
        <w:tc>
          <w:tcPr>
            <w:tcW w:w="4253" w:type="dxa"/>
            <w:gridSpan w:val="2"/>
            <w:shd w:val="clear" w:color="auto" w:fill="auto"/>
            <w:vAlign w:val="center"/>
          </w:tcPr>
          <w:p w14:paraId="08C55393" w14:textId="77777777" w:rsidR="001A19B9" w:rsidRPr="004A12C5" w:rsidRDefault="001A19B9" w:rsidP="00AE2DE8">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1523EB19" w14:textId="77777777" w:rsidR="001A19B9" w:rsidRPr="004A12C5" w:rsidRDefault="001A19B9" w:rsidP="00AE2DE8">
            <w:pPr>
              <w:keepNext/>
              <w:keepLines/>
              <w:tabs>
                <w:tab w:val="left" w:pos="3969"/>
              </w:tabs>
              <w:spacing w:before="60" w:after="60"/>
              <w:jc w:val="right"/>
              <w:rPr>
                <w:b/>
                <w:color w:val="000000" w:themeColor="text1"/>
                <w:sz w:val="24"/>
                <w:szCs w:val="24"/>
              </w:rPr>
            </w:pPr>
            <w:r>
              <w:rPr>
                <w:b/>
                <w:bCs/>
                <w:color w:val="000000" w:themeColor="text1"/>
                <w:sz w:val="24"/>
                <w:szCs w:val="24"/>
              </w:rPr>
              <w:t>1 814 765</w:t>
            </w:r>
            <w:r w:rsidRPr="004A12C5">
              <w:rPr>
                <w:b/>
                <w:bCs/>
                <w:color w:val="000000" w:themeColor="text1"/>
                <w:sz w:val="24"/>
                <w:szCs w:val="24"/>
              </w:rPr>
              <w:t xml:space="preserve"> </w:t>
            </w:r>
            <w:r w:rsidRPr="004A12C5">
              <w:rPr>
                <w:b/>
                <w:color w:val="000000" w:themeColor="text1"/>
                <w:sz w:val="24"/>
                <w:szCs w:val="24"/>
              </w:rPr>
              <w:t>tis. Kč</w:t>
            </w:r>
          </w:p>
        </w:tc>
      </w:tr>
      <w:tr w:rsidR="001A19B9" w:rsidRPr="006A755F" w14:paraId="3A8573CC" w14:textId="77777777" w:rsidTr="00AE2DE8">
        <w:trPr>
          <w:trHeight w:val="170"/>
        </w:trPr>
        <w:tc>
          <w:tcPr>
            <w:tcW w:w="704" w:type="dxa"/>
            <w:shd w:val="clear" w:color="auto" w:fill="auto"/>
            <w:vAlign w:val="center"/>
          </w:tcPr>
          <w:p w14:paraId="5477E416" w14:textId="77777777" w:rsidR="001A19B9" w:rsidRPr="004A12C5" w:rsidRDefault="001A19B9" w:rsidP="00AE2DE8">
            <w:pPr>
              <w:keepNext/>
              <w:keepLines/>
              <w:tabs>
                <w:tab w:val="left" w:pos="3969"/>
              </w:tabs>
              <w:spacing w:before="60" w:after="60"/>
              <w:rPr>
                <w:b/>
                <w:color w:val="000000" w:themeColor="text1"/>
                <w:sz w:val="24"/>
                <w:szCs w:val="24"/>
              </w:rPr>
            </w:pPr>
          </w:p>
        </w:tc>
        <w:tc>
          <w:tcPr>
            <w:tcW w:w="3549" w:type="dxa"/>
            <w:shd w:val="clear" w:color="auto" w:fill="auto"/>
            <w:vAlign w:val="center"/>
          </w:tcPr>
          <w:p w14:paraId="1675F5F0" w14:textId="77777777" w:rsidR="001A19B9" w:rsidRPr="004A12C5" w:rsidRDefault="001A19B9" w:rsidP="00AE2DE8">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4668B8C7" w14:textId="77777777" w:rsidR="001A19B9" w:rsidRPr="004A12C5" w:rsidRDefault="001A19B9" w:rsidP="00AE2DE8">
            <w:pPr>
              <w:keepNext/>
              <w:keepLines/>
              <w:tabs>
                <w:tab w:val="left" w:pos="3969"/>
              </w:tabs>
              <w:spacing w:before="60" w:after="60"/>
              <w:jc w:val="right"/>
              <w:rPr>
                <w:b/>
                <w:color w:val="000000" w:themeColor="text1"/>
                <w:sz w:val="24"/>
                <w:szCs w:val="24"/>
              </w:rPr>
            </w:pPr>
            <w:r w:rsidRPr="004A12C5">
              <w:rPr>
                <w:b/>
                <w:color w:val="000000" w:themeColor="text1"/>
                <w:sz w:val="24"/>
                <w:szCs w:val="24"/>
              </w:rPr>
              <w:t>0 tis. Kč</w:t>
            </w:r>
          </w:p>
        </w:tc>
      </w:tr>
    </w:tbl>
    <w:p w14:paraId="2CB83A38" w14:textId="77777777" w:rsidR="001A19B9" w:rsidRPr="00855284" w:rsidRDefault="001A19B9" w:rsidP="001A19B9">
      <w:pPr>
        <w:pStyle w:val="KOMtext"/>
      </w:pPr>
      <w:r w:rsidRPr="00855284">
        <w:t>Projekty státních investorských organizací (Správa železnic, Ředitelství silnic a dálnic ČR) podpořené z Nástroje pro propojení Evropy (dále jen CEF) jsou až na jednu výjimku financovány z tzv. kohezní obálky CEF. Kohezní CEF je financován z prostředků Fondu soudržnosti (tzv. Kohezního fondu) převedených do CEF. Kohezní CEF je určen pouze pro státy, které mohou čerpat z Fondu soudržnosti.</w:t>
      </w:r>
    </w:p>
    <w:p w14:paraId="329E3968" w14:textId="77777777" w:rsidR="001A19B9" w:rsidRPr="00855284" w:rsidRDefault="001A19B9" w:rsidP="001A19B9">
      <w:pPr>
        <w:pStyle w:val="KOMtext"/>
      </w:pPr>
      <w:r w:rsidRPr="00855284">
        <w:t xml:space="preserve">Z kohezního CEF bylo podpořeno celkem 52 projektů, z toho ze státního rozpočtu prostřednictvím Státního fondu dopravní infrastruktury bylo financováno 32 projektů. Jediným projektem státních investorských organizací financovaným z tzv. obecné obálky, </w:t>
      </w:r>
      <w:r w:rsidRPr="00855284">
        <w:br/>
        <w:t xml:space="preserve">o jejíž prostředky mohou soutěžit žadatelé ze všech členských států, je projekt SŽ podpořený z tzv. </w:t>
      </w:r>
      <w:proofErr w:type="spellStart"/>
      <w:r w:rsidRPr="00855284">
        <w:t>blendingové</w:t>
      </w:r>
      <w:proofErr w:type="spellEnd"/>
      <w:r w:rsidRPr="00855284">
        <w:t xml:space="preserve"> výzvy. V této výzvě bylo podmínkou zajištění úvěru od Evropské investiční banky.</w:t>
      </w:r>
    </w:p>
    <w:p w14:paraId="7B0D140F" w14:textId="3ECAB9BC" w:rsidR="001A19B9" w:rsidRPr="006A755F" w:rsidRDefault="001A19B9" w:rsidP="001A19B9">
      <w:pPr>
        <w:pStyle w:val="KOMtext"/>
        <w:rPr>
          <w:color w:val="FF0000"/>
        </w:rPr>
      </w:pPr>
      <w:r w:rsidRPr="00855284">
        <w:t>Příjemce průběžně žádá o průběžné platby Evropskou výkonnou agenturu pro klima, infrastrukturu a životní prostředí (CINEA)</w:t>
      </w:r>
      <w:r w:rsidRPr="00855284" w:rsidDel="007C11AA">
        <w:t xml:space="preserve"> </w:t>
      </w:r>
      <w:r w:rsidRPr="00855284">
        <w:t xml:space="preserve">pověřenou administrací programu CEF. Realizace řady schválených projektů byla zahájena již v roce 2017, další následují tak, aby se stihly termíny dle schválených projektových žádostí. Některé projekty se nicméně, i s ohledem na pandemii COVID-19, zpožďují. </w:t>
      </w:r>
      <w:r w:rsidR="0013420F">
        <w:t>C</w:t>
      </w:r>
      <w:r w:rsidRPr="00855284">
        <w:t>INEA umožňuje v odůvodněných případech prodloužit realizaci až do roku 2024.</w:t>
      </w:r>
    </w:p>
    <w:p w14:paraId="3FC77604" w14:textId="77777777" w:rsidR="001A19B9" w:rsidRDefault="001A19B9" w:rsidP="001A19B9">
      <w:pPr>
        <w:pStyle w:val="KOMtext"/>
      </w:pPr>
      <w:r w:rsidRPr="006A755F">
        <w:t xml:space="preserve">Finanční prostředky byly poskytnuty příjemcům prostřednictvím Státního fondu dopravní infrastruktury ve výši </w:t>
      </w:r>
      <w:r>
        <w:rPr>
          <w:b/>
        </w:rPr>
        <w:t>1 814 765</w:t>
      </w:r>
      <w:r w:rsidRPr="006A755F">
        <w:rPr>
          <w:b/>
        </w:rPr>
        <w:t xml:space="preserve"> tis. Kč</w:t>
      </w:r>
      <w:r w:rsidRPr="006A755F">
        <w:t xml:space="preserve">, </w:t>
      </w:r>
      <w:r w:rsidRPr="006A755F">
        <w:rPr>
          <w:b/>
        </w:rPr>
        <w:t xml:space="preserve">z toho </w:t>
      </w:r>
      <w:r>
        <w:rPr>
          <w:b/>
        </w:rPr>
        <w:t>23 751</w:t>
      </w:r>
      <w:r w:rsidRPr="006A755F">
        <w:rPr>
          <w:b/>
        </w:rPr>
        <w:t xml:space="preserve"> tis. Kč nároky.</w:t>
      </w:r>
      <w:r w:rsidRPr="00307B14">
        <w:t xml:space="preserve"> </w:t>
      </w:r>
    </w:p>
    <w:p w14:paraId="620746F3" w14:textId="77777777" w:rsidR="001A19B9" w:rsidRDefault="001A19B9" w:rsidP="001A19B9">
      <w:pPr>
        <w:pStyle w:val="KOMtext"/>
        <w:rPr>
          <w:color w:val="FF0000"/>
        </w:rPr>
      </w:pPr>
      <w:r w:rsidRPr="00307B14">
        <w:t xml:space="preserve">V roce 2023 byly opět na projekty poskytnuty Evropskou komisí zálohy a průběžné platby </w:t>
      </w:r>
      <w:r w:rsidRPr="00307B14">
        <w:br/>
        <w:t xml:space="preserve">k projektům vybraným v předešlých výzvách, a to ve výši </w:t>
      </w:r>
      <w:r w:rsidRPr="00307B14">
        <w:rPr>
          <w:b/>
          <w:bCs/>
        </w:rPr>
        <w:t>2 324 224 tis. Kč</w:t>
      </w:r>
      <w:r w:rsidRPr="00307B14">
        <w:t>.</w:t>
      </w:r>
      <w:r w:rsidRPr="00307B14">
        <w:rPr>
          <w:color w:val="FF0000"/>
        </w:rPr>
        <w:t xml:space="preserve"> </w:t>
      </w:r>
    </w:p>
    <w:p w14:paraId="2D4620A7" w14:textId="765F7EA1" w:rsidR="00790A5D" w:rsidRPr="00307B14" w:rsidRDefault="00790A5D" w:rsidP="00790A5D">
      <w:pPr>
        <w:pStyle w:val="KOMnadp5"/>
        <w:rPr>
          <w:color w:val="FF0000"/>
        </w:rPr>
      </w:pPr>
      <w:r w:rsidRPr="006A755F">
        <w:lastRenderedPageBreak/>
        <w:t>NÁSTROJ PRO PROPOJENÍ EVROPY (Technická pomoc) – CEF TP</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1A19B9" w:rsidRPr="006A755F" w14:paraId="42AF3A59" w14:textId="77777777" w:rsidTr="00AE2DE8">
        <w:trPr>
          <w:trHeight w:val="354"/>
        </w:trPr>
        <w:tc>
          <w:tcPr>
            <w:tcW w:w="4253" w:type="dxa"/>
            <w:gridSpan w:val="2"/>
            <w:shd w:val="clear" w:color="auto" w:fill="auto"/>
            <w:vAlign w:val="center"/>
          </w:tcPr>
          <w:p w14:paraId="35822E16" w14:textId="77777777" w:rsidR="001A19B9" w:rsidRPr="004A12C5" w:rsidRDefault="001A19B9" w:rsidP="00AE2DE8">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5E2EC101" w14:textId="77777777" w:rsidR="001A19B9" w:rsidRPr="004A12C5" w:rsidRDefault="001A19B9" w:rsidP="00AE2DE8">
            <w:pPr>
              <w:keepNext/>
              <w:keepLines/>
              <w:tabs>
                <w:tab w:val="left" w:pos="3969"/>
              </w:tabs>
              <w:spacing w:before="120" w:after="60"/>
              <w:jc w:val="right"/>
              <w:rPr>
                <w:b/>
                <w:color w:val="000000" w:themeColor="text1"/>
                <w:sz w:val="24"/>
                <w:szCs w:val="24"/>
              </w:rPr>
            </w:pPr>
            <w:r>
              <w:rPr>
                <w:b/>
                <w:bCs/>
                <w:color w:val="000000" w:themeColor="text1"/>
                <w:sz w:val="24"/>
                <w:szCs w:val="24"/>
              </w:rPr>
              <w:t>2 360</w:t>
            </w:r>
            <w:r w:rsidRPr="004A12C5">
              <w:rPr>
                <w:b/>
                <w:bCs/>
                <w:color w:val="000000" w:themeColor="text1"/>
                <w:sz w:val="24"/>
                <w:szCs w:val="24"/>
              </w:rPr>
              <w:t xml:space="preserve"> </w:t>
            </w:r>
            <w:r w:rsidRPr="004A12C5">
              <w:rPr>
                <w:b/>
                <w:color w:val="000000" w:themeColor="text1"/>
                <w:sz w:val="24"/>
                <w:szCs w:val="24"/>
              </w:rPr>
              <w:t>tis. Kč</w:t>
            </w:r>
          </w:p>
        </w:tc>
      </w:tr>
      <w:tr w:rsidR="001A19B9" w:rsidRPr="006A755F" w14:paraId="773B4C7D" w14:textId="77777777" w:rsidTr="00AE2DE8">
        <w:trPr>
          <w:trHeight w:val="418"/>
        </w:trPr>
        <w:tc>
          <w:tcPr>
            <w:tcW w:w="4253" w:type="dxa"/>
            <w:gridSpan w:val="2"/>
            <w:shd w:val="clear" w:color="auto" w:fill="auto"/>
            <w:vAlign w:val="center"/>
          </w:tcPr>
          <w:p w14:paraId="575E5341" w14:textId="77777777" w:rsidR="001A19B9" w:rsidRPr="004A12C5" w:rsidRDefault="001A19B9" w:rsidP="00AE2DE8">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58ACC62B" w14:textId="77777777" w:rsidR="001A19B9" w:rsidRPr="004A12C5" w:rsidRDefault="001A19B9" w:rsidP="00AE2DE8">
            <w:pPr>
              <w:keepNext/>
              <w:keepLines/>
              <w:tabs>
                <w:tab w:val="left" w:pos="3969"/>
              </w:tabs>
              <w:spacing w:before="60" w:after="60"/>
              <w:jc w:val="right"/>
              <w:rPr>
                <w:b/>
                <w:color w:val="000000" w:themeColor="text1"/>
                <w:sz w:val="24"/>
                <w:szCs w:val="24"/>
              </w:rPr>
            </w:pPr>
            <w:r>
              <w:rPr>
                <w:b/>
                <w:bCs/>
                <w:color w:val="000000" w:themeColor="text1"/>
                <w:sz w:val="24"/>
                <w:szCs w:val="24"/>
              </w:rPr>
              <w:t>2 257</w:t>
            </w:r>
            <w:r w:rsidRPr="004A12C5">
              <w:rPr>
                <w:b/>
                <w:bCs/>
                <w:color w:val="000000" w:themeColor="text1"/>
                <w:sz w:val="24"/>
                <w:szCs w:val="24"/>
              </w:rPr>
              <w:t xml:space="preserve"> </w:t>
            </w:r>
            <w:r w:rsidRPr="004A12C5">
              <w:rPr>
                <w:b/>
                <w:color w:val="000000" w:themeColor="text1"/>
                <w:sz w:val="24"/>
                <w:szCs w:val="24"/>
              </w:rPr>
              <w:t>tis. Kč</w:t>
            </w:r>
          </w:p>
        </w:tc>
      </w:tr>
      <w:tr w:rsidR="001A19B9" w:rsidRPr="006A755F" w14:paraId="592261C2" w14:textId="77777777" w:rsidTr="00AE2DE8">
        <w:trPr>
          <w:trHeight w:val="170"/>
        </w:trPr>
        <w:tc>
          <w:tcPr>
            <w:tcW w:w="704" w:type="dxa"/>
            <w:shd w:val="clear" w:color="auto" w:fill="auto"/>
            <w:vAlign w:val="center"/>
          </w:tcPr>
          <w:p w14:paraId="38F254B1" w14:textId="77777777" w:rsidR="001A19B9" w:rsidRPr="004A12C5" w:rsidRDefault="001A19B9" w:rsidP="00AE2DE8">
            <w:pPr>
              <w:keepNext/>
              <w:keepLines/>
              <w:tabs>
                <w:tab w:val="left" w:pos="3969"/>
              </w:tabs>
              <w:spacing w:before="60" w:after="60"/>
              <w:rPr>
                <w:b/>
                <w:color w:val="000000" w:themeColor="text1"/>
                <w:sz w:val="24"/>
                <w:szCs w:val="24"/>
              </w:rPr>
            </w:pPr>
          </w:p>
        </w:tc>
        <w:tc>
          <w:tcPr>
            <w:tcW w:w="3549" w:type="dxa"/>
            <w:shd w:val="clear" w:color="auto" w:fill="auto"/>
            <w:vAlign w:val="center"/>
          </w:tcPr>
          <w:p w14:paraId="43A7D8C0" w14:textId="77777777" w:rsidR="001A19B9" w:rsidRPr="004A12C5" w:rsidRDefault="001A19B9" w:rsidP="00AE2DE8">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19331E69" w14:textId="77777777" w:rsidR="001A19B9" w:rsidRPr="004A12C5" w:rsidRDefault="001A19B9" w:rsidP="00AE2DE8">
            <w:pPr>
              <w:keepNext/>
              <w:keepLines/>
              <w:tabs>
                <w:tab w:val="left" w:pos="3969"/>
              </w:tabs>
              <w:spacing w:before="60" w:after="60"/>
              <w:jc w:val="right"/>
              <w:rPr>
                <w:b/>
                <w:color w:val="000000" w:themeColor="text1"/>
                <w:sz w:val="24"/>
                <w:szCs w:val="24"/>
              </w:rPr>
            </w:pPr>
            <w:r>
              <w:rPr>
                <w:b/>
                <w:color w:val="000000" w:themeColor="text1"/>
                <w:sz w:val="24"/>
                <w:szCs w:val="24"/>
              </w:rPr>
              <w:t xml:space="preserve">103 </w:t>
            </w:r>
            <w:r w:rsidRPr="004A12C5">
              <w:rPr>
                <w:b/>
                <w:color w:val="000000" w:themeColor="text1"/>
                <w:sz w:val="24"/>
                <w:szCs w:val="24"/>
              </w:rPr>
              <w:t>tis. Kč</w:t>
            </w:r>
          </w:p>
        </w:tc>
      </w:tr>
    </w:tbl>
    <w:p w14:paraId="170D317C" w14:textId="77777777" w:rsidR="001A19B9" w:rsidRPr="006A755F" w:rsidRDefault="001A19B9" w:rsidP="001A19B9">
      <w:pPr>
        <w:pStyle w:val="KOMnadp5"/>
        <w:numPr>
          <w:ilvl w:val="0"/>
          <w:numId w:val="0"/>
        </w:numPr>
      </w:pPr>
      <w:r w:rsidRPr="006A755F">
        <w:t>MOVE/B4/SUB/2020-123/CEF/PSA/SI2.852232</w:t>
      </w:r>
    </w:p>
    <w:p w14:paraId="70302C00" w14:textId="77777777" w:rsidR="001A19B9" w:rsidRPr="00D16E31" w:rsidRDefault="001A19B9" w:rsidP="001A19B9">
      <w:pPr>
        <w:pStyle w:val="KOMtext"/>
      </w:pPr>
      <w:r w:rsidRPr="00D16E31">
        <w:t xml:space="preserve">Projekt CEF PSA NAPCORE (projekt) je evropský projekt spolufinancovaný z komunitárního programu CEF Transport 2014-2020. Jedná se o projekt kategorie </w:t>
      </w:r>
      <w:proofErr w:type="spellStart"/>
      <w:r w:rsidRPr="00D16E31">
        <w:t>Programme</w:t>
      </w:r>
      <w:proofErr w:type="spellEnd"/>
      <w:r w:rsidRPr="00D16E31">
        <w:t xml:space="preserve"> Support </w:t>
      </w:r>
      <w:proofErr w:type="spellStart"/>
      <w:r w:rsidRPr="00D16E31">
        <w:t>Action</w:t>
      </w:r>
      <w:proofErr w:type="spellEnd"/>
      <w:r w:rsidRPr="00D16E31">
        <w:t xml:space="preserve">, na který Evropská komise vyhlásila výzvu za účelem podpory implementace Delegovaných aktů spadajících pod Směrnici EU č. 2010/40/EU co se týče požadavků na zpřístupnění dat </w:t>
      </w:r>
      <w:r w:rsidRPr="00D16E31">
        <w:br/>
        <w:t xml:space="preserve">o dopravní infrastruktuře, bezpečnosti, provozu a cestování a jejich přesnosti a spolehlivosti prostřednictvím národního přístupového místa uživatelům jako jsou dopravní orgány, správci dopravní infrastruktury nebo poskytovatelé služeb. Hlavním cílem je zvýšit kvalitu dopravních informačních služeb, které jsou založeny na těchto datech. </w:t>
      </w:r>
    </w:p>
    <w:p w14:paraId="0314E08F" w14:textId="77777777" w:rsidR="001A19B9" w:rsidRPr="006A755F" w:rsidRDefault="001A19B9" w:rsidP="001A19B9">
      <w:pPr>
        <w:pStyle w:val="KOMtext"/>
      </w:pPr>
      <w:r w:rsidRPr="00D16E31">
        <w:t xml:space="preserve">Projekt je spolufinancován z finančních prostředků EU ve výši 85 % (programu CEF Transport 2014-2021). Rozpočet projektu je ve výši 14 117 642 EUR. Předpokládaný rozpočet pro ČR je ve výši 760 327 EUR. Doba trvání projektu </w:t>
      </w:r>
      <w:r>
        <w:t>se počítá</w:t>
      </w:r>
      <w:r w:rsidRPr="00D16E31">
        <w:t xml:space="preserve"> od 1. 4. 2021 do 31. 12. 2024.</w:t>
      </w:r>
    </w:p>
    <w:p w14:paraId="52F7786F" w14:textId="77777777" w:rsidR="001A19B9" w:rsidRPr="006A755F" w:rsidRDefault="001A19B9" w:rsidP="001A19B9">
      <w:pPr>
        <w:pStyle w:val="KOMtext"/>
      </w:pPr>
      <w:r w:rsidRPr="006A755F">
        <w:t>V roce 202</w:t>
      </w:r>
      <w:r>
        <w:t>3</w:t>
      </w:r>
      <w:r w:rsidRPr="006A755F">
        <w:t xml:space="preserve"> byly proplaceny finanční prostředky na mzdové, ostatní osobní výdaje včetně příslušenství a cestovní výdaje ve výši </w:t>
      </w:r>
      <w:r>
        <w:rPr>
          <w:b/>
        </w:rPr>
        <w:t>2 360</w:t>
      </w:r>
      <w:r w:rsidRPr="004A12C5">
        <w:rPr>
          <w:b/>
        </w:rPr>
        <w:t xml:space="preserve"> tis. Kč</w:t>
      </w:r>
      <w:r w:rsidRPr="006A755F">
        <w:rPr>
          <w:b/>
          <w:i/>
        </w:rPr>
        <w:t xml:space="preserve"> </w:t>
      </w:r>
      <w:r w:rsidRPr="006A755F">
        <w:t>(v tom EU podíl 2</w:t>
      </w:r>
      <w:r>
        <w:t xml:space="preserve"> 257</w:t>
      </w:r>
      <w:r w:rsidRPr="006A755F">
        <w:t xml:space="preserve"> tis. Kč a SR podíl </w:t>
      </w:r>
      <w:r w:rsidRPr="006A755F">
        <w:br/>
      </w:r>
      <w:r>
        <w:t>103</w:t>
      </w:r>
      <w:r w:rsidRPr="006A755F">
        <w:t xml:space="preserve"> tis. Kč).</w:t>
      </w:r>
      <w:r>
        <w:t xml:space="preserve"> Dále jsou zde zahrnuty prostředky poskytnuté SFDI pro konečného příjemce ŘSD ČR ve výši 1 674 tis. Kč.</w:t>
      </w:r>
    </w:p>
    <w:p w14:paraId="7AD413CA" w14:textId="77777777" w:rsidR="001A19B9" w:rsidRPr="004A12C5" w:rsidRDefault="001A19B9" w:rsidP="001A19B9">
      <w:pPr>
        <w:pStyle w:val="KOMtext"/>
        <w:rPr>
          <w:b/>
        </w:rPr>
      </w:pPr>
      <w:r w:rsidRPr="006A755F">
        <w:t>V roce 202</w:t>
      </w:r>
      <w:r>
        <w:t>3</w:t>
      </w:r>
      <w:r w:rsidRPr="006A755F">
        <w:t xml:space="preserve"> nebyly </w:t>
      </w:r>
      <w:r w:rsidRPr="004A12C5">
        <w:rPr>
          <w:b/>
        </w:rPr>
        <w:t>refundovány do příjmů</w:t>
      </w:r>
      <w:r w:rsidRPr="009E1701">
        <w:t xml:space="preserve"> </w:t>
      </w:r>
      <w:r w:rsidRPr="006A755F">
        <w:t xml:space="preserve">Ministerstva dopravy prostředky za projekt </w:t>
      </w:r>
      <w:r>
        <w:t>NAPCORE</w:t>
      </w:r>
      <w:r w:rsidRPr="006A755F">
        <w:t>.</w:t>
      </w:r>
    </w:p>
    <w:p w14:paraId="35081895" w14:textId="77777777" w:rsidR="001A19B9" w:rsidRPr="006A755F" w:rsidRDefault="001A19B9" w:rsidP="001A19B9">
      <w:pPr>
        <w:pStyle w:val="KOMnadp5"/>
        <w:numPr>
          <w:ilvl w:val="0"/>
          <w:numId w:val="0"/>
        </w:numPr>
      </w:pPr>
      <w:r w:rsidRPr="006A755F">
        <w:t>MOVE/B4/SUB/2018-498/CEF/PSA/SI2.792684</w:t>
      </w:r>
    </w:p>
    <w:p w14:paraId="12A3CAB2" w14:textId="77777777" w:rsidR="001A19B9" w:rsidRPr="006A755F" w:rsidRDefault="001A19B9" w:rsidP="001A19B9">
      <w:pPr>
        <w:pStyle w:val="KOMtext"/>
      </w:pPr>
      <w:r w:rsidRPr="006A755F">
        <w:t xml:space="preserve">Projekt byl zaměřený na sběr dat k dobíjecím a plnícím stanicím pro alternativní paliva </w:t>
      </w:r>
      <w:r w:rsidRPr="006A755F">
        <w:br/>
        <w:t xml:space="preserve">a vytvoření jejich unikátních identifikačních kódů pro uživatele a všechny registrované stanice na území EU. Projekt byl financován 80 % z EU a 20 % z národních zdrojů. </w:t>
      </w:r>
    </w:p>
    <w:p w14:paraId="30A3DBD7" w14:textId="77777777" w:rsidR="001A19B9" w:rsidRDefault="001A19B9" w:rsidP="001A19B9">
      <w:pPr>
        <w:pStyle w:val="KOMtext"/>
        <w:rPr>
          <w:rFonts w:eastAsiaTheme="majorEastAsia" w:cstheme="minorHAnsi"/>
          <w:color w:val="2E74B5" w:themeColor="accent1" w:themeShade="BF"/>
          <w:szCs w:val="24"/>
          <w:u w:val="single"/>
          <w:lang w:eastAsia="en-US"/>
        </w:rPr>
      </w:pPr>
      <w:r>
        <w:t>P</w:t>
      </w:r>
      <w:r w:rsidRPr="006A755F">
        <w:t>rojekt byl v roce 202</w:t>
      </w:r>
      <w:r>
        <w:t>3</w:t>
      </w:r>
      <w:r w:rsidRPr="006A755F">
        <w:t xml:space="preserve"> finančně vypořádán a ukončen. Prostředky ve výši </w:t>
      </w:r>
      <w:r>
        <w:br/>
      </w:r>
      <w:r>
        <w:rPr>
          <w:b/>
          <w:bCs/>
          <w:iCs/>
        </w:rPr>
        <w:t>633 tis.</w:t>
      </w:r>
      <w:r w:rsidRPr="004A12C5">
        <w:rPr>
          <w:b/>
        </w:rPr>
        <w:t xml:space="preserve"> Kč byly v roce 202</w:t>
      </w:r>
      <w:r>
        <w:rPr>
          <w:b/>
        </w:rPr>
        <w:t>3</w:t>
      </w:r>
      <w:r w:rsidRPr="004A12C5">
        <w:rPr>
          <w:b/>
        </w:rPr>
        <w:t xml:space="preserve"> refundovány do příjmů MD.</w:t>
      </w:r>
    </w:p>
    <w:p w14:paraId="1935A465" w14:textId="77777777" w:rsidR="001A19B9" w:rsidRPr="006A755F" w:rsidRDefault="001A19B9" w:rsidP="001A19B9">
      <w:pPr>
        <w:pStyle w:val="KOMtext"/>
        <w:rPr>
          <w:rFonts w:eastAsiaTheme="majorEastAsia" w:cstheme="minorHAnsi"/>
          <w:color w:val="2E74B5" w:themeColor="accent1" w:themeShade="BF"/>
          <w:szCs w:val="24"/>
          <w:u w:val="single"/>
          <w:lang w:eastAsia="en-US"/>
        </w:rPr>
      </w:pPr>
      <w:r w:rsidRPr="006A755F">
        <w:rPr>
          <w:rFonts w:eastAsiaTheme="majorEastAsia" w:cstheme="minorHAnsi"/>
          <w:color w:val="2E74B5" w:themeColor="accent1" w:themeShade="BF"/>
          <w:szCs w:val="24"/>
          <w:u w:val="single"/>
          <w:lang w:eastAsia="en-US"/>
        </w:rPr>
        <w:t>MOVE/C2/SUB/2019-558/CEF/PSA/SI2.835753</w:t>
      </w:r>
    </w:p>
    <w:p w14:paraId="39F06FA3" w14:textId="77777777" w:rsidR="001A19B9" w:rsidRPr="006A755F" w:rsidRDefault="001A19B9" w:rsidP="001A19B9">
      <w:pPr>
        <w:pStyle w:val="KOMtext"/>
      </w:pPr>
      <w:r w:rsidRPr="006A755F">
        <w:t xml:space="preserve">Účelová neinvestiční dotace na realizaci projekt </w:t>
      </w:r>
      <w:r w:rsidRPr="006A755F">
        <w:rPr>
          <w:i/>
        </w:rPr>
        <w:t>Zpracování nepřímých ukazatelů bezpečnosti (NUB) silničního provozu</w:t>
      </w:r>
      <w:r w:rsidRPr="006A755F">
        <w:t xml:space="preserve"> na základě Grantové dohody v rámci </w:t>
      </w:r>
      <w:proofErr w:type="spellStart"/>
      <w:r w:rsidRPr="006A755F">
        <w:t>Connecting</w:t>
      </w:r>
      <w:proofErr w:type="spellEnd"/>
      <w:r w:rsidRPr="006A755F">
        <w:t xml:space="preserve"> </w:t>
      </w:r>
      <w:proofErr w:type="spellStart"/>
      <w:r w:rsidRPr="006A755F">
        <w:t>Europe</w:t>
      </w:r>
      <w:proofErr w:type="spellEnd"/>
      <w:r w:rsidRPr="006A755F">
        <w:t xml:space="preserve"> Facility </w:t>
      </w:r>
      <w:r w:rsidRPr="006A755F">
        <w:br/>
        <w:t xml:space="preserve">č. MOVE/C2/SUB/2019-558/CEF/PSA/SI2.835753 – projekt BASELINE </w:t>
      </w:r>
      <w:r>
        <w:t>se dělila</w:t>
      </w:r>
      <w:r w:rsidRPr="006A755F">
        <w:t xml:space="preserve"> na následující aktivity:</w:t>
      </w:r>
    </w:p>
    <w:p w14:paraId="57F79BDA" w14:textId="77777777" w:rsidR="001A19B9" w:rsidRPr="006A755F" w:rsidRDefault="001A19B9" w:rsidP="001A19B9">
      <w:pPr>
        <w:pStyle w:val="KOModrky"/>
        <w:spacing w:line="276" w:lineRule="auto"/>
      </w:pPr>
      <w:r w:rsidRPr="006A755F">
        <w:lastRenderedPageBreak/>
        <w:t>nastavení postupů pro sběr nepřímých ukazatelů bezpečnosti (NUB) silničního provozu,</w:t>
      </w:r>
    </w:p>
    <w:p w14:paraId="5122D9A7" w14:textId="77777777" w:rsidR="001A19B9" w:rsidRPr="006A755F" w:rsidRDefault="001A19B9" w:rsidP="001A19B9">
      <w:pPr>
        <w:pStyle w:val="KOModrky"/>
        <w:spacing w:line="276" w:lineRule="auto"/>
      </w:pPr>
      <w:r w:rsidRPr="006A755F">
        <w:t>samotný sběr vybraných ukazatelů,</w:t>
      </w:r>
    </w:p>
    <w:p w14:paraId="4104C53E" w14:textId="77777777" w:rsidR="001A19B9" w:rsidRPr="006A755F" w:rsidRDefault="001A19B9" w:rsidP="001A19B9">
      <w:pPr>
        <w:pStyle w:val="KOModrky"/>
        <w:spacing w:line="276" w:lineRule="auto"/>
      </w:pPr>
      <w:r w:rsidRPr="006A755F">
        <w:t>zpracování nasbíraných dat NUB a jejich vyhodnocení,</w:t>
      </w:r>
    </w:p>
    <w:p w14:paraId="6F0FB2BD" w14:textId="77777777" w:rsidR="001A19B9" w:rsidRPr="006A755F" w:rsidRDefault="001A19B9" w:rsidP="001A19B9">
      <w:pPr>
        <w:pStyle w:val="KOModrky"/>
        <w:spacing w:line="276" w:lineRule="auto"/>
      </w:pPr>
      <w:r w:rsidRPr="006A755F">
        <w:t>spolupráce na tvorbě metodiky spolu se zahraničními partnery projektu,</w:t>
      </w:r>
    </w:p>
    <w:p w14:paraId="4848E6FC" w14:textId="77777777" w:rsidR="001A19B9" w:rsidRPr="006A755F" w:rsidRDefault="001A19B9" w:rsidP="001A19B9">
      <w:pPr>
        <w:pStyle w:val="KOModrky"/>
        <w:spacing w:line="276" w:lineRule="auto"/>
      </w:pPr>
      <w:r w:rsidRPr="006A755F">
        <w:t xml:space="preserve">účast na pracovních skupinách. </w:t>
      </w:r>
    </w:p>
    <w:p w14:paraId="2FD221CC" w14:textId="77777777" w:rsidR="001A19B9" w:rsidRPr="006A755F" w:rsidRDefault="001A19B9" w:rsidP="001A19B9">
      <w:pPr>
        <w:pStyle w:val="KOMtext"/>
      </w:pPr>
      <w:r w:rsidRPr="00154A26">
        <w:t>Projekt byl v roce 2022 ukončen a nebyly z něj čerpány v roce 2023 žádné prostředky. Avšak nedošlo ještě k celkovému proplacení finančních prostředků. To proběhne v roce 2024.</w:t>
      </w:r>
    </w:p>
    <w:p w14:paraId="2B675731" w14:textId="77777777" w:rsidR="001A19B9" w:rsidRPr="006A755F" w:rsidRDefault="001A19B9" w:rsidP="001A19B9">
      <w:pPr>
        <w:pStyle w:val="KOMnadp5"/>
      </w:pPr>
      <w:r w:rsidRPr="006A755F">
        <w:t xml:space="preserve">NÁSTROJ PRO PROPOJENÍ </w:t>
      </w:r>
      <w:proofErr w:type="gramStart"/>
      <w:r w:rsidRPr="006A755F">
        <w:t>EVROPY - CROCODILE</w:t>
      </w:r>
      <w:proofErr w:type="gramEnd"/>
      <w:r w:rsidRPr="006A755F">
        <w:t xml:space="preserve"> 3</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3539"/>
        <w:gridCol w:w="2126"/>
      </w:tblGrid>
      <w:tr w:rsidR="001A19B9" w:rsidRPr="006A755F" w14:paraId="4FD2E04A" w14:textId="77777777" w:rsidTr="00AE2DE8">
        <w:trPr>
          <w:trHeight w:val="488"/>
        </w:trPr>
        <w:tc>
          <w:tcPr>
            <w:tcW w:w="4248" w:type="dxa"/>
            <w:gridSpan w:val="2"/>
            <w:vAlign w:val="center"/>
          </w:tcPr>
          <w:p w14:paraId="3688C29A" w14:textId="77777777" w:rsidR="001A19B9" w:rsidRPr="006A755F" w:rsidRDefault="001A19B9" w:rsidP="00AE2DE8">
            <w:pPr>
              <w:pStyle w:val="KOMtext"/>
              <w:spacing w:before="60" w:after="60"/>
              <w:jc w:val="left"/>
              <w:rPr>
                <w:szCs w:val="24"/>
              </w:rPr>
            </w:pPr>
            <w:r w:rsidRPr="006A755F">
              <w:rPr>
                <w:b/>
                <w:szCs w:val="24"/>
              </w:rPr>
              <w:t>Skutečné čerpání za rok 202</w:t>
            </w:r>
            <w:r>
              <w:rPr>
                <w:b/>
                <w:szCs w:val="24"/>
              </w:rPr>
              <w:t>3</w:t>
            </w:r>
            <w:r w:rsidRPr="006A755F">
              <w:rPr>
                <w:b/>
                <w:szCs w:val="24"/>
              </w:rPr>
              <w:t>:</w:t>
            </w:r>
          </w:p>
        </w:tc>
        <w:tc>
          <w:tcPr>
            <w:tcW w:w="2126" w:type="dxa"/>
            <w:vAlign w:val="center"/>
          </w:tcPr>
          <w:p w14:paraId="379E5295" w14:textId="77777777" w:rsidR="001A19B9" w:rsidRPr="004A12C5" w:rsidRDefault="001A19B9" w:rsidP="00AE2DE8">
            <w:pPr>
              <w:keepNext/>
              <w:keepLines/>
              <w:tabs>
                <w:tab w:val="left" w:pos="3969"/>
              </w:tabs>
              <w:spacing w:before="120" w:after="60"/>
              <w:jc w:val="right"/>
              <w:rPr>
                <w:b/>
                <w:sz w:val="24"/>
                <w:szCs w:val="24"/>
              </w:rPr>
            </w:pPr>
            <w:r>
              <w:rPr>
                <w:b/>
                <w:sz w:val="24"/>
                <w:szCs w:val="24"/>
              </w:rPr>
              <w:t>150</w:t>
            </w:r>
            <w:r w:rsidRPr="004A12C5">
              <w:rPr>
                <w:b/>
                <w:sz w:val="24"/>
                <w:szCs w:val="24"/>
              </w:rPr>
              <w:t xml:space="preserve"> tis. Kč</w:t>
            </w:r>
          </w:p>
        </w:tc>
      </w:tr>
      <w:tr w:rsidR="001A19B9" w:rsidRPr="006A755F" w14:paraId="263AD35F" w14:textId="77777777" w:rsidTr="00AE2DE8">
        <w:tc>
          <w:tcPr>
            <w:tcW w:w="4248" w:type="dxa"/>
            <w:gridSpan w:val="2"/>
            <w:vAlign w:val="center"/>
          </w:tcPr>
          <w:p w14:paraId="67F35FA1" w14:textId="77777777" w:rsidR="001A19B9" w:rsidRPr="004A12C5" w:rsidRDefault="001A19B9" w:rsidP="00AE2DE8">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7EA8A124" w14:textId="77777777" w:rsidR="001A19B9" w:rsidRPr="004A12C5" w:rsidRDefault="001A19B9" w:rsidP="00AE2DE8">
            <w:pPr>
              <w:jc w:val="right"/>
              <w:rPr>
                <w:b/>
                <w:sz w:val="24"/>
                <w:szCs w:val="24"/>
              </w:rPr>
            </w:pPr>
            <w:r>
              <w:rPr>
                <w:b/>
                <w:sz w:val="24"/>
                <w:szCs w:val="24"/>
              </w:rPr>
              <w:t>54</w:t>
            </w:r>
            <w:r w:rsidRPr="004A12C5">
              <w:rPr>
                <w:b/>
                <w:sz w:val="24"/>
                <w:szCs w:val="24"/>
              </w:rPr>
              <w:t xml:space="preserve"> tis. Kč</w:t>
            </w:r>
          </w:p>
        </w:tc>
      </w:tr>
      <w:tr w:rsidR="001A19B9" w:rsidRPr="006A755F" w14:paraId="0D6A990D" w14:textId="77777777" w:rsidTr="00AE2DE8">
        <w:tc>
          <w:tcPr>
            <w:tcW w:w="709" w:type="dxa"/>
            <w:vAlign w:val="center"/>
          </w:tcPr>
          <w:p w14:paraId="39CBAF91" w14:textId="77777777" w:rsidR="001A19B9" w:rsidRPr="006A755F" w:rsidRDefault="001A19B9" w:rsidP="00AE2DE8">
            <w:pPr>
              <w:pStyle w:val="KOMtext"/>
              <w:spacing w:before="60" w:after="60"/>
              <w:jc w:val="left"/>
              <w:rPr>
                <w:szCs w:val="24"/>
              </w:rPr>
            </w:pPr>
          </w:p>
        </w:tc>
        <w:tc>
          <w:tcPr>
            <w:tcW w:w="3539" w:type="dxa"/>
            <w:vAlign w:val="center"/>
          </w:tcPr>
          <w:p w14:paraId="561B0F29" w14:textId="77777777" w:rsidR="001A19B9" w:rsidRPr="004A12C5" w:rsidRDefault="001A19B9" w:rsidP="00AE2DE8">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67218EA7" w14:textId="77777777" w:rsidR="001A19B9" w:rsidRPr="004A12C5" w:rsidRDefault="001A19B9" w:rsidP="00AE2DE8">
            <w:pPr>
              <w:pStyle w:val="KOMtext"/>
              <w:spacing w:before="60" w:after="60"/>
              <w:jc w:val="right"/>
              <w:rPr>
                <w:b/>
                <w:szCs w:val="24"/>
              </w:rPr>
            </w:pPr>
            <w:r>
              <w:rPr>
                <w:b/>
                <w:szCs w:val="24"/>
              </w:rPr>
              <w:t>96</w:t>
            </w:r>
            <w:r w:rsidRPr="004A12C5">
              <w:rPr>
                <w:b/>
                <w:szCs w:val="24"/>
              </w:rPr>
              <w:t xml:space="preserve"> tis. Kč</w:t>
            </w:r>
          </w:p>
        </w:tc>
      </w:tr>
    </w:tbl>
    <w:p w14:paraId="4D7E4F47" w14:textId="77777777" w:rsidR="001A19B9" w:rsidRPr="006A755F" w:rsidRDefault="001A19B9" w:rsidP="001A19B9">
      <w:pPr>
        <w:pStyle w:val="KOMtext"/>
      </w:pPr>
      <w:r w:rsidRPr="006A755F">
        <w:t>V roce 202</w:t>
      </w:r>
      <w:r>
        <w:t>3</w:t>
      </w:r>
      <w:r w:rsidRPr="006A755F">
        <w:t xml:space="preserve"> se na řešení projektu </w:t>
      </w:r>
      <w:proofErr w:type="spellStart"/>
      <w:r w:rsidRPr="006A755F">
        <w:t>Crocodile</w:t>
      </w:r>
      <w:proofErr w:type="spellEnd"/>
      <w:r w:rsidRPr="006A755F">
        <w:t xml:space="preserve"> 3 účastnilo Ministerstvo dopravy a Ředitelství silnic a dálnic ČR.</w:t>
      </w:r>
    </w:p>
    <w:p w14:paraId="01B4428B" w14:textId="77777777" w:rsidR="001A19B9" w:rsidRPr="0085713C" w:rsidRDefault="001A19B9" w:rsidP="001A19B9">
      <w:pPr>
        <w:pStyle w:val="KOMtext"/>
      </w:pPr>
      <w:r w:rsidRPr="0085713C">
        <w:t xml:space="preserve">Vzhledem k potřebě dále realizovat rozvoj Národního dopravně informačního centra v Ostravě (provozovaného ŘSD ČR) se MD a ŘSD ČR zapojilo do projektu </w:t>
      </w:r>
      <w:proofErr w:type="spellStart"/>
      <w:r w:rsidRPr="0085713C">
        <w:t>Crocodile</w:t>
      </w:r>
      <w:proofErr w:type="spellEnd"/>
      <w:r w:rsidRPr="0085713C">
        <w:t xml:space="preserve"> 3 schváleného Evropskou komisí ke spolufinancování z programu CEF Transport jako následovníka projektu </w:t>
      </w:r>
      <w:proofErr w:type="spellStart"/>
      <w:r w:rsidRPr="0085713C">
        <w:t>Crocodile</w:t>
      </w:r>
      <w:proofErr w:type="spellEnd"/>
      <w:r w:rsidRPr="0085713C">
        <w:t xml:space="preserve"> 2. MD ve spolupráci s ŘSD ČR dále modernizovalo technickou infrastrukturu NDIC (hardware, software) tak, aby poskytované dopravně informační služby naplňovaly specifikace stanovené nařízeními v přenesené pravomoci (EU) 886/2013 </w:t>
      </w:r>
      <w:r w:rsidRPr="0085713C">
        <w:br/>
        <w:t>a 885/2013, na základě kterých se mají v EU harmonizovat poskytované dopravně informační služby uživatelům dopravního systému jednotlivých členských států.</w:t>
      </w:r>
    </w:p>
    <w:p w14:paraId="7B69899C" w14:textId="77777777" w:rsidR="001A19B9" w:rsidRPr="006A755F" w:rsidRDefault="001A19B9" w:rsidP="001A19B9">
      <w:pPr>
        <w:pStyle w:val="KOMtext"/>
      </w:pPr>
      <w:r w:rsidRPr="0085713C">
        <w:t>Doba realizace projektu: 1. 1. 2018 – 31. 12. 2022.</w:t>
      </w:r>
      <w:r w:rsidRPr="006A755F">
        <w:t xml:space="preserve"> </w:t>
      </w:r>
      <w:r w:rsidRPr="00F33DB7">
        <w:t>Projekt je financován z </w:t>
      </w:r>
      <w:r>
        <w:t>8</w:t>
      </w:r>
      <w:r w:rsidRPr="00F33DB7">
        <w:t xml:space="preserve">0 % z SR a </w:t>
      </w:r>
      <w:r>
        <w:t>2</w:t>
      </w:r>
      <w:r w:rsidRPr="00F33DB7">
        <w:t>0 % z</w:t>
      </w:r>
      <w:r>
        <w:t> </w:t>
      </w:r>
      <w:r w:rsidRPr="00F33DB7">
        <w:t>EU</w:t>
      </w:r>
      <w:r>
        <w:t>.</w:t>
      </w:r>
    </w:p>
    <w:p w14:paraId="1AD131F1" w14:textId="3C6FB9EE" w:rsidR="001A19B9" w:rsidRPr="009E1701" w:rsidRDefault="001A19B9" w:rsidP="001A19B9">
      <w:pPr>
        <w:pStyle w:val="KOMtext"/>
      </w:pPr>
      <w:r w:rsidRPr="006A755F">
        <w:t>V roce 202</w:t>
      </w:r>
      <w:r>
        <w:t>3</w:t>
      </w:r>
      <w:r w:rsidRPr="006A755F">
        <w:t xml:space="preserve"> byly proplaceny prostředky </w:t>
      </w:r>
      <w:r>
        <w:t>ve výši</w:t>
      </w:r>
      <w:r w:rsidRPr="006A755F">
        <w:t xml:space="preserve"> </w:t>
      </w:r>
      <w:r>
        <w:rPr>
          <w:b/>
        </w:rPr>
        <w:t>120</w:t>
      </w:r>
      <w:r w:rsidRPr="004A12C5">
        <w:rPr>
          <w:b/>
        </w:rPr>
        <w:t xml:space="preserve"> tis. Kč</w:t>
      </w:r>
      <w:r w:rsidRPr="004A12C5">
        <w:rPr>
          <w:b/>
          <w:color w:val="FF0000"/>
        </w:rPr>
        <w:t xml:space="preserve"> </w:t>
      </w:r>
      <w:r w:rsidRPr="009E1701">
        <w:t xml:space="preserve">(SR podíl </w:t>
      </w:r>
      <w:r>
        <w:t>96</w:t>
      </w:r>
      <w:r w:rsidRPr="009E1701">
        <w:t xml:space="preserve"> tis. Kč a EU podíl </w:t>
      </w:r>
      <w:r w:rsidR="00E25992">
        <w:br/>
      </w:r>
      <w:r>
        <w:t>24</w:t>
      </w:r>
      <w:r w:rsidRPr="009E1701">
        <w:t xml:space="preserve"> tis. Kč)</w:t>
      </w:r>
      <w:r>
        <w:t xml:space="preserve">, a to </w:t>
      </w:r>
      <w:r w:rsidRPr="006A755F">
        <w:t xml:space="preserve">na </w:t>
      </w:r>
      <w:r>
        <w:t>audit k zajištění certifikace výdajů ÚO MD a ŘSD ČR, který byl prostřednictvím mezinárodního koordinátora projektu (</w:t>
      </w:r>
      <w:proofErr w:type="spellStart"/>
      <w:r>
        <w:t>Austriatech</w:t>
      </w:r>
      <w:proofErr w:type="spellEnd"/>
      <w:r>
        <w:t>) postoupen agentuře CINEA</w:t>
      </w:r>
      <w:r w:rsidRPr="009E1701">
        <w:t>.</w:t>
      </w:r>
      <w:r>
        <w:t xml:space="preserve"> Dále byly poskytnuty prostředky SFDI pro konečného příjemce ŘSD ČR ve výši </w:t>
      </w:r>
      <w:r w:rsidR="00E25992">
        <w:br/>
      </w:r>
      <w:r w:rsidRPr="0083027E">
        <w:rPr>
          <w:b/>
          <w:bCs/>
        </w:rPr>
        <w:t>30 tis. Kč</w:t>
      </w:r>
      <w:r>
        <w:t>, a to na dofinancování projektu „Upgrade systému distribuce dopravních informací kanálem RDS-TMC“. Financování projektu probíhalo z nároků.</w:t>
      </w:r>
    </w:p>
    <w:p w14:paraId="6675B64D" w14:textId="77777777" w:rsidR="001A19B9" w:rsidRPr="009E1701" w:rsidRDefault="001A19B9" w:rsidP="001A19B9">
      <w:pPr>
        <w:pStyle w:val="KOMtext"/>
        <w:rPr>
          <w:color w:val="FF0000"/>
        </w:rPr>
      </w:pPr>
      <w:r w:rsidRPr="0085713C">
        <w:t xml:space="preserve">V roce 2023 nebyly </w:t>
      </w:r>
      <w:r w:rsidRPr="0085713C">
        <w:rPr>
          <w:b/>
        </w:rPr>
        <w:t>refundovány do příjmů</w:t>
      </w:r>
      <w:r w:rsidRPr="0085713C">
        <w:t xml:space="preserve"> Ministerstva dopravy za projekt </w:t>
      </w:r>
      <w:proofErr w:type="spellStart"/>
      <w:r w:rsidRPr="0085713C">
        <w:t>Crocodile</w:t>
      </w:r>
      <w:proofErr w:type="spellEnd"/>
      <w:r w:rsidRPr="0085713C">
        <w:t xml:space="preserve"> 3 žádné finanční prostředky. Finální platba se očekává v roce 2024 po dokončení posouzení žádosti </w:t>
      </w:r>
      <w:r w:rsidRPr="0085713C">
        <w:br/>
        <w:t>o finální platbu agenturou CINEA.</w:t>
      </w:r>
    </w:p>
    <w:p w14:paraId="4CDF9A50" w14:textId="77777777" w:rsidR="001A19B9" w:rsidRPr="006A755F" w:rsidRDefault="001A19B9" w:rsidP="001A19B9">
      <w:pPr>
        <w:pStyle w:val="KOMnadp5"/>
      </w:pPr>
      <w:r w:rsidRPr="006A755F">
        <w:lastRenderedPageBreak/>
        <w:t xml:space="preserve">NÁSTROJ PRO PROPOJENÍ EVROPY – C </w:t>
      </w:r>
      <w:proofErr w:type="gramStart"/>
      <w:r w:rsidRPr="006A755F">
        <w:t>ROADS - CZ</w:t>
      </w:r>
      <w:proofErr w:type="gramEnd"/>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3539"/>
        <w:gridCol w:w="2126"/>
      </w:tblGrid>
      <w:tr w:rsidR="001A19B9" w:rsidRPr="006A755F" w14:paraId="68DFB6F7" w14:textId="77777777" w:rsidTr="00AE2DE8">
        <w:trPr>
          <w:trHeight w:val="488"/>
        </w:trPr>
        <w:tc>
          <w:tcPr>
            <w:tcW w:w="4248" w:type="dxa"/>
            <w:gridSpan w:val="2"/>
            <w:vAlign w:val="center"/>
          </w:tcPr>
          <w:p w14:paraId="392FCFF2" w14:textId="77777777" w:rsidR="001A19B9" w:rsidRPr="006A755F" w:rsidRDefault="001A19B9" w:rsidP="00AE2DE8">
            <w:pPr>
              <w:pStyle w:val="KOMtext"/>
              <w:spacing w:before="60" w:after="60"/>
              <w:jc w:val="left"/>
              <w:rPr>
                <w:szCs w:val="24"/>
              </w:rPr>
            </w:pPr>
            <w:r w:rsidRPr="006A755F">
              <w:rPr>
                <w:b/>
                <w:szCs w:val="24"/>
              </w:rPr>
              <w:t>Skutečné čerpání za rok 202</w:t>
            </w:r>
            <w:r>
              <w:rPr>
                <w:b/>
                <w:szCs w:val="24"/>
              </w:rPr>
              <w:t>3</w:t>
            </w:r>
            <w:r w:rsidRPr="006A755F">
              <w:rPr>
                <w:b/>
                <w:szCs w:val="24"/>
              </w:rPr>
              <w:t>:</w:t>
            </w:r>
          </w:p>
        </w:tc>
        <w:tc>
          <w:tcPr>
            <w:tcW w:w="2126" w:type="dxa"/>
            <w:vAlign w:val="center"/>
          </w:tcPr>
          <w:p w14:paraId="7A494B6E" w14:textId="77777777" w:rsidR="001A19B9" w:rsidRPr="004A12C5" w:rsidRDefault="001A19B9" w:rsidP="00AE2DE8">
            <w:pPr>
              <w:keepNext/>
              <w:keepLines/>
              <w:tabs>
                <w:tab w:val="left" w:pos="3969"/>
              </w:tabs>
              <w:spacing w:before="120" w:after="60"/>
              <w:jc w:val="right"/>
              <w:rPr>
                <w:b/>
                <w:sz w:val="24"/>
                <w:szCs w:val="24"/>
              </w:rPr>
            </w:pPr>
            <w:r>
              <w:rPr>
                <w:b/>
                <w:sz w:val="24"/>
                <w:szCs w:val="24"/>
              </w:rPr>
              <w:t>0</w:t>
            </w:r>
            <w:r w:rsidRPr="004A12C5">
              <w:rPr>
                <w:b/>
                <w:sz w:val="24"/>
                <w:szCs w:val="24"/>
              </w:rPr>
              <w:t xml:space="preserve"> tis. Kč</w:t>
            </w:r>
          </w:p>
        </w:tc>
      </w:tr>
      <w:tr w:rsidR="001A19B9" w:rsidRPr="006A755F" w14:paraId="1DF791F5" w14:textId="77777777" w:rsidTr="00AE2DE8">
        <w:tc>
          <w:tcPr>
            <w:tcW w:w="4248" w:type="dxa"/>
            <w:gridSpan w:val="2"/>
            <w:vAlign w:val="center"/>
          </w:tcPr>
          <w:p w14:paraId="697B133F" w14:textId="77777777" w:rsidR="001A19B9" w:rsidRPr="004A12C5" w:rsidRDefault="001A19B9" w:rsidP="00AE2DE8">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319E38D8" w14:textId="77777777" w:rsidR="001A19B9" w:rsidRPr="004A12C5" w:rsidRDefault="001A19B9" w:rsidP="00AE2DE8">
            <w:pPr>
              <w:jc w:val="right"/>
              <w:rPr>
                <w:b/>
                <w:sz w:val="24"/>
                <w:szCs w:val="24"/>
              </w:rPr>
            </w:pPr>
            <w:r>
              <w:rPr>
                <w:b/>
                <w:sz w:val="24"/>
                <w:szCs w:val="24"/>
              </w:rPr>
              <w:t>0</w:t>
            </w:r>
            <w:r w:rsidRPr="004A12C5">
              <w:rPr>
                <w:b/>
                <w:sz w:val="24"/>
                <w:szCs w:val="24"/>
              </w:rPr>
              <w:t xml:space="preserve"> tis. Kč</w:t>
            </w:r>
          </w:p>
        </w:tc>
      </w:tr>
      <w:tr w:rsidR="001A19B9" w:rsidRPr="006A755F" w14:paraId="5DB36A4F" w14:textId="77777777" w:rsidTr="00AE2DE8">
        <w:tc>
          <w:tcPr>
            <w:tcW w:w="709" w:type="dxa"/>
            <w:vAlign w:val="center"/>
          </w:tcPr>
          <w:p w14:paraId="3DA73587" w14:textId="77777777" w:rsidR="001A19B9" w:rsidRPr="006A755F" w:rsidRDefault="001A19B9" w:rsidP="00AE2DE8">
            <w:pPr>
              <w:pStyle w:val="KOMtext"/>
              <w:spacing w:before="60" w:after="60"/>
              <w:jc w:val="left"/>
              <w:rPr>
                <w:szCs w:val="24"/>
              </w:rPr>
            </w:pPr>
          </w:p>
        </w:tc>
        <w:tc>
          <w:tcPr>
            <w:tcW w:w="3539" w:type="dxa"/>
            <w:vAlign w:val="center"/>
          </w:tcPr>
          <w:p w14:paraId="52BD477F" w14:textId="77777777" w:rsidR="001A19B9" w:rsidRPr="004A12C5" w:rsidRDefault="001A19B9" w:rsidP="00AE2DE8">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426CA99B" w14:textId="77777777" w:rsidR="001A19B9" w:rsidRPr="004A12C5" w:rsidRDefault="001A19B9" w:rsidP="00AE2DE8">
            <w:pPr>
              <w:pStyle w:val="KOMtext"/>
              <w:spacing w:before="60" w:after="60"/>
              <w:jc w:val="right"/>
              <w:rPr>
                <w:b/>
                <w:szCs w:val="24"/>
              </w:rPr>
            </w:pPr>
            <w:r>
              <w:rPr>
                <w:b/>
                <w:szCs w:val="24"/>
              </w:rPr>
              <w:t>0</w:t>
            </w:r>
            <w:r w:rsidRPr="004A12C5">
              <w:rPr>
                <w:b/>
                <w:szCs w:val="24"/>
              </w:rPr>
              <w:t xml:space="preserve"> tis. Kč</w:t>
            </w:r>
          </w:p>
        </w:tc>
      </w:tr>
    </w:tbl>
    <w:p w14:paraId="47025215" w14:textId="77777777" w:rsidR="001A19B9" w:rsidRPr="006A755F" w:rsidRDefault="001A19B9" w:rsidP="001A19B9">
      <w:pPr>
        <w:pStyle w:val="KOMtext"/>
      </w:pPr>
      <w:r>
        <w:t>C</w:t>
      </w:r>
      <w:r w:rsidRPr="006A755F">
        <w:t>ílem</w:t>
      </w:r>
      <w:r>
        <w:t xml:space="preserve"> projektu C-</w:t>
      </w:r>
      <w:proofErr w:type="spellStart"/>
      <w:r>
        <w:t>Roads</w:t>
      </w:r>
      <w:proofErr w:type="spellEnd"/>
      <w:r w:rsidRPr="006A755F">
        <w:t xml:space="preserve"> bylo ověřit v praxi na českých silnicích, vybraných úsecích linek MHD a vybraných železničních přejezdech fungování spolupracujících systémů ITS (C-ITS) a dále harmonizace a spolupráce při zavádění systémů C-ITS v členských státech Evropy. </w:t>
      </w:r>
    </w:p>
    <w:p w14:paraId="3F13D35C" w14:textId="77777777" w:rsidR="001A19B9" w:rsidRPr="006A755F" w:rsidRDefault="001A19B9" w:rsidP="001A19B9">
      <w:pPr>
        <w:pStyle w:val="KOMtext"/>
        <w:rPr>
          <w:b/>
        </w:rPr>
      </w:pPr>
      <w:r>
        <w:t>P</w:t>
      </w:r>
      <w:r w:rsidRPr="006A755F">
        <w:t>rojekt byl v roce 202</w:t>
      </w:r>
      <w:r>
        <w:t>3</w:t>
      </w:r>
      <w:r w:rsidRPr="006A755F">
        <w:t xml:space="preserve"> finančně vypořádán a ukončen. Prostředky ve výši </w:t>
      </w:r>
      <w:r>
        <w:br/>
      </w:r>
      <w:r>
        <w:rPr>
          <w:b/>
          <w:bCs/>
          <w:iCs/>
        </w:rPr>
        <w:t>113 650 tis.</w:t>
      </w:r>
      <w:r w:rsidRPr="004A12C5">
        <w:rPr>
          <w:b/>
        </w:rPr>
        <w:t xml:space="preserve"> Kč byly v roce 202</w:t>
      </w:r>
      <w:r>
        <w:rPr>
          <w:b/>
        </w:rPr>
        <w:t>3</w:t>
      </w:r>
      <w:r w:rsidRPr="004A12C5">
        <w:rPr>
          <w:b/>
        </w:rPr>
        <w:t xml:space="preserve"> refundovány do příjmů MD.</w:t>
      </w:r>
    </w:p>
    <w:p w14:paraId="76A04131" w14:textId="77777777" w:rsidR="001A19B9" w:rsidRPr="006A755F" w:rsidRDefault="001A19B9" w:rsidP="001A19B9">
      <w:pPr>
        <w:pStyle w:val="KOMnadp5"/>
        <w:rPr>
          <w:bCs/>
        </w:rPr>
      </w:pPr>
      <w:r w:rsidRPr="006A755F">
        <w:t>NÁSTROJ PRO PROPOJENÍ EVROPY</w:t>
      </w:r>
      <w:r w:rsidRPr="006A755F">
        <w:rPr>
          <w:bCs/>
        </w:rPr>
        <w:t xml:space="preserve"> – RIS COMEX</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3539"/>
        <w:gridCol w:w="2126"/>
      </w:tblGrid>
      <w:tr w:rsidR="001A19B9" w:rsidRPr="006A755F" w14:paraId="2B7CFE52" w14:textId="77777777" w:rsidTr="00AE2DE8">
        <w:trPr>
          <w:trHeight w:val="488"/>
        </w:trPr>
        <w:tc>
          <w:tcPr>
            <w:tcW w:w="4248" w:type="dxa"/>
            <w:gridSpan w:val="2"/>
            <w:vAlign w:val="center"/>
          </w:tcPr>
          <w:p w14:paraId="7CF1EDA8" w14:textId="77777777" w:rsidR="001A19B9" w:rsidRPr="006A755F" w:rsidRDefault="001A19B9" w:rsidP="00AE2DE8">
            <w:pPr>
              <w:pStyle w:val="KOMtext"/>
              <w:spacing w:before="60" w:after="60"/>
              <w:jc w:val="left"/>
              <w:rPr>
                <w:szCs w:val="24"/>
              </w:rPr>
            </w:pPr>
            <w:r w:rsidRPr="006A755F">
              <w:rPr>
                <w:b/>
                <w:szCs w:val="24"/>
              </w:rPr>
              <w:t>Skutečné čerpání za rok 202</w:t>
            </w:r>
            <w:r>
              <w:rPr>
                <w:b/>
                <w:szCs w:val="24"/>
              </w:rPr>
              <w:t>3</w:t>
            </w:r>
            <w:r w:rsidRPr="006A755F">
              <w:rPr>
                <w:b/>
                <w:szCs w:val="24"/>
              </w:rPr>
              <w:t>:</w:t>
            </w:r>
          </w:p>
        </w:tc>
        <w:tc>
          <w:tcPr>
            <w:tcW w:w="2126" w:type="dxa"/>
            <w:vAlign w:val="center"/>
          </w:tcPr>
          <w:p w14:paraId="683745C8" w14:textId="77777777" w:rsidR="001A19B9" w:rsidRPr="006A755F" w:rsidRDefault="001A19B9" w:rsidP="00AE2DE8">
            <w:pPr>
              <w:pStyle w:val="KOMtext"/>
              <w:spacing w:before="60" w:after="60"/>
              <w:jc w:val="right"/>
              <w:rPr>
                <w:szCs w:val="24"/>
              </w:rPr>
            </w:pPr>
            <w:r>
              <w:rPr>
                <w:b/>
                <w:szCs w:val="24"/>
              </w:rPr>
              <w:t>0</w:t>
            </w:r>
            <w:r w:rsidRPr="006A755F">
              <w:rPr>
                <w:b/>
                <w:szCs w:val="24"/>
              </w:rPr>
              <w:t xml:space="preserve"> tis. Kč</w:t>
            </w:r>
          </w:p>
        </w:tc>
      </w:tr>
      <w:tr w:rsidR="001A19B9" w:rsidRPr="006A755F" w14:paraId="53BE0DBF" w14:textId="77777777" w:rsidTr="00AE2DE8">
        <w:tc>
          <w:tcPr>
            <w:tcW w:w="4248" w:type="dxa"/>
            <w:gridSpan w:val="2"/>
            <w:vAlign w:val="center"/>
          </w:tcPr>
          <w:p w14:paraId="75356282" w14:textId="77777777" w:rsidR="001A19B9" w:rsidRPr="004A12C5" w:rsidRDefault="001A19B9" w:rsidP="00AE2DE8">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1C110373" w14:textId="77777777" w:rsidR="001A19B9" w:rsidRPr="006A755F" w:rsidRDefault="001A19B9" w:rsidP="00AE2DE8">
            <w:pPr>
              <w:pStyle w:val="KOMtext"/>
              <w:spacing w:before="60" w:after="60"/>
              <w:jc w:val="right"/>
              <w:rPr>
                <w:szCs w:val="24"/>
              </w:rPr>
            </w:pPr>
            <w:r>
              <w:rPr>
                <w:b/>
                <w:szCs w:val="24"/>
              </w:rPr>
              <w:t>0</w:t>
            </w:r>
            <w:r w:rsidRPr="006A755F">
              <w:rPr>
                <w:b/>
                <w:szCs w:val="24"/>
              </w:rPr>
              <w:t xml:space="preserve"> tis. Kč</w:t>
            </w:r>
          </w:p>
        </w:tc>
      </w:tr>
      <w:tr w:rsidR="001A19B9" w:rsidRPr="006A755F" w14:paraId="0A6FB1AB" w14:textId="77777777" w:rsidTr="00AE2DE8">
        <w:tc>
          <w:tcPr>
            <w:tcW w:w="709" w:type="dxa"/>
            <w:vAlign w:val="center"/>
          </w:tcPr>
          <w:p w14:paraId="3D22305A" w14:textId="77777777" w:rsidR="001A19B9" w:rsidRPr="006A755F" w:rsidRDefault="001A19B9" w:rsidP="00AE2DE8">
            <w:pPr>
              <w:pStyle w:val="KOMtext"/>
              <w:spacing w:before="60" w:after="60"/>
              <w:jc w:val="left"/>
              <w:rPr>
                <w:szCs w:val="24"/>
              </w:rPr>
            </w:pPr>
          </w:p>
        </w:tc>
        <w:tc>
          <w:tcPr>
            <w:tcW w:w="3539" w:type="dxa"/>
            <w:vAlign w:val="center"/>
          </w:tcPr>
          <w:p w14:paraId="63A5CFF9" w14:textId="77777777" w:rsidR="001A19B9" w:rsidRPr="006A755F" w:rsidRDefault="001A19B9" w:rsidP="00AE2DE8">
            <w:pPr>
              <w:pStyle w:val="KOMtext"/>
              <w:spacing w:before="60" w:after="60"/>
              <w:jc w:val="left"/>
              <w:rPr>
                <w:szCs w:val="24"/>
              </w:rPr>
            </w:pPr>
            <w:r w:rsidRPr="006A755F">
              <w:rPr>
                <w:b/>
                <w:szCs w:val="24"/>
              </w:rPr>
              <w:t>spolufinancování ze SR:</w:t>
            </w:r>
          </w:p>
        </w:tc>
        <w:tc>
          <w:tcPr>
            <w:tcW w:w="2126" w:type="dxa"/>
            <w:vAlign w:val="center"/>
          </w:tcPr>
          <w:p w14:paraId="6B287725" w14:textId="77777777" w:rsidR="001A19B9" w:rsidRPr="004A12C5" w:rsidRDefault="001A19B9" w:rsidP="00AE2DE8">
            <w:pPr>
              <w:pStyle w:val="KOMtext"/>
              <w:spacing w:before="60" w:after="60"/>
              <w:jc w:val="right"/>
              <w:rPr>
                <w:szCs w:val="24"/>
              </w:rPr>
            </w:pPr>
            <w:r w:rsidRPr="006A755F">
              <w:rPr>
                <w:b/>
                <w:szCs w:val="24"/>
              </w:rPr>
              <w:t>0 tis. Kč</w:t>
            </w:r>
          </w:p>
        </w:tc>
      </w:tr>
    </w:tbl>
    <w:p w14:paraId="79FF9DE5" w14:textId="77777777" w:rsidR="001A19B9" w:rsidRPr="006A755F" w:rsidRDefault="001A19B9" w:rsidP="001A19B9">
      <w:pPr>
        <w:pStyle w:val="KOMtext"/>
      </w:pPr>
      <w:r w:rsidRPr="006A755F">
        <w:t xml:space="preserve">Cílem projektu </w:t>
      </w:r>
      <w:r>
        <w:t xml:space="preserve">byl </w:t>
      </w:r>
      <w:r w:rsidRPr="006A755F">
        <w:t xml:space="preserve">zejména další rozvoj služeb RIS, a to v rámci tzv. koridorového přístupu, jež přináší výrazné synergické efekty vzájemné spolupráce sousedících zemí v rámci jednotlivých evropských systémů vodních cest. Česká republika </w:t>
      </w:r>
      <w:r>
        <w:t>byla</w:t>
      </w:r>
      <w:r w:rsidRPr="006A755F">
        <w:t xml:space="preserve"> v rámci projektu součástí tzv. </w:t>
      </w:r>
      <w:proofErr w:type="spellStart"/>
      <w:proofErr w:type="gramStart"/>
      <w:r w:rsidRPr="006A755F">
        <w:t>Labsko</w:t>
      </w:r>
      <w:proofErr w:type="spellEnd"/>
      <w:r w:rsidRPr="006A755F">
        <w:t xml:space="preserve"> - </w:t>
      </w:r>
      <w:proofErr w:type="spellStart"/>
      <w:r w:rsidRPr="006A755F">
        <w:t>Wezerského</w:t>
      </w:r>
      <w:proofErr w:type="spellEnd"/>
      <w:proofErr w:type="gramEnd"/>
      <w:r w:rsidRPr="006A755F">
        <w:t xml:space="preserve"> koridoru RIS, v rámci implementačních prací tedy ČR mj. pokrač</w:t>
      </w:r>
      <w:r>
        <w:t>ovala</w:t>
      </w:r>
      <w:r w:rsidRPr="006A755F">
        <w:t xml:space="preserve"> v již úspěšně započaté intenzivní spolupráci se SRN.</w:t>
      </w:r>
    </w:p>
    <w:p w14:paraId="5E5963E8" w14:textId="77777777" w:rsidR="001A19B9" w:rsidRDefault="001A19B9" w:rsidP="001A19B9">
      <w:pPr>
        <w:pStyle w:val="KOMtext"/>
      </w:pPr>
      <w:r>
        <w:t xml:space="preserve">Financování </w:t>
      </w:r>
      <w:r w:rsidRPr="003073EF">
        <w:t>projektu byl</w:t>
      </w:r>
      <w:r>
        <w:t>o formálně</w:t>
      </w:r>
      <w:r w:rsidRPr="003073EF">
        <w:t xml:space="preserve"> ukončen</w:t>
      </w:r>
      <w:r>
        <w:t>o</w:t>
      </w:r>
      <w:r w:rsidRPr="003073EF">
        <w:t xml:space="preserve"> k</w:t>
      </w:r>
      <w:r>
        <w:t> 30. 6</w:t>
      </w:r>
      <w:r w:rsidRPr="003073EF">
        <w:t xml:space="preserve">. 2022, kdy skončila způsobilost výdajů. </w:t>
      </w:r>
      <w:r>
        <w:t xml:space="preserve">Následně už byl projekt financován výhradně z národních zdrojů prostřednictvím rozpočtu SFDI. </w:t>
      </w:r>
      <w:r w:rsidRPr="003073EF">
        <w:t>Avšak nedošlo ještě k celkovému proplacení finančních prostředků, to proběhne v roce 2024</w:t>
      </w:r>
      <w:r>
        <w:t xml:space="preserve"> po schválení závěrečné platby ze strany CINEA</w:t>
      </w:r>
      <w:r w:rsidRPr="003073EF">
        <w:t xml:space="preserve">. </w:t>
      </w:r>
    </w:p>
    <w:p w14:paraId="265AB617" w14:textId="77777777" w:rsidR="001A19B9" w:rsidRPr="009E1701" w:rsidRDefault="001A19B9" w:rsidP="001A19B9">
      <w:pPr>
        <w:pStyle w:val="KOMtext"/>
      </w:pPr>
      <w:r w:rsidRPr="003073EF">
        <w:t xml:space="preserve">V roce 2023 nebyly </w:t>
      </w:r>
      <w:r w:rsidRPr="003073EF">
        <w:rPr>
          <w:b/>
        </w:rPr>
        <w:t>refundovány do příjmů</w:t>
      </w:r>
      <w:r w:rsidRPr="003073EF">
        <w:t xml:space="preserve"> Ministerstva dopravy za projekt RIS COMEX žádné finanční prostředky.</w:t>
      </w:r>
    </w:p>
    <w:p w14:paraId="01085F09" w14:textId="77777777" w:rsidR="001A19B9" w:rsidRPr="006A755F" w:rsidRDefault="001A19B9" w:rsidP="001A19B9">
      <w:pPr>
        <w:pStyle w:val="KOMnadp5"/>
      </w:pPr>
      <w:r w:rsidRPr="006A755F">
        <w:t>NÁSTROJ PRO PROPOJENÍ EVROPY</w:t>
      </w:r>
      <w:r w:rsidRPr="006A755F">
        <w:rPr>
          <w:bCs/>
        </w:rPr>
        <w:t xml:space="preserve"> – </w:t>
      </w:r>
      <w:r w:rsidRPr="006A755F">
        <w:t xml:space="preserve">C </w:t>
      </w:r>
      <w:proofErr w:type="spellStart"/>
      <w:r w:rsidRPr="006A755F">
        <w:t>Roads</w:t>
      </w:r>
      <w:proofErr w:type="spellEnd"/>
      <w:r w:rsidRPr="006A755F">
        <w:t xml:space="preserve"> </w:t>
      </w:r>
      <w:proofErr w:type="spellStart"/>
      <w:r w:rsidRPr="006A755F">
        <w:t>Austria</w:t>
      </w:r>
      <w:proofErr w:type="spellEnd"/>
      <w:r w:rsidRPr="006A755F">
        <w:t xml:space="preserve"> 2</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1A19B9" w:rsidRPr="006A755F" w14:paraId="6219BBD4" w14:textId="77777777" w:rsidTr="00AE2DE8">
        <w:trPr>
          <w:trHeight w:val="354"/>
        </w:trPr>
        <w:tc>
          <w:tcPr>
            <w:tcW w:w="4253" w:type="dxa"/>
            <w:gridSpan w:val="2"/>
            <w:vAlign w:val="center"/>
          </w:tcPr>
          <w:p w14:paraId="3932851B" w14:textId="77777777" w:rsidR="001A19B9" w:rsidRPr="004A12C5" w:rsidRDefault="001A19B9" w:rsidP="00AE2DE8">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6229366C" w14:textId="77777777" w:rsidR="001A19B9" w:rsidRPr="004A12C5" w:rsidRDefault="001A19B9" w:rsidP="00AE2DE8">
            <w:pPr>
              <w:keepNext/>
              <w:keepLines/>
              <w:tabs>
                <w:tab w:val="left" w:pos="3969"/>
              </w:tabs>
              <w:spacing w:before="120" w:after="60"/>
              <w:jc w:val="right"/>
              <w:rPr>
                <w:b/>
                <w:sz w:val="24"/>
                <w:szCs w:val="24"/>
              </w:rPr>
            </w:pPr>
            <w:r>
              <w:rPr>
                <w:b/>
                <w:sz w:val="24"/>
                <w:szCs w:val="24"/>
              </w:rPr>
              <w:t>78</w:t>
            </w:r>
            <w:r w:rsidRPr="004A12C5">
              <w:rPr>
                <w:b/>
                <w:sz w:val="24"/>
                <w:szCs w:val="24"/>
              </w:rPr>
              <w:t xml:space="preserve"> tis. Kč</w:t>
            </w:r>
          </w:p>
        </w:tc>
      </w:tr>
      <w:tr w:rsidR="001A19B9" w:rsidRPr="006A755F" w14:paraId="75701F22" w14:textId="77777777" w:rsidTr="00AE2DE8">
        <w:trPr>
          <w:trHeight w:val="418"/>
        </w:trPr>
        <w:tc>
          <w:tcPr>
            <w:tcW w:w="4253" w:type="dxa"/>
            <w:gridSpan w:val="2"/>
            <w:vAlign w:val="center"/>
          </w:tcPr>
          <w:p w14:paraId="104791C1" w14:textId="77777777" w:rsidR="001A19B9" w:rsidRPr="004A12C5" w:rsidRDefault="001A19B9" w:rsidP="00AE2DE8">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24AF5582" w14:textId="77777777" w:rsidR="001A19B9" w:rsidRPr="004A12C5" w:rsidRDefault="001A19B9" w:rsidP="00AE2DE8">
            <w:pPr>
              <w:keepNext/>
              <w:keepLines/>
              <w:tabs>
                <w:tab w:val="left" w:pos="3969"/>
              </w:tabs>
              <w:spacing w:before="60" w:after="60"/>
              <w:jc w:val="right"/>
              <w:rPr>
                <w:b/>
                <w:sz w:val="24"/>
                <w:szCs w:val="24"/>
              </w:rPr>
            </w:pPr>
            <w:r>
              <w:rPr>
                <w:b/>
                <w:sz w:val="24"/>
                <w:szCs w:val="24"/>
              </w:rPr>
              <w:t>3</w:t>
            </w:r>
            <w:r w:rsidRPr="004A12C5">
              <w:rPr>
                <w:b/>
                <w:sz w:val="24"/>
                <w:szCs w:val="24"/>
              </w:rPr>
              <w:t>9 tis. Kč</w:t>
            </w:r>
          </w:p>
        </w:tc>
      </w:tr>
      <w:tr w:rsidR="001A19B9" w:rsidRPr="006A755F" w14:paraId="1D0FDAAB" w14:textId="77777777" w:rsidTr="00AE2DE8">
        <w:trPr>
          <w:trHeight w:val="170"/>
        </w:trPr>
        <w:tc>
          <w:tcPr>
            <w:tcW w:w="704" w:type="dxa"/>
            <w:vAlign w:val="center"/>
          </w:tcPr>
          <w:p w14:paraId="6967636B" w14:textId="77777777" w:rsidR="001A19B9" w:rsidRPr="004A12C5" w:rsidRDefault="001A19B9" w:rsidP="00AE2DE8">
            <w:pPr>
              <w:keepNext/>
              <w:keepLines/>
              <w:tabs>
                <w:tab w:val="left" w:pos="3969"/>
              </w:tabs>
              <w:spacing w:before="60" w:after="60"/>
              <w:rPr>
                <w:b/>
                <w:color w:val="FF0000"/>
                <w:sz w:val="24"/>
                <w:szCs w:val="24"/>
              </w:rPr>
            </w:pPr>
          </w:p>
        </w:tc>
        <w:tc>
          <w:tcPr>
            <w:tcW w:w="3549" w:type="dxa"/>
            <w:vAlign w:val="center"/>
          </w:tcPr>
          <w:p w14:paraId="3E5DFAAE" w14:textId="77777777" w:rsidR="001A19B9" w:rsidRPr="004A12C5" w:rsidRDefault="001A19B9" w:rsidP="00AE2DE8">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3666B3E3" w14:textId="77777777" w:rsidR="001A19B9" w:rsidRPr="004A12C5" w:rsidRDefault="001A19B9" w:rsidP="00AE2DE8">
            <w:pPr>
              <w:keepNext/>
              <w:keepLines/>
              <w:tabs>
                <w:tab w:val="left" w:pos="3969"/>
              </w:tabs>
              <w:spacing w:before="60" w:after="60"/>
              <w:jc w:val="right"/>
              <w:rPr>
                <w:b/>
                <w:sz w:val="24"/>
                <w:szCs w:val="24"/>
              </w:rPr>
            </w:pPr>
            <w:r>
              <w:rPr>
                <w:b/>
                <w:sz w:val="24"/>
                <w:szCs w:val="24"/>
              </w:rPr>
              <w:t>3</w:t>
            </w:r>
            <w:r w:rsidRPr="004A12C5">
              <w:rPr>
                <w:b/>
                <w:sz w:val="24"/>
                <w:szCs w:val="24"/>
              </w:rPr>
              <w:t>9 tis. Kč</w:t>
            </w:r>
          </w:p>
        </w:tc>
      </w:tr>
    </w:tbl>
    <w:p w14:paraId="04448560" w14:textId="77777777" w:rsidR="001A19B9" w:rsidRPr="006A755F" w:rsidRDefault="001A19B9" w:rsidP="001A19B9">
      <w:pPr>
        <w:pStyle w:val="KOMtext"/>
      </w:pPr>
      <w:r w:rsidRPr="006A755F">
        <w:t>V rámci Platformy C-</w:t>
      </w:r>
      <w:proofErr w:type="spellStart"/>
      <w:r w:rsidRPr="006A755F">
        <w:t>Roads</w:t>
      </w:r>
      <w:proofErr w:type="spellEnd"/>
      <w:r w:rsidRPr="006A755F">
        <w:t>, jejíž sídlo je ve Vídni, budou s ohledem na zajištění přeshraniční interoperabilitu technicky harmonizovány tzv. služby „C-ITS Day-1“, a to na základě spolupráce pilotních oblastí C-</w:t>
      </w:r>
      <w:proofErr w:type="spellStart"/>
      <w:r w:rsidRPr="006A755F">
        <w:t>Roads</w:t>
      </w:r>
      <w:proofErr w:type="spellEnd"/>
      <w:r w:rsidRPr="006A755F">
        <w:t xml:space="preserve"> a </w:t>
      </w:r>
      <w:proofErr w:type="spellStart"/>
      <w:r w:rsidRPr="006A755F">
        <w:t>InterCor</w:t>
      </w:r>
      <w:proofErr w:type="spellEnd"/>
      <w:r w:rsidRPr="006A755F">
        <w:t xml:space="preserve">. </w:t>
      </w:r>
    </w:p>
    <w:p w14:paraId="53BD70A4" w14:textId="77777777" w:rsidR="001A19B9" w:rsidRPr="006A755F" w:rsidRDefault="001A19B9" w:rsidP="001A19B9">
      <w:pPr>
        <w:pStyle w:val="KOMtext"/>
      </w:pPr>
      <w:r w:rsidRPr="006A755F">
        <w:lastRenderedPageBreak/>
        <w:t>Klíčovým prvkem této harmonizace je vývoj společných technických specifikací, které budou sloužit jako základ pro všechny pilotní provozy, jakož i pro přeshraniční testování s cílem prokázat interoperabilitu nasazených služeb C-ITS. Platforma C-</w:t>
      </w:r>
      <w:proofErr w:type="spellStart"/>
      <w:r w:rsidRPr="006A755F">
        <w:t>Roads</w:t>
      </w:r>
      <w:proofErr w:type="spellEnd"/>
      <w:r w:rsidRPr="006A755F">
        <w:t xml:space="preserve"> je otevřená nejen pro státy zapojené do projektů C-</w:t>
      </w:r>
      <w:proofErr w:type="spellStart"/>
      <w:r w:rsidRPr="006A755F">
        <w:t>Roads</w:t>
      </w:r>
      <w:proofErr w:type="spellEnd"/>
      <w:r w:rsidRPr="006A755F">
        <w:t xml:space="preserve"> a </w:t>
      </w:r>
      <w:proofErr w:type="spellStart"/>
      <w:r w:rsidRPr="006A755F">
        <w:t>InterCor</w:t>
      </w:r>
      <w:proofErr w:type="spellEnd"/>
      <w:r w:rsidRPr="006A755F">
        <w:t xml:space="preserve">, ale také pro ostatní členské státy EU. Všechny zpracované technické specifikace pro nasazení služeb C-ITS na silniční síti budou veřejně dostupné. </w:t>
      </w:r>
    </w:p>
    <w:p w14:paraId="25972955" w14:textId="77777777" w:rsidR="001A19B9" w:rsidRDefault="001A19B9" w:rsidP="001A19B9">
      <w:pPr>
        <w:pStyle w:val="KOMtext"/>
      </w:pPr>
      <w:r w:rsidRPr="006A755F">
        <w:t>Činnost Platformy C-</w:t>
      </w:r>
      <w:proofErr w:type="spellStart"/>
      <w:r w:rsidRPr="006A755F">
        <w:t>Roads</w:t>
      </w:r>
      <w:proofErr w:type="spellEnd"/>
      <w:r w:rsidRPr="006A755F">
        <w:t xml:space="preserve"> byla oficiálně zahájena v Bruselu dne 12. 12. 2016, a to za účasti evropské komisařky pro dopravu Violety </w:t>
      </w:r>
      <w:proofErr w:type="spellStart"/>
      <w:r w:rsidRPr="006A755F">
        <w:t>Bulc</w:t>
      </w:r>
      <w:proofErr w:type="spellEnd"/>
      <w:r w:rsidRPr="006A755F">
        <w:t xml:space="preserve"> a ředitele INEA </w:t>
      </w:r>
      <w:proofErr w:type="spellStart"/>
      <w:r w:rsidRPr="006A755F">
        <w:t>Dirka</w:t>
      </w:r>
      <w:proofErr w:type="spellEnd"/>
      <w:r w:rsidRPr="006A755F">
        <w:t xml:space="preserve"> </w:t>
      </w:r>
      <w:proofErr w:type="spellStart"/>
      <w:r w:rsidRPr="006A755F">
        <w:t>Beckerse</w:t>
      </w:r>
      <w:proofErr w:type="spellEnd"/>
      <w:r w:rsidRPr="006A755F">
        <w:t xml:space="preserve">. Platforma </w:t>
      </w:r>
      <w:r w:rsidRPr="006A755F">
        <w:br/>
        <w:t>je tvořena zakládajícími zeměmi Rakousko, Belgie / Vlámsko (Flandry), Česká republika, Francie, Německo, Nizozemsko, Slovinsko a Spojené království. Ostatní členské země EU jsou vyzvány, aby se ke zmíněné platformě připojili.</w:t>
      </w:r>
    </w:p>
    <w:p w14:paraId="33196EFB" w14:textId="499F8083" w:rsidR="001A19B9" w:rsidRPr="006A755F" w:rsidRDefault="001A19B9" w:rsidP="001A19B9">
      <w:pPr>
        <w:pStyle w:val="KOMtext"/>
      </w:pPr>
      <w:r w:rsidRPr="0085713C">
        <w:t xml:space="preserve">Doba realizace projektu: 1. </w:t>
      </w:r>
      <w:r>
        <w:t>1</w:t>
      </w:r>
      <w:r w:rsidRPr="0085713C">
        <w:t>. 20</w:t>
      </w:r>
      <w:r>
        <w:t>19</w:t>
      </w:r>
      <w:r w:rsidRPr="0085713C">
        <w:t xml:space="preserve"> – </w:t>
      </w:r>
      <w:r>
        <w:t>31. 12</w:t>
      </w:r>
      <w:r w:rsidRPr="0085713C">
        <w:t>. 202</w:t>
      </w:r>
      <w:r>
        <w:t xml:space="preserve">3 (příprava dodatku o prodloužení do </w:t>
      </w:r>
      <w:r w:rsidR="00667F92">
        <w:br/>
      </w:r>
      <w:r>
        <w:t>31. 12. 2024)</w:t>
      </w:r>
      <w:r w:rsidRPr="00F33DB7">
        <w:t>.</w:t>
      </w:r>
      <w:r>
        <w:t xml:space="preserve"> </w:t>
      </w:r>
      <w:r w:rsidRPr="00F33DB7">
        <w:t>Projekt je financován z 50 % z SR a 50 % z EU.</w:t>
      </w:r>
    </w:p>
    <w:p w14:paraId="71C36980" w14:textId="77777777" w:rsidR="001A19B9" w:rsidRDefault="001A19B9" w:rsidP="001A19B9">
      <w:pPr>
        <w:pStyle w:val="KOMtext"/>
      </w:pPr>
      <w:r w:rsidRPr="006A755F">
        <w:t>V roce 202</w:t>
      </w:r>
      <w:r>
        <w:t>3</w:t>
      </w:r>
      <w:r w:rsidRPr="006A755F">
        <w:t xml:space="preserve"> byly finanční prostředky vynaloženy na mzdové výdaje včetně příslušenství ve výši </w:t>
      </w:r>
      <w:r>
        <w:t>41</w:t>
      </w:r>
      <w:r w:rsidRPr="006A755F">
        <w:t xml:space="preserve"> tis. Kč.</w:t>
      </w:r>
      <w:r>
        <w:t xml:space="preserve"> Na cestovní výdaje a pohoštění bylo vynaloženo 37 tis. Kč.</w:t>
      </w:r>
      <w:r w:rsidRPr="006A755F">
        <w:t xml:space="preserve"> </w:t>
      </w:r>
    </w:p>
    <w:p w14:paraId="3B999072" w14:textId="36735BD5" w:rsidR="001E44CB" w:rsidRPr="0077128B" w:rsidRDefault="001A19B9" w:rsidP="00D3010F">
      <w:pPr>
        <w:pStyle w:val="KOMtext"/>
        <w:rPr>
          <w:color w:val="FF0000"/>
        </w:rPr>
      </w:pPr>
      <w:r w:rsidRPr="006A755F">
        <w:t>Prostředky</w:t>
      </w:r>
      <w:r>
        <w:t xml:space="preserve"> </w:t>
      </w:r>
      <w:r w:rsidRPr="006A755F">
        <w:t>ve</w:t>
      </w:r>
      <w:r>
        <w:t xml:space="preserve"> </w:t>
      </w:r>
      <w:r w:rsidRPr="006A755F">
        <w:t>výši</w:t>
      </w:r>
      <w:r>
        <w:t xml:space="preserve"> </w:t>
      </w:r>
      <w:r>
        <w:rPr>
          <w:b/>
          <w:bCs/>
          <w:iCs/>
        </w:rPr>
        <w:t>206 tis.</w:t>
      </w:r>
      <w:r w:rsidRPr="004A12C5">
        <w:rPr>
          <w:b/>
        </w:rPr>
        <w:t xml:space="preserve"> Kč byly v roce 202</w:t>
      </w:r>
      <w:r>
        <w:rPr>
          <w:b/>
        </w:rPr>
        <w:t>3</w:t>
      </w:r>
      <w:r w:rsidRPr="004A12C5">
        <w:rPr>
          <w:b/>
        </w:rPr>
        <w:t xml:space="preserve"> refundovány do příjmů MD.</w:t>
      </w:r>
    </w:p>
    <w:p w14:paraId="09364533" w14:textId="17608EDE" w:rsidR="007522DB" w:rsidRPr="006B6D61" w:rsidRDefault="001E44CB" w:rsidP="00E20BD6">
      <w:pPr>
        <w:pStyle w:val="KOMnadp3"/>
      </w:pPr>
      <w:bookmarkStart w:id="185" w:name="_Toc129868255"/>
      <w:bookmarkStart w:id="186" w:name="_Toc130304252"/>
      <w:bookmarkStart w:id="187" w:name="_Toc129868259"/>
      <w:bookmarkStart w:id="188" w:name="_Toc130304256"/>
      <w:bookmarkStart w:id="189" w:name="_Toc129868260"/>
      <w:bookmarkStart w:id="190" w:name="_Toc130304257"/>
      <w:bookmarkStart w:id="191" w:name="_Toc129868267"/>
      <w:bookmarkStart w:id="192" w:name="_Toc130304264"/>
      <w:bookmarkStart w:id="193" w:name="_Toc129868271"/>
      <w:bookmarkStart w:id="194" w:name="_Toc130304268"/>
      <w:bookmarkStart w:id="195" w:name="_Toc129868272"/>
      <w:bookmarkStart w:id="196" w:name="_Toc130304269"/>
      <w:bookmarkStart w:id="197" w:name="_Toc129868273"/>
      <w:bookmarkStart w:id="198" w:name="_Toc130304270"/>
      <w:bookmarkStart w:id="199" w:name="_Toc129868274"/>
      <w:bookmarkStart w:id="200" w:name="_Toc130304271"/>
      <w:bookmarkStart w:id="201" w:name="_Toc129868275"/>
      <w:bookmarkStart w:id="202" w:name="_Toc130304272"/>
      <w:bookmarkStart w:id="203" w:name="_Toc129868276"/>
      <w:bookmarkStart w:id="204" w:name="_Toc130304273"/>
      <w:bookmarkStart w:id="205" w:name="_Toc129868277"/>
      <w:bookmarkStart w:id="206" w:name="_Toc130304274"/>
      <w:bookmarkStart w:id="207" w:name="_Toc129868278"/>
      <w:bookmarkStart w:id="208" w:name="_Toc130304275"/>
      <w:bookmarkStart w:id="209" w:name="_Toc129868279"/>
      <w:bookmarkStart w:id="210" w:name="_Toc130304276"/>
      <w:bookmarkStart w:id="211" w:name="_Toc129868280"/>
      <w:bookmarkStart w:id="212" w:name="_Toc130304277"/>
      <w:bookmarkStart w:id="213" w:name="_Toc129868281"/>
      <w:bookmarkStart w:id="214" w:name="_Toc130304278"/>
      <w:bookmarkStart w:id="215" w:name="_Toc129868282"/>
      <w:bookmarkStart w:id="216" w:name="_Toc130304279"/>
      <w:bookmarkStart w:id="217" w:name="_Toc129868283"/>
      <w:bookmarkStart w:id="218" w:name="_Toc130304280"/>
      <w:bookmarkStart w:id="219" w:name="_Toc129868284"/>
      <w:bookmarkStart w:id="220" w:name="_Toc130304281"/>
      <w:bookmarkStart w:id="221" w:name="_Toc129868285"/>
      <w:bookmarkStart w:id="222" w:name="_Toc130304282"/>
      <w:bookmarkStart w:id="223" w:name="_Toc129868286"/>
      <w:bookmarkStart w:id="224" w:name="_Toc130304283"/>
      <w:bookmarkStart w:id="225" w:name="_Toc129868287"/>
      <w:bookmarkStart w:id="226" w:name="_Toc130304284"/>
      <w:bookmarkStart w:id="227" w:name="_Toc129868288"/>
      <w:bookmarkStart w:id="228" w:name="_Toc130304285"/>
      <w:bookmarkStart w:id="229" w:name="_Toc129868289"/>
      <w:bookmarkStart w:id="230" w:name="_Toc130304286"/>
      <w:bookmarkStart w:id="231" w:name="_Toc129868290"/>
      <w:bookmarkStart w:id="232" w:name="_Toc130304287"/>
      <w:bookmarkStart w:id="233" w:name="_Toc129868291"/>
      <w:bookmarkStart w:id="234" w:name="_Toc130304288"/>
      <w:bookmarkStart w:id="235" w:name="_Toc129868298"/>
      <w:bookmarkStart w:id="236" w:name="_Toc130304295"/>
      <w:bookmarkStart w:id="237" w:name="_Toc129868302"/>
      <w:bookmarkStart w:id="238" w:name="_Toc130304299"/>
      <w:bookmarkStart w:id="239" w:name="_Toc129868303"/>
      <w:bookmarkStart w:id="240" w:name="_Toc130304300"/>
      <w:bookmarkStart w:id="241" w:name="_Toc129868304"/>
      <w:bookmarkStart w:id="242" w:name="_Toc130304301"/>
      <w:bookmarkStart w:id="243" w:name="_Toc129868305"/>
      <w:bookmarkStart w:id="244" w:name="_Toc130304302"/>
      <w:bookmarkStart w:id="245" w:name="_Toc129868306"/>
      <w:bookmarkStart w:id="246" w:name="_Toc130304303"/>
      <w:bookmarkStart w:id="247" w:name="_Toc129868307"/>
      <w:bookmarkStart w:id="248" w:name="_Toc130304304"/>
      <w:bookmarkStart w:id="249" w:name="_Toc129868308"/>
      <w:bookmarkStart w:id="250" w:name="_Toc130304305"/>
      <w:bookmarkStart w:id="251" w:name="_Toc129868309"/>
      <w:bookmarkStart w:id="252" w:name="_Toc130304306"/>
      <w:bookmarkStart w:id="253" w:name="_Toc129868316"/>
      <w:bookmarkStart w:id="254" w:name="_Toc130304313"/>
      <w:bookmarkStart w:id="255" w:name="_Toc129868320"/>
      <w:bookmarkStart w:id="256" w:name="_Toc130304317"/>
      <w:bookmarkStart w:id="257" w:name="_Toc129868321"/>
      <w:bookmarkStart w:id="258" w:name="_Toc130304318"/>
      <w:bookmarkStart w:id="259" w:name="_Toc129868322"/>
      <w:bookmarkStart w:id="260" w:name="_Toc130304319"/>
      <w:bookmarkStart w:id="261" w:name="_Toc129868323"/>
      <w:bookmarkStart w:id="262" w:name="_Toc130304320"/>
      <w:bookmarkStart w:id="263" w:name="_Toc129868324"/>
      <w:bookmarkStart w:id="264" w:name="_Toc130304321"/>
      <w:bookmarkStart w:id="265" w:name="_Toc129868325"/>
      <w:bookmarkStart w:id="266" w:name="_Toc130304322"/>
      <w:bookmarkStart w:id="267" w:name="_Toc129868326"/>
      <w:bookmarkStart w:id="268" w:name="_Toc130304323"/>
      <w:bookmarkStart w:id="269" w:name="_Toc129868327"/>
      <w:bookmarkStart w:id="270" w:name="_Toc130304324"/>
      <w:bookmarkStart w:id="271" w:name="_Toc129868328"/>
      <w:bookmarkStart w:id="272" w:name="_Toc130304325"/>
      <w:bookmarkStart w:id="273" w:name="_Toc129868329"/>
      <w:bookmarkStart w:id="274" w:name="_Toc130304326"/>
      <w:bookmarkStart w:id="275" w:name="_Toc129868330"/>
      <w:bookmarkStart w:id="276" w:name="_Toc130304327"/>
      <w:bookmarkStart w:id="277" w:name="_Toc129868331"/>
      <w:bookmarkStart w:id="278" w:name="_Toc130304328"/>
      <w:bookmarkStart w:id="279" w:name="_Toc129868338"/>
      <w:bookmarkStart w:id="280" w:name="_Toc130304335"/>
      <w:bookmarkStart w:id="281" w:name="_Toc129868342"/>
      <w:bookmarkStart w:id="282" w:name="_Toc130304339"/>
      <w:bookmarkStart w:id="283" w:name="_Toc129868343"/>
      <w:bookmarkStart w:id="284" w:name="_Toc130304340"/>
      <w:bookmarkStart w:id="285" w:name="_Toc129868344"/>
      <w:bookmarkStart w:id="286" w:name="_Toc130304341"/>
      <w:bookmarkStart w:id="287" w:name="_Toc129868345"/>
      <w:bookmarkStart w:id="288" w:name="_Toc130304342"/>
      <w:bookmarkStart w:id="289" w:name="_Toc129868346"/>
      <w:bookmarkStart w:id="290" w:name="_Toc130304343"/>
      <w:bookmarkStart w:id="291" w:name="_Toc129868353"/>
      <w:bookmarkStart w:id="292" w:name="_Toc130304350"/>
      <w:bookmarkStart w:id="293" w:name="_Toc129868357"/>
      <w:bookmarkStart w:id="294" w:name="_Toc130304354"/>
      <w:bookmarkStart w:id="295" w:name="_Toc129868358"/>
      <w:bookmarkStart w:id="296" w:name="_Toc130304355"/>
      <w:bookmarkStart w:id="297" w:name="_Toc129868359"/>
      <w:bookmarkStart w:id="298" w:name="_Toc130304356"/>
      <w:bookmarkStart w:id="299" w:name="_Toc129868360"/>
      <w:bookmarkStart w:id="300" w:name="_Toc130304357"/>
      <w:bookmarkStart w:id="301" w:name="_Toc129868361"/>
      <w:bookmarkStart w:id="302" w:name="_Toc130304358"/>
      <w:bookmarkStart w:id="303" w:name="_Toc129868362"/>
      <w:bookmarkStart w:id="304" w:name="_Toc130304359"/>
      <w:bookmarkStart w:id="305" w:name="_Toc129868363"/>
      <w:bookmarkStart w:id="306" w:name="_Toc130304360"/>
      <w:bookmarkStart w:id="307" w:name="_Toc129868364"/>
      <w:bookmarkStart w:id="308" w:name="_Toc130304361"/>
      <w:bookmarkStart w:id="309" w:name="_Toc129868365"/>
      <w:bookmarkStart w:id="310" w:name="_Toc130304362"/>
      <w:bookmarkStart w:id="311" w:name="_Toc129868366"/>
      <w:bookmarkStart w:id="312" w:name="_Toc130304363"/>
      <w:bookmarkStart w:id="313" w:name="_Toc129868373"/>
      <w:bookmarkStart w:id="314" w:name="_Toc130304370"/>
      <w:bookmarkStart w:id="315" w:name="_Toc129868377"/>
      <w:bookmarkStart w:id="316" w:name="_Toc130304374"/>
      <w:bookmarkStart w:id="317" w:name="_Toc129868378"/>
      <w:bookmarkStart w:id="318" w:name="_Toc130304375"/>
      <w:bookmarkStart w:id="319" w:name="_Toc129868379"/>
      <w:bookmarkStart w:id="320" w:name="_Toc130304376"/>
      <w:bookmarkStart w:id="321" w:name="_Toc129868380"/>
      <w:bookmarkStart w:id="322" w:name="_Toc130304377"/>
      <w:bookmarkStart w:id="323" w:name="_Toc162269255"/>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Pr="006B6D61">
        <w:t>O</w:t>
      </w:r>
      <w:r w:rsidR="007522DB" w:rsidRPr="006B6D61">
        <w:t xml:space="preserve">perační program Doprava – programové období </w:t>
      </w:r>
      <w:proofErr w:type="gramStart"/>
      <w:r w:rsidR="007522DB" w:rsidRPr="006B6D61">
        <w:t>2021 – 2027</w:t>
      </w:r>
      <w:bookmarkEnd w:id="323"/>
      <w:proofErr w:type="gramEnd"/>
    </w:p>
    <w:tbl>
      <w:tblPr>
        <w:tblStyle w:val="Mkatabulky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6351DA" w:rsidRPr="004A12C5" w14:paraId="3F35EC09" w14:textId="77777777" w:rsidTr="00331687">
        <w:trPr>
          <w:trHeight w:val="354"/>
        </w:trPr>
        <w:tc>
          <w:tcPr>
            <w:tcW w:w="4253" w:type="dxa"/>
            <w:gridSpan w:val="2"/>
            <w:vAlign w:val="center"/>
          </w:tcPr>
          <w:p w14:paraId="52BF1DFE" w14:textId="77777777" w:rsidR="006351DA" w:rsidRPr="004A12C5" w:rsidRDefault="006351DA" w:rsidP="00331687">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08EE761D" w14:textId="77777777" w:rsidR="006351DA" w:rsidRPr="004A12C5" w:rsidRDefault="006351DA" w:rsidP="00331687">
            <w:pPr>
              <w:keepNext/>
              <w:keepLines/>
              <w:tabs>
                <w:tab w:val="left" w:pos="3969"/>
              </w:tabs>
              <w:spacing w:before="120" w:after="60"/>
              <w:jc w:val="right"/>
              <w:rPr>
                <w:b/>
                <w:sz w:val="24"/>
                <w:szCs w:val="24"/>
              </w:rPr>
            </w:pPr>
            <w:r>
              <w:rPr>
                <w:b/>
                <w:sz w:val="24"/>
                <w:szCs w:val="24"/>
              </w:rPr>
              <w:t>10 118 106</w:t>
            </w:r>
            <w:r w:rsidRPr="004A12C5">
              <w:rPr>
                <w:b/>
                <w:sz w:val="24"/>
                <w:szCs w:val="24"/>
              </w:rPr>
              <w:t xml:space="preserve"> tis. Kč</w:t>
            </w:r>
          </w:p>
        </w:tc>
      </w:tr>
      <w:tr w:rsidR="006351DA" w:rsidRPr="004A12C5" w14:paraId="0E929B23" w14:textId="77777777" w:rsidTr="00331687">
        <w:trPr>
          <w:trHeight w:val="418"/>
        </w:trPr>
        <w:tc>
          <w:tcPr>
            <w:tcW w:w="4253" w:type="dxa"/>
            <w:gridSpan w:val="2"/>
            <w:vAlign w:val="center"/>
          </w:tcPr>
          <w:p w14:paraId="12ACE346" w14:textId="77777777" w:rsidR="006351DA" w:rsidRPr="004A12C5" w:rsidRDefault="006351DA" w:rsidP="00331687">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0D97AB48" w14:textId="77777777" w:rsidR="006351DA" w:rsidRPr="004A12C5" w:rsidRDefault="006351DA" w:rsidP="00331687">
            <w:pPr>
              <w:keepNext/>
              <w:keepLines/>
              <w:tabs>
                <w:tab w:val="left" w:pos="3969"/>
              </w:tabs>
              <w:spacing w:before="60" w:after="60"/>
              <w:jc w:val="right"/>
              <w:rPr>
                <w:b/>
                <w:sz w:val="24"/>
                <w:szCs w:val="24"/>
              </w:rPr>
            </w:pPr>
            <w:r>
              <w:rPr>
                <w:b/>
                <w:sz w:val="24"/>
                <w:szCs w:val="24"/>
              </w:rPr>
              <w:t>10 111 786</w:t>
            </w:r>
            <w:r w:rsidRPr="004A12C5">
              <w:rPr>
                <w:b/>
                <w:sz w:val="24"/>
                <w:szCs w:val="24"/>
              </w:rPr>
              <w:t xml:space="preserve"> tis. Kč</w:t>
            </w:r>
          </w:p>
        </w:tc>
      </w:tr>
      <w:tr w:rsidR="006351DA" w:rsidRPr="004A12C5" w14:paraId="13BA8994" w14:textId="77777777" w:rsidTr="00331687">
        <w:trPr>
          <w:trHeight w:val="170"/>
        </w:trPr>
        <w:tc>
          <w:tcPr>
            <w:tcW w:w="704" w:type="dxa"/>
            <w:vAlign w:val="center"/>
          </w:tcPr>
          <w:p w14:paraId="2956471D" w14:textId="77777777" w:rsidR="006351DA" w:rsidRPr="004A12C5" w:rsidRDefault="006351DA" w:rsidP="00331687">
            <w:pPr>
              <w:keepNext/>
              <w:keepLines/>
              <w:tabs>
                <w:tab w:val="left" w:pos="3969"/>
              </w:tabs>
              <w:spacing w:before="60" w:after="60"/>
              <w:rPr>
                <w:b/>
                <w:color w:val="FF0000"/>
                <w:sz w:val="24"/>
                <w:szCs w:val="24"/>
              </w:rPr>
            </w:pPr>
          </w:p>
        </w:tc>
        <w:tc>
          <w:tcPr>
            <w:tcW w:w="3549" w:type="dxa"/>
            <w:vAlign w:val="center"/>
          </w:tcPr>
          <w:p w14:paraId="6DF2DC41" w14:textId="77777777" w:rsidR="006351DA" w:rsidRPr="004A12C5" w:rsidRDefault="006351DA" w:rsidP="00331687">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18F896B6" w14:textId="77777777" w:rsidR="006351DA" w:rsidRPr="004A12C5" w:rsidRDefault="006351DA" w:rsidP="00331687">
            <w:pPr>
              <w:keepNext/>
              <w:keepLines/>
              <w:tabs>
                <w:tab w:val="left" w:pos="3969"/>
              </w:tabs>
              <w:spacing w:before="60" w:after="60"/>
              <w:jc w:val="right"/>
              <w:rPr>
                <w:b/>
                <w:sz w:val="24"/>
                <w:szCs w:val="24"/>
              </w:rPr>
            </w:pPr>
            <w:r>
              <w:rPr>
                <w:b/>
                <w:sz w:val="24"/>
                <w:szCs w:val="24"/>
              </w:rPr>
              <w:t>6 320</w:t>
            </w:r>
            <w:r w:rsidRPr="004A12C5">
              <w:rPr>
                <w:b/>
                <w:sz w:val="24"/>
                <w:szCs w:val="24"/>
              </w:rPr>
              <w:t xml:space="preserve"> tis. Kč</w:t>
            </w:r>
          </w:p>
        </w:tc>
      </w:tr>
    </w:tbl>
    <w:p w14:paraId="15ACF153" w14:textId="52B34C4F" w:rsidR="00AE5443" w:rsidRPr="008B2E55" w:rsidRDefault="007522DB" w:rsidP="00AE5443">
      <w:pPr>
        <w:pStyle w:val="KOMtext"/>
      </w:pPr>
      <w:r w:rsidRPr="008B2E55">
        <w:rPr>
          <w:b/>
        </w:rPr>
        <w:t>Program</w:t>
      </w:r>
      <w:r w:rsidRPr="008B2E55">
        <w:t xml:space="preserve"> </w:t>
      </w:r>
      <w:r w:rsidRPr="008B2E55">
        <w:rPr>
          <w:b/>
        </w:rPr>
        <w:t>Doprava 2021–2027 (OPD3)</w:t>
      </w:r>
      <w:r w:rsidRPr="008B2E55">
        <w:t xml:space="preserve"> navazuje na Operační program Doprava 2014–2020 (OPD2), jehož základní principy, ověřené postupy a implementační mechanismy přebírá, případně dále zlepšuje. Hlavním cílem podporovaných intervencí je přispět k zvýšení konkurenceschopnosti ČR prostřednictvím zlepšení dopravní dostupnosti. Doprava a dopravní obslužnost stále </w:t>
      </w:r>
      <w:proofErr w:type="gramStart"/>
      <w:r w:rsidRPr="008B2E55">
        <w:t>patří</w:t>
      </w:r>
      <w:proofErr w:type="gramEnd"/>
      <w:r w:rsidRPr="008B2E55">
        <w:t xml:space="preserve"> mezi nejvýznamnější problémové oblasti v ČR, kterým je potřeba věnovat pozornost.</w:t>
      </w:r>
    </w:p>
    <w:p w14:paraId="26B2C011" w14:textId="77777777" w:rsidR="00AE5443" w:rsidRPr="00EF7B58" w:rsidRDefault="00AE5443" w:rsidP="00AE5443">
      <w:pPr>
        <w:pStyle w:val="KOMtext"/>
      </w:pPr>
      <w:r w:rsidRPr="00EF7B58">
        <w:t xml:space="preserve">Subjektem zodpovědným za přípravu Programu Doprava 2021–2027 bylo na základě usnesení vlády č. 94 ze 4. února 2019 určeno Ministerstvo dopravy. Vláda České republiky následně dne 5. listopadu 2021 schválila programový dokument OPD3, který byl pak oficiálně schválen Evropskou komisí 8. července 2022. Celková alokace Programu Doprava 2021–2027 činí 4,9 mld. EUR. Zprostředkujícím subjektem zůstává i v novém programovém období </w:t>
      </w:r>
      <w:r w:rsidRPr="00EF7B58">
        <w:rPr>
          <w:b/>
          <w:bCs/>
        </w:rPr>
        <w:t>Státní fond dopravní infrastruktury (SFDI)</w:t>
      </w:r>
      <w:r w:rsidRPr="00EF7B58">
        <w:t xml:space="preserve">. </w:t>
      </w:r>
    </w:p>
    <w:p w14:paraId="327F0785" w14:textId="77777777" w:rsidR="00AE5443" w:rsidRPr="005A2E2B" w:rsidRDefault="00AE5443" w:rsidP="00AE5443">
      <w:pPr>
        <w:pStyle w:val="KOMtext"/>
      </w:pPr>
      <w:r w:rsidRPr="005A2E2B">
        <w:t>Program Doprava 2021–2027 je členěn do tří věcných priorit, které jsou doplněné o čtvrtou se zaměřením na technickou pomoc</w:t>
      </w:r>
      <w:r>
        <w:t>.</w:t>
      </w:r>
    </w:p>
    <w:p w14:paraId="4E504DC3" w14:textId="77777777" w:rsidR="00AE5443" w:rsidRPr="005C0514" w:rsidRDefault="00AE5443" w:rsidP="008A0E44">
      <w:pPr>
        <w:pStyle w:val="KOMnadp4"/>
      </w:pPr>
      <w:r w:rsidRPr="005C0514">
        <w:lastRenderedPageBreak/>
        <w:t>Priorita 1 – Evropská, celostátní a regionální mobilita</w:t>
      </w:r>
    </w:p>
    <w:p w14:paraId="79C40083" w14:textId="77777777" w:rsidR="00AE5443" w:rsidRPr="005C0514" w:rsidRDefault="00AE5443" w:rsidP="00AE5443">
      <w:pPr>
        <w:pStyle w:val="KOMtext"/>
      </w:pPr>
      <w:r w:rsidRPr="005C0514">
        <w:t xml:space="preserve">Jejím těžištěm je rozvoj železniční a silniční sítě TEN-T, a to konkrétně budování chybějící infrastruktury dálnic a modernizace hlavních železničních tratí s důrazem na snižování negativních vlivů dopravy na životní prostředí a udržitelnost dopravního systému. Podpora </w:t>
      </w:r>
      <w:r w:rsidRPr="005C0514">
        <w:br/>
        <w:t xml:space="preserve">je však směřována také na zavádění nových technologií k zajištění efektivnější, bezpečnější </w:t>
      </w:r>
      <w:r w:rsidRPr="005C0514">
        <w:br/>
        <w:t xml:space="preserve">a udržitelnější dopravy, včetně digitalizace infrastruktury. Je financována z Fondu soudržnosti (FS) v rámci cíle politiky 3 (Propojenější Evropa díky zvyšování mobility a regionálního propojení IKT). </w:t>
      </w:r>
    </w:p>
    <w:p w14:paraId="6F549726" w14:textId="77777777" w:rsidR="00AE5443" w:rsidRPr="00C74A4B" w:rsidRDefault="00AE5443" w:rsidP="00AE5443">
      <w:pPr>
        <w:pStyle w:val="KOModrky"/>
        <w:spacing w:line="276" w:lineRule="auto"/>
      </w:pPr>
      <w:r w:rsidRPr="00C74A4B">
        <w:t>Opatření č. 1 – Železniční infrastruktura TEN-T</w:t>
      </w:r>
    </w:p>
    <w:p w14:paraId="1B378CDC" w14:textId="77777777" w:rsidR="00AE5443" w:rsidRPr="00C74A4B" w:rsidRDefault="00AE5443" w:rsidP="00AE5443">
      <w:pPr>
        <w:pStyle w:val="KOModrky"/>
        <w:spacing w:line="276" w:lineRule="auto"/>
      </w:pPr>
      <w:r w:rsidRPr="00C74A4B">
        <w:t>Opatření č. 2 – Silniční infrastruktura TEN-T</w:t>
      </w:r>
    </w:p>
    <w:p w14:paraId="3D2397BC" w14:textId="77777777" w:rsidR="00AE5443" w:rsidRPr="00C74A4B" w:rsidRDefault="00AE5443" w:rsidP="00AE5443">
      <w:pPr>
        <w:pStyle w:val="KOModrky"/>
        <w:spacing w:line="276" w:lineRule="auto"/>
      </w:pPr>
      <w:r w:rsidRPr="00C74A4B">
        <w:t>Opatření č. 3 – Infrastruktura pro multimodální dopravu TEN-T</w:t>
      </w:r>
    </w:p>
    <w:p w14:paraId="1980C989" w14:textId="77777777" w:rsidR="00AE5443" w:rsidRPr="00C74A4B" w:rsidRDefault="00AE5443" w:rsidP="00AE5443">
      <w:pPr>
        <w:pStyle w:val="KOModrky"/>
        <w:spacing w:line="276" w:lineRule="auto"/>
      </w:pPr>
      <w:r w:rsidRPr="00C74A4B">
        <w:t>Opatření č. 4 – Interoperabilita v železniční dopravě</w:t>
      </w:r>
    </w:p>
    <w:p w14:paraId="7CC0561F" w14:textId="77777777" w:rsidR="00AE5443" w:rsidRPr="00C74A4B" w:rsidRDefault="00AE5443" w:rsidP="00AE5443">
      <w:pPr>
        <w:pStyle w:val="KOModrky"/>
        <w:spacing w:line="276" w:lineRule="auto"/>
      </w:pPr>
      <w:r w:rsidRPr="00C74A4B">
        <w:t>Opatření č. 5 – Železniční infrastruktura mimo TEN-T</w:t>
      </w:r>
    </w:p>
    <w:p w14:paraId="79B4DCCB" w14:textId="77777777" w:rsidR="00AE5443" w:rsidRPr="00C74A4B" w:rsidRDefault="00AE5443" w:rsidP="00AE5443">
      <w:pPr>
        <w:pStyle w:val="KOModrky"/>
        <w:spacing w:line="276" w:lineRule="auto"/>
      </w:pPr>
      <w:r w:rsidRPr="00C74A4B">
        <w:t>Opatření č. 6 – ITS – dopravní telematika</w:t>
      </w:r>
    </w:p>
    <w:p w14:paraId="2A874990" w14:textId="77777777" w:rsidR="00AE5443" w:rsidRPr="00C74A4B" w:rsidRDefault="00AE5443" w:rsidP="008A0E44">
      <w:pPr>
        <w:pStyle w:val="KOMnadp4"/>
      </w:pPr>
      <w:r w:rsidRPr="00C74A4B">
        <w:t>Priorita 2 – Celostátní silniční mobilita zajišťující konektivitu k síti TEN-T</w:t>
      </w:r>
    </w:p>
    <w:p w14:paraId="231DEFDB" w14:textId="77777777" w:rsidR="00AE5443" w:rsidRPr="00942FC7" w:rsidRDefault="00AE5443" w:rsidP="00AE5443">
      <w:pPr>
        <w:pStyle w:val="KOMtext"/>
      </w:pPr>
      <w:r w:rsidRPr="00942FC7">
        <w:t xml:space="preserve">Stejně jako Priorita 1 spadá i Priorita 2 do cíle politiky 3 (Propojenější Evropa díky zvyšování mobility a regionálního propojení IKT), ale je financována z Evropského fondu pro regionální rozvoj (ERDF). Intervence jsou zaměřeny na napojování krajských a významných regionálních center na páteřní silniční síť. Předmětem intervencí jsou nejvýznamnější silniční tahy v ČR mimo síť TEN-T. Jsou podporovány aktivity zaměřené na minimalizaci negativních vlivů dopravy, a to výstavbou obchvatů, jež přispívají ke zlepšení emisních situací v centru měst </w:t>
      </w:r>
      <w:r w:rsidRPr="00942FC7">
        <w:br/>
        <w:t>a obcí a snižují dopad na zdraví obyvatel v obytné zástavbě.</w:t>
      </w:r>
    </w:p>
    <w:p w14:paraId="4E877688" w14:textId="77777777" w:rsidR="00AE5443" w:rsidRPr="00942FC7" w:rsidRDefault="00AE5443" w:rsidP="00AE5443">
      <w:pPr>
        <w:pStyle w:val="KOModrky"/>
        <w:spacing w:line="276" w:lineRule="auto"/>
      </w:pPr>
      <w:r w:rsidRPr="00942FC7">
        <w:t xml:space="preserve">Opatření č. 7 – </w:t>
      </w:r>
      <w:r w:rsidRPr="00942FC7">
        <w:rPr>
          <w:b/>
        </w:rPr>
        <w:t>Silniční infrastruktura mimo TEN-T</w:t>
      </w:r>
    </w:p>
    <w:p w14:paraId="3DDB0E4E" w14:textId="77777777" w:rsidR="00AE5443" w:rsidRPr="00894F56" w:rsidRDefault="00AE5443" w:rsidP="008A0E44">
      <w:pPr>
        <w:pStyle w:val="KOMnadp4"/>
      </w:pPr>
      <w:r w:rsidRPr="00894F56">
        <w:t>Priorita 3 – Udržitelná městská mobilita a alternativní paliva</w:t>
      </w:r>
    </w:p>
    <w:p w14:paraId="17C0AA71" w14:textId="77777777" w:rsidR="00AE5443" w:rsidRPr="00894F56" w:rsidRDefault="00AE5443" w:rsidP="00AE5443">
      <w:pPr>
        <w:pStyle w:val="KOMtext"/>
      </w:pPr>
      <w:r w:rsidRPr="00894F56">
        <w:t>Je financována v rámci politiky 2 (Zelenější, nízkouhlíková Evropa díky podpoře přechodu na čistou a spravedlivou energii, zelených a modrých investic, oběhového hospodářství, přizpůsobení se změnám klimatu a prevence řízení rizik), a to prostřednictvím Fondu soudržnosti (FS).</w:t>
      </w:r>
    </w:p>
    <w:p w14:paraId="55577E4D" w14:textId="77777777" w:rsidR="00AE5443" w:rsidRPr="00894F56" w:rsidRDefault="00AE5443" w:rsidP="00AE5443">
      <w:pPr>
        <w:pStyle w:val="KOMtext"/>
      </w:pPr>
      <w:r w:rsidRPr="00894F56">
        <w:t xml:space="preserve">Předmětem podporovaných investic do tratí je převedení nejzatíženějších autobusových linek do elektrické trakce a její rozvoj, dokončení dlouhodobě připravovaných tratí do lokalit </w:t>
      </w:r>
      <w:r w:rsidRPr="00894F56">
        <w:br/>
        <w:t xml:space="preserve">s vysokou hustotou osídlení či takové úpravy tratí, které </w:t>
      </w:r>
      <w:proofErr w:type="gramStart"/>
      <w:r w:rsidRPr="00894F56">
        <w:t>zvýší</w:t>
      </w:r>
      <w:proofErr w:type="gramEnd"/>
      <w:r w:rsidRPr="00894F56">
        <w:t xml:space="preserve"> konkurenceschopnost a kvalitu infrastruktury městské drážní dopravy a zvýší atraktivitu městské drážní dopravy. </w:t>
      </w:r>
    </w:p>
    <w:p w14:paraId="1895343B" w14:textId="77777777" w:rsidR="00AE5443" w:rsidRPr="000F650E" w:rsidRDefault="00AE5443" w:rsidP="00AE5443">
      <w:pPr>
        <w:pStyle w:val="KOMtext"/>
      </w:pPr>
      <w:r w:rsidRPr="000F650E">
        <w:lastRenderedPageBreak/>
        <w:t xml:space="preserve">Bude podpořena jak výstavba nových tramvajových a trolejbusových tratí (v hl. městě Praze </w:t>
      </w:r>
      <w:r w:rsidRPr="000F650E">
        <w:br/>
        <w:t>i metra), tak modernizace a rekonstrukce tratí stávajících. Podporováno bude rovněž technické zázemí městské drážní dopravy, tedy vozovny a měnírny. Všechny intervence budou směřovat k zvýšení využívání veřejné hromadné dopravy v elektrické trakci na úkor individuální automobilové dopravy.</w:t>
      </w:r>
    </w:p>
    <w:p w14:paraId="2F017042" w14:textId="77777777" w:rsidR="00AE5443" w:rsidRPr="00A12B51" w:rsidRDefault="00AE5443" w:rsidP="00AE5443">
      <w:pPr>
        <w:pStyle w:val="KOMtext"/>
      </w:pPr>
      <w:r w:rsidRPr="00A12B51">
        <w:t xml:space="preserve">Plánované intervence v oblasti nízkoemisní a bezemisní mobility budou zaměřeny především na rozvoj infrastruktury pro elektromobilitu a jiná alternativní paliva (vodík, </w:t>
      </w:r>
      <w:proofErr w:type="spellStart"/>
      <w:r w:rsidRPr="00A12B51">
        <w:t>bioLNG</w:t>
      </w:r>
      <w:proofErr w:type="spellEnd"/>
      <w:r w:rsidRPr="00A12B51">
        <w:t>).</w:t>
      </w:r>
    </w:p>
    <w:p w14:paraId="653C6FFD" w14:textId="77777777" w:rsidR="00AE5443" w:rsidRPr="00A12B51" w:rsidRDefault="00AE5443" w:rsidP="00AE5443">
      <w:pPr>
        <w:pStyle w:val="KOModrky"/>
        <w:spacing w:line="276" w:lineRule="auto"/>
      </w:pPr>
      <w:r w:rsidRPr="00A12B51">
        <w:t xml:space="preserve">Opatření č. 8 – </w:t>
      </w:r>
      <w:r w:rsidRPr="00A12B51">
        <w:rPr>
          <w:b/>
        </w:rPr>
        <w:t>Infrastruktura městské drážní dopravy</w:t>
      </w:r>
    </w:p>
    <w:p w14:paraId="5AA118D9" w14:textId="77777777" w:rsidR="00AE5443" w:rsidRPr="00A12B51" w:rsidRDefault="00AE5443" w:rsidP="00AE5443">
      <w:pPr>
        <w:pStyle w:val="KOModrky"/>
        <w:spacing w:line="276" w:lineRule="auto"/>
      </w:pPr>
      <w:r w:rsidRPr="00A12B51">
        <w:t xml:space="preserve">Opatření č. 9 – </w:t>
      </w:r>
      <w:r w:rsidRPr="00A12B51">
        <w:rPr>
          <w:b/>
        </w:rPr>
        <w:t>Infrastruktura pro alternativní paliva</w:t>
      </w:r>
    </w:p>
    <w:p w14:paraId="714311CC" w14:textId="77777777" w:rsidR="00AE5443" w:rsidRPr="00A12B51" w:rsidRDefault="00AE5443" w:rsidP="00AE5443">
      <w:pPr>
        <w:pStyle w:val="KOModrky"/>
        <w:spacing w:line="276" w:lineRule="auto"/>
      </w:pPr>
      <w:r w:rsidRPr="00A12B51">
        <w:t xml:space="preserve">Opatření č. 10 – </w:t>
      </w:r>
      <w:r w:rsidRPr="00A12B51">
        <w:rPr>
          <w:b/>
        </w:rPr>
        <w:t>Příměstská železniční infrastruktura</w:t>
      </w:r>
    </w:p>
    <w:p w14:paraId="350EBE90" w14:textId="77777777" w:rsidR="00AE5443" w:rsidRPr="0080371D" w:rsidRDefault="00AE5443" w:rsidP="008A0E44">
      <w:pPr>
        <w:pStyle w:val="KOMnadp4"/>
      </w:pPr>
      <w:r w:rsidRPr="0080371D">
        <w:t>Priorita 4 – Technická pomoc</w:t>
      </w:r>
    </w:p>
    <w:p w14:paraId="11B1731B" w14:textId="77777777" w:rsidR="00AE5443" w:rsidRPr="0080371D" w:rsidRDefault="00AE5443" w:rsidP="00AE5443">
      <w:pPr>
        <w:pStyle w:val="KOMtext"/>
      </w:pPr>
      <w:r w:rsidRPr="0080371D">
        <w:t xml:space="preserve">V rámci priority Technická pomoc může být dle čl. 36 obecného nařízení financována příprava, řízení, monitorování, kontrola, audit, hodnocení, komunikace včetně komunikační činnosti týkající se politických priorit Unie, viditelnost a veškerá správní a technická pomoc, případně </w:t>
      </w:r>
      <w:r w:rsidRPr="0080371D">
        <w:br/>
        <w:t xml:space="preserve">i ve spolupráci se třetími zeměmi. Výše uvedené se může vztahovat jak na budoucí, tak </w:t>
      </w:r>
      <w:r w:rsidRPr="0080371D">
        <w:br/>
        <w:t>i předchozí programová období, tzn. financovány mohou být jak činnosti nezbytné pro úspěšnou realizaci OPD v programovém období 2021–2027, tak i výdaje nezbytné pro dokončení realizace programového období 2014–2020 a výdaje spojené s realizací počáteční fáze nového programového období 2028+.</w:t>
      </w:r>
    </w:p>
    <w:p w14:paraId="5F998FA6" w14:textId="77777777" w:rsidR="00AE5443" w:rsidRPr="0080371D" w:rsidRDefault="00AE5443" w:rsidP="00AE5443">
      <w:pPr>
        <w:pStyle w:val="KOModrky"/>
        <w:spacing w:line="276" w:lineRule="auto"/>
      </w:pPr>
      <w:r w:rsidRPr="0080371D">
        <w:t xml:space="preserve">Opatření č. 11 – </w:t>
      </w:r>
      <w:r w:rsidRPr="0080371D">
        <w:rPr>
          <w:b/>
          <w:bCs/>
        </w:rPr>
        <w:t>Technická pomoc</w:t>
      </w:r>
    </w:p>
    <w:p w14:paraId="2128C007" w14:textId="77777777" w:rsidR="00AE5443" w:rsidRPr="001F7D8F" w:rsidRDefault="00AE5443" w:rsidP="00AE5443">
      <w:pPr>
        <w:pStyle w:val="KOMtext"/>
      </w:pPr>
      <w:r w:rsidRPr="001F7D8F">
        <w:t xml:space="preserve">Příjemci dotací z OPD3 jsou vlastníci a správci dotčené infrastruktury, vlastníci drážních vozidel a provozovatelé drážní dopravy, vlastníci překládacích mechanismů u multimodální dopravy </w:t>
      </w:r>
      <w:r w:rsidRPr="001F7D8F">
        <w:br/>
        <w:t>a případně další relevantní subjekty. Především se jedná o státní investorské organizace Správa železnic a Ředitelství silnic a dálnic ČR.</w:t>
      </w:r>
    </w:p>
    <w:p w14:paraId="335B9586" w14:textId="77777777" w:rsidR="00AE5443" w:rsidRDefault="00AE5443" w:rsidP="00AE5443">
      <w:pPr>
        <w:pStyle w:val="KOMtext"/>
      </w:pPr>
      <w:r w:rsidRPr="00872530">
        <w:t>V rámci OPD 2021+ bylo k 31. 12. 202</w:t>
      </w:r>
      <w:r>
        <w:t>3</w:t>
      </w:r>
      <w:r w:rsidRPr="00872530">
        <w:t xml:space="preserve"> vyhlášeno </w:t>
      </w:r>
      <w:r w:rsidRPr="00872530">
        <w:rPr>
          <w:b/>
          <w:bCs/>
        </w:rPr>
        <w:t>16 výzev</w:t>
      </w:r>
      <w:r w:rsidRPr="00872530">
        <w:t xml:space="preserve"> v celkové výši alokace </w:t>
      </w:r>
      <w:r w:rsidRPr="00872530">
        <w:rPr>
          <w:b/>
          <w:bCs/>
        </w:rPr>
        <w:t>112,966 mld. Kč</w:t>
      </w:r>
      <w:r w:rsidRPr="00872530">
        <w:t xml:space="preserve"> se zaměřením na silniční a železniční infrastrukturu na i mimo síť TEN-T pro majoritní příjemce, dále na projekty realizované městy, v rámci veřejné podpory pak se zaměřením na alternativní paliva, interoperabilitu železniční dopravy a multimodální dopravu. ŘO v rámci sledování absorpční kapacity eviduje skutečnost, že některé projekty, které</w:t>
      </w:r>
      <w:r w:rsidRPr="00F77843">
        <w:t xml:space="preserve"> žadatelé (zejména ŘSD, Správa železnic, některá města) předpokládají realizovat s podporou Programu Doprava (OPD</w:t>
      </w:r>
      <w:r>
        <w:t>3</w:t>
      </w:r>
      <w:r w:rsidRPr="00F77843">
        <w:t xml:space="preserve">) jsou již fyzicky zahájeny a probíhá jejich realizace nebo jsou ve vysokém stadiu </w:t>
      </w:r>
      <w:r w:rsidRPr="008622C9">
        <w:t xml:space="preserve">připravenosti. </w:t>
      </w:r>
    </w:p>
    <w:p w14:paraId="5B840C5F" w14:textId="77777777" w:rsidR="00AE5443" w:rsidRPr="00B72637" w:rsidRDefault="00AE5443" w:rsidP="00AE5443">
      <w:pPr>
        <w:pStyle w:val="KOMtext"/>
      </w:pPr>
      <w:r w:rsidRPr="00636621">
        <w:lastRenderedPageBreak/>
        <w:t>Od zahájení realizace program</w:t>
      </w:r>
      <w:r>
        <w:t xml:space="preserve">u do konce roku 2023 </w:t>
      </w:r>
      <w:r w:rsidRPr="00636621">
        <w:t>bylo na národní úrovni v rámci všech prioritních os schváleno ke spolu</w:t>
      </w:r>
      <w:r>
        <w:t xml:space="preserve">financování z fondů EU v rámci </w:t>
      </w:r>
      <w:r w:rsidRPr="00636621">
        <w:t xml:space="preserve">OPD </w:t>
      </w:r>
      <w:r>
        <w:t>2021-2027</w:t>
      </w:r>
      <w:r w:rsidRPr="00636621">
        <w:t xml:space="preserve"> </w:t>
      </w:r>
      <w:r w:rsidRPr="00027B38">
        <w:t xml:space="preserve">celkem </w:t>
      </w:r>
      <w:r>
        <w:t>27</w:t>
      </w:r>
      <w:r w:rsidRPr="00027B38">
        <w:t xml:space="preserve"> projektů (</w:t>
      </w:r>
      <w:r>
        <w:t>25</w:t>
      </w:r>
      <w:r w:rsidRPr="00027B38">
        <w:t xml:space="preserve"> investičních projektů v rámci prioritních os 1–3 a </w:t>
      </w:r>
      <w:r>
        <w:t>2</w:t>
      </w:r>
      <w:r w:rsidRPr="00027B38">
        <w:t xml:space="preserve"> projekty v rámci prioritní osy 4) s celkovými způsobilými výdaji ve </w:t>
      </w:r>
      <w:r w:rsidRPr="00ED5146">
        <w:t>výši 39,2 mld. Kč. Z toho</w:t>
      </w:r>
      <w:r w:rsidRPr="00027B38">
        <w:t xml:space="preserve"> schválený podíl EU činil </w:t>
      </w:r>
      <w:r>
        <w:br/>
        <w:t>26,6</w:t>
      </w:r>
      <w:r w:rsidRPr="00027B38">
        <w:t xml:space="preserve"> mld. Kč.</w:t>
      </w:r>
    </w:p>
    <w:p w14:paraId="73DB786B" w14:textId="77777777" w:rsidR="00AE5443" w:rsidRPr="001601F0" w:rsidRDefault="00AE5443" w:rsidP="00AE5443">
      <w:pPr>
        <w:pStyle w:val="KOMtext"/>
        <w:rPr>
          <w:highlight w:val="yellow"/>
        </w:rPr>
      </w:pPr>
      <w:r w:rsidRPr="00993FCA">
        <w:t xml:space="preserve">V průběhu roku 2023 byly na Platebním orgánu (odbor Národního fondu MF) vyžádány prostředky v souhrnné výši </w:t>
      </w:r>
      <w:r w:rsidRPr="00993FCA">
        <w:rPr>
          <w:b/>
        </w:rPr>
        <w:t>12 116 292 787 Kč.</w:t>
      </w:r>
      <w:r w:rsidRPr="00993FCA">
        <w:t xml:space="preserve"> Částka ve výši </w:t>
      </w:r>
      <w:r w:rsidRPr="00993FCA">
        <w:rPr>
          <w:b/>
        </w:rPr>
        <w:t xml:space="preserve">4 643 373 689 </w:t>
      </w:r>
      <w:r w:rsidRPr="00993FCA">
        <w:rPr>
          <w:b/>
          <w:bCs/>
        </w:rPr>
        <w:t>Kč</w:t>
      </w:r>
      <w:r w:rsidRPr="00993FCA">
        <w:t xml:space="preserve"> byla v roce 2023 refundována zpět do kapitoly MD</w:t>
      </w:r>
      <w:r>
        <w:t xml:space="preserve"> a</w:t>
      </w:r>
      <w:r w:rsidRPr="00993FCA">
        <w:rPr>
          <w:b/>
          <w:bCs/>
        </w:rPr>
        <w:t xml:space="preserve"> </w:t>
      </w:r>
      <w:r w:rsidRPr="00993FCA">
        <w:t>j</w:t>
      </w:r>
      <w:r>
        <w:t>d</w:t>
      </w:r>
      <w:r w:rsidRPr="00993FCA">
        <w:t xml:space="preserve">e </w:t>
      </w:r>
      <w:r>
        <w:t xml:space="preserve">o </w:t>
      </w:r>
      <w:r w:rsidRPr="00993FCA">
        <w:t>celkovou částkou refundace z Národního fondu za období 2021-2027, jelikož v předchozích letech nebyly předloženy žádné souhrnné žádosti</w:t>
      </w:r>
      <w:r>
        <w:t>.</w:t>
      </w:r>
    </w:p>
    <w:p w14:paraId="45A78DE4" w14:textId="77777777" w:rsidR="00AE5443" w:rsidRPr="00743550" w:rsidRDefault="00AE5443" w:rsidP="008A0E44">
      <w:pPr>
        <w:pStyle w:val="KOMnadp4"/>
      </w:pPr>
      <w:r w:rsidRPr="00743550">
        <w:t>Program Doprava 2021–2027 – SFDI_OPD 2021–2027</w:t>
      </w:r>
    </w:p>
    <w:p w14:paraId="47FB48C2" w14:textId="77777777" w:rsidR="00AE5443" w:rsidRPr="00743550" w:rsidRDefault="00AE5443" w:rsidP="00AE5443">
      <w:pPr>
        <w:pStyle w:val="KOMtext"/>
      </w:pPr>
      <w:r w:rsidRPr="00743550">
        <w:t xml:space="preserve">V rámci akce </w:t>
      </w:r>
      <w:r w:rsidRPr="00743550">
        <w:rPr>
          <w:b/>
          <w:bCs/>
        </w:rPr>
        <w:t>SFDI_OPD 2021–2027 v roce 202</w:t>
      </w:r>
      <w:r>
        <w:rPr>
          <w:b/>
          <w:bCs/>
        </w:rPr>
        <w:t>3</w:t>
      </w:r>
      <w:r w:rsidRPr="00743550">
        <w:t>, id. č. ZED Z2701020000</w:t>
      </w:r>
      <w:r>
        <w:t>11</w:t>
      </w:r>
      <w:r w:rsidRPr="00743550">
        <w:t xml:space="preserve">, byla v roce 2023 financována jedna akce, na niž byly ZS formou rozhodnutí o poskytnutí dotace poskytnuty finanční prostředky v celkové výši </w:t>
      </w:r>
      <w:r>
        <w:t>14 220 954</w:t>
      </w:r>
      <w:r w:rsidRPr="00743550">
        <w:t xml:space="preserve"> tis. Kč v tom:</w:t>
      </w:r>
    </w:p>
    <w:p w14:paraId="0E2307A8" w14:textId="77777777" w:rsidR="00AE5443" w:rsidRPr="00743550" w:rsidRDefault="00AE5443" w:rsidP="00AE5443">
      <w:pPr>
        <w:pStyle w:val="KOModrky"/>
        <w:spacing w:line="276" w:lineRule="auto"/>
      </w:pPr>
      <w:r w:rsidRPr="00743550">
        <w:t>akce Z2701020000</w:t>
      </w:r>
      <w:r>
        <w:t>11</w:t>
      </w:r>
      <w:r w:rsidRPr="00743550">
        <w:t xml:space="preserve"> (SFDI_OPD 2021–2027 v roce 202</w:t>
      </w:r>
      <w:r>
        <w:t>3</w:t>
      </w:r>
      <w:r w:rsidRPr="00743550">
        <w:t xml:space="preserve">) – rozhodnutí bylo vydáno </w:t>
      </w:r>
      <w:r w:rsidRPr="00743550">
        <w:br/>
        <w:t xml:space="preserve">ve výši </w:t>
      </w:r>
      <w:r>
        <w:rPr>
          <w:b/>
          <w:bCs/>
        </w:rPr>
        <w:t>14 220 954</w:t>
      </w:r>
      <w:r w:rsidRPr="00743550">
        <w:rPr>
          <w:b/>
          <w:bCs/>
        </w:rPr>
        <w:t xml:space="preserve"> tis. Kč</w:t>
      </w:r>
      <w:r w:rsidRPr="00743550">
        <w:t xml:space="preserve">, přičemž čerpáno bylo </w:t>
      </w:r>
      <w:r>
        <w:rPr>
          <w:b/>
          <w:bCs/>
        </w:rPr>
        <w:t>10 075 971</w:t>
      </w:r>
      <w:r w:rsidRPr="00743550">
        <w:rPr>
          <w:b/>
          <w:bCs/>
        </w:rPr>
        <w:t xml:space="preserve"> tis. Kč</w:t>
      </w:r>
      <w:r w:rsidRPr="00743550">
        <w:t>.</w:t>
      </w:r>
    </w:p>
    <w:p w14:paraId="70E96EF3" w14:textId="77777777" w:rsidR="00AE5443" w:rsidRPr="00743550" w:rsidRDefault="00AE5443" w:rsidP="00AE5443">
      <w:pPr>
        <w:pStyle w:val="KOMtext"/>
      </w:pPr>
      <w:r w:rsidRPr="00743550">
        <w:t xml:space="preserve">Finanční prostředky byly použity na financování velkých dopravních staveb, kdy konečnými příjemci byly Ředitelství silnic a dálnic ČR a Správa železnic. </w:t>
      </w:r>
    </w:p>
    <w:p w14:paraId="465265F3" w14:textId="77777777" w:rsidR="00AE5443" w:rsidRPr="00142CDF" w:rsidRDefault="00AE5443" w:rsidP="008A0E44">
      <w:pPr>
        <w:pStyle w:val="KOMnadp4"/>
      </w:pPr>
      <w:r w:rsidRPr="00142CDF">
        <w:t xml:space="preserve">Prioritní osa 4 – Technická pomoc </w:t>
      </w:r>
    </w:p>
    <w:p w14:paraId="621DF6EA" w14:textId="77777777" w:rsidR="00AE5443" w:rsidRPr="00142CDF" w:rsidRDefault="00AE5443" w:rsidP="00AE5443">
      <w:pPr>
        <w:pStyle w:val="KOMtext"/>
      </w:pPr>
      <w:r w:rsidRPr="00142CDF">
        <w:t xml:space="preserve">Výzva pro předkládání žádostí o podporu v rámci opatření č. 11 – Technická pomoc byla oficiálně vyhlášena 25. října 2022. </w:t>
      </w:r>
    </w:p>
    <w:p w14:paraId="32964E78" w14:textId="77777777" w:rsidR="00AE5443" w:rsidRPr="00571AA3" w:rsidRDefault="00AE5443" w:rsidP="00AE5443">
      <w:pPr>
        <w:pStyle w:val="KOMtext"/>
      </w:pPr>
      <w:r w:rsidRPr="00571AA3">
        <w:t>Technická pomoc Programu Doprava 2021–2027 je realizována prostřednictvím Priority 4 (Fond soudržnosti) a je na ní vyčleněno 46,39 mil. EUR, což je 0,95 % alokace OPD3. Technická pomoc je zakotvena v Nařízení Evropského parlamentu a Rady (EU) 2021/1060</w:t>
      </w:r>
      <w:r w:rsidRPr="008238A3">
        <w:rPr>
          <w:vertAlign w:val="superscript"/>
        </w:rPr>
        <w:footnoteReference w:id="4"/>
      </w:r>
      <w:r w:rsidRPr="00571AA3">
        <w:t xml:space="preserve"> (dále jen „obecné nařízení“), článek 36, podle kterého mohou fondy ESI (Evropské strukturální </w:t>
      </w:r>
      <w:r w:rsidRPr="00571AA3">
        <w:br/>
        <w:t xml:space="preserve">a investiční fondy) podporovat opatření v oblasti přípravy, řízení, monitorování, hodnocení, informování a komunikace, vytváření sítí, řešení stížností, kontroly a auditu. Členský stát může fondy ESI využívat na podporu opatření ke snížení administrativní zátěže příjemců, </w:t>
      </w:r>
      <w:r w:rsidRPr="00571AA3">
        <w:br/>
        <w:t>a to i prostřednictvím systémů pro elektronickou výměnu dat a opatření ke zvýšení způsobilosti orgánů členských států a příjemců spravovat a využívat tyto fondy. Výdaje Technické pomoci OPD3 jsou hrazeny z 85 % z Fondu soudržnosti a z 15 % ze SR – kapitola 327 Ministerstvo dopravy.</w:t>
      </w:r>
    </w:p>
    <w:p w14:paraId="4B4D14CE" w14:textId="77777777" w:rsidR="00AE5443" w:rsidRPr="002327DC" w:rsidRDefault="00AE5443" w:rsidP="008A0E44">
      <w:pPr>
        <w:pStyle w:val="KOMnadp4"/>
      </w:pPr>
      <w:r w:rsidRPr="002327DC">
        <w:lastRenderedPageBreak/>
        <w:t>Technická pomoc Programu Doprava – Řídicí orgán</w:t>
      </w:r>
    </w:p>
    <w:p w14:paraId="6723FA0D" w14:textId="77777777" w:rsidR="00AE5443" w:rsidRPr="001601F0" w:rsidRDefault="00AE5443" w:rsidP="00AE5443">
      <w:pPr>
        <w:pStyle w:val="KOMtext"/>
        <w:rPr>
          <w:highlight w:val="yellow"/>
        </w:rPr>
      </w:pPr>
      <w:r w:rsidRPr="008D1BAE">
        <w:t>Říd</w:t>
      </w:r>
      <w:r>
        <w:t>i</w:t>
      </w:r>
      <w:r w:rsidRPr="008D1BAE">
        <w:t>cím orgánem bylo v roce 20</w:t>
      </w:r>
      <w:r>
        <w:t>23</w:t>
      </w:r>
      <w:r w:rsidRPr="008D1BAE">
        <w:t xml:space="preserve"> v rámci projektu „Technická pomoc OPD</w:t>
      </w:r>
      <w:r>
        <w:t>3</w:t>
      </w:r>
      <w:r w:rsidRPr="008D1BAE">
        <w:t xml:space="preserve"> ŘO 20</w:t>
      </w:r>
      <w:r>
        <w:t>23–</w:t>
      </w:r>
      <w:r w:rsidRPr="008D1BAE">
        <w:t>202</w:t>
      </w:r>
      <w:r>
        <w:t>9</w:t>
      </w:r>
      <w:r w:rsidRPr="008D1BAE">
        <w:t xml:space="preserve">“ vyčerpáno </w:t>
      </w:r>
      <w:r w:rsidRPr="00DA4F9C">
        <w:t xml:space="preserve">celkem </w:t>
      </w:r>
      <w:r w:rsidRPr="009804F5">
        <w:rPr>
          <w:b/>
          <w:bCs/>
        </w:rPr>
        <w:t>907</w:t>
      </w:r>
      <w:r w:rsidRPr="00C10528">
        <w:rPr>
          <w:b/>
          <w:bCs/>
        </w:rPr>
        <w:t> </w:t>
      </w:r>
      <w:r w:rsidRPr="00DA4F9C">
        <w:rPr>
          <w:b/>
        </w:rPr>
        <w:t>tis.</w:t>
      </w:r>
      <w:r>
        <w:rPr>
          <w:b/>
        </w:rPr>
        <w:t> </w:t>
      </w:r>
      <w:r w:rsidRPr="00DA4F9C">
        <w:rPr>
          <w:b/>
        </w:rPr>
        <w:t>Kč</w:t>
      </w:r>
      <w:r w:rsidRPr="00DA4F9C">
        <w:t xml:space="preserve"> (podíl SR </w:t>
      </w:r>
      <w:r>
        <w:t>136 </w:t>
      </w:r>
      <w:r w:rsidRPr="00DA4F9C">
        <w:t>tis.</w:t>
      </w:r>
      <w:r>
        <w:t> </w:t>
      </w:r>
      <w:r w:rsidRPr="00DA4F9C">
        <w:t xml:space="preserve">Kč, podíl EU </w:t>
      </w:r>
      <w:r>
        <w:t>771 </w:t>
      </w:r>
      <w:r w:rsidRPr="00DA4F9C">
        <w:t>tis.</w:t>
      </w:r>
      <w:r>
        <w:t> </w:t>
      </w:r>
      <w:r w:rsidRPr="00DA4F9C">
        <w:t xml:space="preserve">Kč). Jednalo se o běžné </w:t>
      </w:r>
      <w:r w:rsidRPr="003C13B7">
        <w:t xml:space="preserve">výdaje. </w:t>
      </w:r>
    </w:p>
    <w:p w14:paraId="6A3CAF0B" w14:textId="77777777" w:rsidR="00AE5443" w:rsidRDefault="00AE5443" w:rsidP="00AE5443">
      <w:pPr>
        <w:pStyle w:val="KOMtext"/>
      </w:pPr>
      <w:r w:rsidRPr="004E4463">
        <w:t xml:space="preserve">Dne 19. prosince 2022 byl schválen projekt „Administrativní kapacita a vzdělávání implementační struktury Řídicího orgánu Operačního programu Doprava 2021–2027“, </w:t>
      </w:r>
      <w:r w:rsidRPr="004E4463">
        <w:br/>
        <w:t xml:space="preserve">v rámci kterého byly čerpány ve výši </w:t>
      </w:r>
      <w:r w:rsidRPr="00697926">
        <w:rPr>
          <w:b/>
          <w:bCs/>
        </w:rPr>
        <w:t>41 228 tis. Kč</w:t>
      </w:r>
      <w:r w:rsidRPr="004E4463">
        <w:t xml:space="preserve"> (podíl SR 6 184 tis. Kč, podíl EU </w:t>
      </w:r>
      <w:r>
        <w:br/>
      </w:r>
      <w:r w:rsidRPr="004E4463">
        <w:t>35 044 tis. Kč). Výdaje byly</w:t>
      </w:r>
      <w:r>
        <w:t xml:space="preserve"> poskytnuty především na platy včetně příslušenství a na školení či vzdělávání.</w:t>
      </w:r>
    </w:p>
    <w:p w14:paraId="35142F89" w14:textId="77777777" w:rsidR="00AE5443" w:rsidRPr="001601F0" w:rsidRDefault="00AE5443" w:rsidP="00AE5443">
      <w:pPr>
        <w:pStyle w:val="KOMtext"/>
        <w:rPr>
          <w:highlight w:val="yellow"/>
        </w:rPr>
      </w:pPr>
      <w:r>
        <w:t>Podrobněji k mzdovým výdajům hrazené z Technické pomoci OPD 2021+ viz kapitola 3.2.</w:t>
      </w:r>
    </w:p>
    <w:p w14:paraId="62705BE1" w14:textId="77777777" w:rsidR="00AE5443" w:rsidRPr="000016B8" w:rsidRDefault="00AE5443" w:rsidP="008A0E44">
      <w:pPr>
        <w:pStyle w:val="KOMnadp4"/>
      </w:pPr>
      <w:r w:rsidRPr="000016B8">
        <w:t>Technická pomoc OP Doprava – Zprostředkující subjekt</w:t>
      </w:r>
    </w:p>
    <w:p w14:paraId="2CAEF74C" w14:textId="2C790100" w:rsidR="00F30B65" w:rsidRPr="0077128B" w:rsidRDefault="00AE5443" w:rsidP="00BA4E5A">
      <w:pPr>
        <w:pStyle w:val="KOMtext"/>
        <w:rPr>
          <w:color w:val="FF0000"/>
        </w:rPr>
      </w:pPr>
      <w:r w:rsidRPr="000016B8">
        <w:t xml:space="preserve">V roce 2023 nečerpal zprostředkující subjekt žádné prostředky v rámci </w:t>
      </w:r>
      <w:r>
        <w:t>technické pomoci</w:t>
      </w:r>
      <w:r w:rsidRPr="000016B8">
        <w:t xml:space="preserve"> OPD</w:t>
      </w:r>
      <w:r>
        <w:t xml:space="preserve"> 2021+</w:t>
      </w:r>
      <w:r w:rsidRPr="000016B8">
        <w:t>.</w:t>
      </w:r>
    </w:p>
    <w:p w14:paraId="1599C4E1" w14:textId="288A43A0" w:rsidR="00F30B65" w:rsidRPr="006B6D61" w:rsidRDefault="007522DB" w:rsidP="00E20BD6">
      <w:pPr>
        <w:pStyle w:val="KOMnadp3"/>
      </w:pPr>
      <w:bookmarkStart w:id="324" w:name="_Toc162269256"/>
      <w:r w:rsidRPr="006B6D61">
        <w:t>Komunitární programy – programové období 2021–2027</w:t>
      </w:r>
      <w:bookmarkEnd w:id="324"/>
    </w:p>
    <w:p w14:paraId="5B511E00" w14:textId="4EA37262" w:rsidR="007522DB" w:rsidRPr="006B6D61" w:rsidRDefault="00335E16" w:rsidP="008A0E44">
      <w:pPr>
        <w:pStyle w:val="KOMnadp4"/>
      </w:pPr>
      <w:r w:rsidRPr="006B6D61">
        <w:t>NÁSTROJ PRO PROPOJENÍ EVROPY 2021–2027 – CEF2</w:t>
      </w:r>
    </w:p>
    <w:tbl>
      <w:tblPr>
        <w:tblStyle w:val="Mkatabulky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2E4FB3" w:rsidRPr="004A12C5" w14:paraId="0C229E25" w14:textId="77777777" w:rsidTr="004E4350">
        <w:trPr>
          <w:trHeight w:val="354"/>
        </w:trPr>
        <w:tc>
          <w:tcPr>
            <w:tcW w:w="4253" w:type="dxa"/>
            <w:gridSpan w:val="2"/>
            <w:vAlign w:val="center"/>
          </w:tcPr>
          <w:p w14:paraId="349BFFF4" w14:textId="77777777" w:rsidR="002E4FB3" w:rsidRPr="004A12C5" w:rsidRDefault="002E4FB3" w:rsidP="004E4350">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5FB70AB5" w14:textId="77777777" w:rsidR="002E4FB3" w:rsidRPr="004A12C5" w:rsidRDefault="002E4FB3" w:rsidP="004E4350">
            <w:pPr>
              <w:keepNext/>
              <w:keepLines/>
              <w:tabs>
                <w:tab w:val="left" w:pos="3969"/>
              </w:tabs>
              <w:spacing w:before="120" w:after="60"/>
              <w:jc w:val="right"/>
              <w:rPr>
                <w:b/>
                <w:sz w:val="24"/>
                <w:szCs w:val="24"/>
              </w:rPr>
            </w:pPr>
            <w:r>
              <w:rPr>
                <w:b/>
                <w:sz w:val="24"/>
                <w:szCs w:val="24"/>
              </w:rPr>
              <w:t>4 075 750</w:t>
            </w:r>
            <w:r w:rsidRPr="004A12C5">
              <w:rPr>
                <w:b/>
                <w:sz w:val="24"/>
                <w:szCs w:val="24"/>
              </w:rPr>
              <w:t xml:space="preserve"> tis. Kč</w:t>
            </w:r>
          </w:p>
        </w:tc>
      </w:tr>
      <w:tr w:rsidR="002E4FB3" w:rsidRPr="004A12C5" w14:paraId="6AD3AC76" w14:textId="77777777" w:rsidTr="004E4350">
        <w:trPr>
          <w:trHeight w:val="418"/>
        </w:trPr>
        <w:tc>
          <w:tcPr>
            <w:tcW w:w="4253" w:type="dxa"/>
            <w:gridSpan w:val="2"/>
            <w:vAlign w:val="center"/>
          </w:tcPr>
          <w:p w14:paraId="2719A37F" w14:textId="77777777" w:rsidR="002E4FB3" w:rsidRPr="004A12C5" w:rsidRDefault="002E4FB3" w:rsidP="004E4350">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1DA1FF81" w14:textId="77777777" w:rsidR="002E4FB3" w:rsidRPr="004A12C5" w:rsidRDefault="002E4FB3" w:rsidP="004E4350">
            <w:pPr>
              <w:keepNext/>
              <w:keepLines/>
              <w:tabs>
                <w:tab w:val="left" w:pos="3969"/>
              </w:tabs>
              <w:spacing w:before="60" w:after="60"/>
              <w:jc w:val="right"/>
              <w:rPr>
                <w:b/>
                <w:sz w:val="24"/>
                <w:szCs w:val="24"/>
              </w:rPr>
            </w:pPr>
            <w:r>
              <w:rPr>
                <w:b/>
                <w:sz w:val="24"/>
                <w:szCs w:val="24"/>
              </w:rPr>
              <w:t>4 075 747</w:t>
            </w:r>
            <w:r w:rsidRPr="004A12C5">
              <w:rPr>
                <w:b/>
                <w:sz w:val="24"/>
                <w:szCs w:val="24"/>
              </w:rPr>
              <w:t xml:space="preserve"> tis. Kč</w:t>
            </w:r>
          </w:p>
        </w:tc>
      </w:tr>
      <w:tr w:rsidR="002E4FB3" w:rsidRPr="004A12C5" w14:paraId="11263A27" w14:textId="77777777" w:rsidTr="004E4350">
        <w:trPr>
          <w:trHeight w:val="170"/>
        </w:trPr>
        <w:tc>
          <w:tcPr>
            <w:tcW w:w="704" w:type="dxa"/>
            <w:vAlign w:val="center"/>
          </w:tcPr>
          <w:p w14:paraId="558C1856" w14:textId="77777777" w:rsidR="002E4FB3" w:rsidRPr="004A12C5" w:rsidRDefault="002E4FB3" w:rsidP="004E4350">
            <w:pPr>
              <w:keepNext/>
              <w:keepLines/>
              <w:tabs>
                <w:tab w:val="left" w:pos="3969"/>
              </w:tabs>
              <w:spacing w:before="60" w:after="60"/>
              <w:rPr>
                <w:b/>
                <w:color w:val="FF0000"/>
                <w:sz w:val="24"/>
                <w:szCs w:val="24"/>
              </w:rPr>
            </w:pPr>
          </w:p>
        </w:tc>
        <w:tc>
          <w:tcPr>
            <w:tcW w:w="3549" w:type="dxa"/>
            <w:vAlign w:val="center"/>
          </w:tcPr>
          <w:p w14:paraId="7A8E839D" w14:textId="77777777" w:rsidR="002E4FB3" w:rsidRPr="004A12C5" w:rsidRDefault="002E4FB3" w:rsidP="004E4350">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485C1F36" w14:textId="77777777" w:rsidR="002E4FB3" w:rsidRPr="004A12C5" w:rsidRDefault="002E4FB3" w:rsidP="004E4350">
            <w:pPr>
              <w:keepNext/>
              <w:keepLines/>
              <w:tabs>
                <w:tab w:val="left" w:pos="3969"/>
              </w:tabs>
              <w:spacing w:before="60" w:after="60"/>
              <w:jc w:val="right"/>
              <w:rPr>
                <w:b/>
                <w:sz w:val="24"/>
                <w:szCs w:val="24"/>
              </w:rPr>
            </w:pPr>
            <w:r>
              <w:rPr>
                <w:b/>
                <w:sz w:val="24"/>
                <w:szCs w:val="24"/>
              </w:rPr>
              <w:t>3</w:t>
            </w:r>
            <w:r w:rsidRPr="004A12C5">
              <w:rPr>
                <w:b/>
                <w:sz w:val="24"/>
                <w:szCs w:val="24"/>
              </w:rPr>
              <w:t xml:space="preserve"> tis. Kč</w:t>
            </w:r>
          </w:p>
        </w:tc>
      </w:tr>
    </w:tbl>
    <w:p w14:paraId="6D0AD224" w14:textId="204E6D6A" w:rsidR="00603DE9" w:rsidRPr="006A755F" w:rsidRDefault="00335E16" w:rsidP="00603DE9">
      <w:pPr>
        <w:pStyle w:val="KOMtext"/>
      </w:pPr>
      <w:r w:rsidRPr="006A755F">
        <w:t xml:space="preserve">Jedná se o Evropskou komisí přímo řízený program k financování transevropských infrastrukturních sítí. Cílem tohoto nástroje je podpořit vybudování infrastruktury, která </w:t>
      </w:r>
      <w:proofErr w:type="gramStart"/>
      <w:r w:rsidRPr="006A755F">
        <w:t>zlepší</w:t>
      </w:r>
      <w:proofErr w:type="gramEnd"/>
      <w:r w:rsidRPr="006A755F">
        <w:t xml:space="preserve"> fungování vnitřního trhu EU. Podpora EU je zaměřena na prioritní energetické, dopravní </w:t>
      </w:r>
      <w:r w:rsidR="00EF56D1" w:rsidRPr="006A755F">
        <w:br/>
      </w:r>
      <w:r w:rsidRPr="006A755F">
        <w:t xml:space="preserve">a telekomunikační sítě. </w:t>
      </w:r>
      <w:r w:rsidR="00603DE9" w:rsidRPr="006A755F">
        <w:t xml:space="preserve">V gesci </w:t>
      </w:r>
      <w:r w:rsidR="00603DE9">
        <w:t>M</w:t>
      </w:r>
      <w:r w:rsidR="00603DE9" w:rsidRPr="006A755F">
        <w:t xml:space="preserve">inisterstva dopravy je dopravní část CEF se zaměřením </w:t>
      </w:r>
      <w:r w:rsidR="00603DE9" w:rsidRPr="006A755F">
        <w:br/>
        <w:t>na dokončení transevropské dopravní sítě (TEN-T), její modernizaci a přizpůsobení potřebám vojenské mobility.</w:t>
      </w:r>
    </w:p>
    <w:tbl>
      <w:tblPr>
        <w:tblStyle w:val="Mkatabulky"/>
        <w:tblpPr w:leftFromText="141" w:rightFromText="141" w:vertAnchor="text" w:horzAnchor="margin" w:tblpY="54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E45743" w:rsidRPr="006A755F" w14:paraId="62763434" w14:textId="77777777" w:rsidTr="00E45743">
        <w:trPr>
          <w:trHeight w:val="354"/>
        </w:trPr>
        <w:tc>
          <w:tcPr>
            <w:tcW w:w="4253" w:type="dxa"/>
            <w:gridSpan w:val="2"/>
            <w:vAlign w:val="center"/>
          </w:tcPr>
          <w:p w14:paraId="52BE7413" w14:textId="77777777" w:rsidR="00E45743" w:rsidRPr="004A12C5" w:rsidRDefault="00E45743" w:rsidP="00E45743">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6F77D012" w14:textId="77777777" w:rsidR="00E45743" w:rsidRPr="004A12C5" w:rsidRDefault="00E45743" w:rsidP="00E45743">
            <w:pPr>
              <w:keepNext/>
              <w:keepLines/>
              <w:tabs>
                <w:tab w:val="left" w:pos="3969"/>
              </w:tabs>
              <w:spacing w:before="120" w:after="60"/>
              <w:jc w:val="right"/>
              <w:rPr>
                <w:b/>
                <w:sz w:val="24"/>
                <w:szCs w:val="24"/>
              </w:rPr>
            </w:pPr>
            <w:r>
              <w:rPr>
                <w:b/>
                <w:sz w:val="24"/>
                <w:szCs w:val="24"/>
              </w:rPr>
              <w:t>4 070 233</w:t>
            </w:r>
            <w:r w:rsidRPr="004A12C5">
              <w:rPr>
                <w:b/>
                <w:sz w:val="24"/>
                <w:szCs w:val="24"/>
              </w:rPr>
              <w:t xml:space="preserve"> tis. Kč</w:t>
            </w:r>
          </w:p>
        </w:tc>
      </w:tr>
      <w:tr w:rsidR="00E45743" w:rsidRPr="006A755F" w14:paraId="7FAC9BDD" w14:textId="77777777" w:rsidTr="00E45743">
        <w:trPr>
          <w:trHeight w:val="418"/>
        </w:trPr>
        <w:tc>
          <w:tcPr>
            <w:tcW w:w="4253" w:type="dxa"/>
            <w:gridSpan w:val="2"/>
            <w:vAlign w:val="center"/>
          </w:tcPr>
          <w:p w14:paraId="6BBD9DDB" w14:textId="77777777" w:rsidR="00E45743" w:rsidRPr="004A12C5" w:rsidRDefault="00E45743" w:rsidP="00E45743">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645DDB22" w14:textId="77777777" w:rsidR="00E45743" w:rsidRPr="004A12C5" w:rsidRDefault="00E45743" w:rsidP="00E45743">
            <w:pPr>
              <w:keepNext/>
              <w:keepLines/>
              <w:tabs>
                <w:tab w:val="left" w:pos="3969"/>
              </w:tabs>
              <w:spacing w:before="60" w:after="60"/>
              <w:jc w:val="right"/>
              <w:rPr>
                <w:b/>
                <w:sz w:val="24"/>
                <w:szCs w:val="24"/>
              </w:rPr>
            </w:pPr>
            <w:r>
              <w:rPr>
                <w:b/>
                <w:sz w:val="24"/>
                <w:szCs w:val="24"/>
              </w:rPr>
              <w:t>4 070 233</w:t>
            </w:r>
            <w:r w:rsidRPr="004A12C5">
              <w:rPr>
                <w:b/>
                <w:sz w:val="24"/>
                <w:szCs w:val="24"/>
              </w:rPr>
              <w:t xml:space="preserve"> tis. Kč</w:t>
            </w:r>
          </w:p>
        </w:tc>
      </w:tr>
      <w:tr w:rsidR="00E45743" w:rsidRPr="006A755F" w14:paraId="2EFCD1D9" w14:textId="77777777" w:rsidTr="00E45743">
        <w:trPr>
          <w:trHeight w:val="170"/>
        </w:trPr>
        <w:tc>
          <w:tcPr>
            <w:tcW w:w="704" w:type="dxa"/>
            <w:vAlign w:val="center"/>
          </w:tcPr>
          <w:p w14:paraId="1BE4586F" w14:textId="77777777" w:rsidR="00E45743" w:rsidRPr="004A12C5" w:rsidRDefault="00E45743" w:rsidP="00E45743">
            <w:pPr>
              <w:keepNext/>
              <w:keepLines/>
              <w:tabs>
                <w:tab w:val="left" w:pos="3969"/>
              </w:tabs>
              <w:spacing w:before="60" w:after="60"/>
              <w:rPr>
                <w:b/>
                <w:color w:val="FF0000"/>
                <w:sz w:val="24"/>
                <w:szCs w:val="24"/>
              </w:rPr>
            </w:pPr>
          </w:p>
        </w:tc>
        <w:tc>
          <w:tcPr>
            <w:tcW w:w="3549" w:type="dxa"/>
            <w:vAlign w:val="center"/>
          </w:tcPr>
          <w:p w14:paraId="22216A93" w14:textId="77777777" w:rsidR="00E45743" w:rsidRPr="004A12C5" w:rsidRDefault="00E45743" w:rsidP="00E45743">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7702517B" w14:textId="77777777" w:rsidR="00E45743" w:rsidRPr="004A12C5" w:rsidRDefault="00E45743" w:rsidP="00E45743">
            <w:pPr>
              <w:keepNext/>
              <w:keepLines/>
              <w:tabs>
                <w:tab w:val="left" w:pos="3969"/>
              </w:tabs>
              <w:spacing w:before="60" w:after="60"/>
              <w:jc w:val="right"/>
              <w:rPr>
                <w:b/>
                <w:sz w:val="24"/>
                <w:szCs w:val="24"/>
              </w:rPr>
            </w:pPr>
            <w:r w:rsidRPr="004A12C5">
              <w:rPr>
                <w:b/>
                <w:sz w:val="24"/>
                <w:szCs w:val="24"/>
              </w:rPr>
              <w:t>0 tis. Kč</w:t>
            </w:r>
          </w:p>
        </w:tc>
      </w:tr>
    </w:tbl>
    <w:p w14:paraId="532CA5FD" w14:textId="77777777" w:rsidR="00603DE9" w:rsidRPr="006A755F" w:rsidRDefault="00603DE9" w:rsidP="00E45743">
      <w:pPr>
        <w:pStyle w:val="KOMnadp5"/>
        <w:keepNext w:val="0"/>
        <w:keepLines w:val="0"/>
        <w:numPr>
          <w:ilvl w:val="0"/>
          <w:numId w:val="13"/>
        </w:numPr>
        <w:ind w:left="709"/>
      </w:pPr>
      <w:r w:rsidRPr="006A755F">
        <w:t>NÁSTROJ PRO PROPOJENÍ EVROPY 2021–2027 – CEF2 (projekty SŽ, ŘSD, ŘVC)</w:t>
      </w:r>
    </w:p>
    <w:p w14:paraId="77A8C204" w14:textId="77777777" w:rsidR="00603DE9" w:rsidRPr="006A755F" w:rsidRDefault="00603DE9" w:rsidP="00603DE9">
      <w:pPr>
        <w:pStyle w:val="KOMtext"/>
      </w:pPr>
      <w:r w:rsidRPr="006A755F">
        <w:lastRenderedPageBreak/>
        <w:t>Projekty státních investorských organizací (Správa železnic, Ředitelství silnic a dálnic, Ředitelství vodních cest) podpořené z Nástroje pro propojení Evropy (dále jen CEF) jsou převážně financovány z tzv. kohezní obálky CEF. Kohezní CEF je financován z prostředků Fondu soudržnosti (tzv. Kohezního fondu) převedených do CEF. Kohezní CEF je určen pouze pro státy, které mohou čerpat z Fondu soudržnosti.</w:t>
      </w:r>
    </w:p>
    <w:p w14:paraId="2027FF34" w14:textId="77777777" w:rsidR="00603DE9" w:rsidRPr="006A755F" w:rsidRDefault="00603DE9" w:rsidP="00603DE9">
      <w:pPr>
        <w:pStyle w:val="KOMtext"/>
      </w:pPr>
      <w:r w:rsidRPr="00DD0620">
        <w:t xml:space="preserve">Dosud byla uzavřena grantová dohoda u 18 projektů, u jednoho projektu je grantová dohoda v přípravě, dalších 16 projektů bylo podáno v poslední </w:t>
      </w:r>
      <w:proofErr w:type="gramStart"/>
      <w:r w:rsidRPr="00DD0620">
        <w:t>výzvě</w:t>
      </w:r>
      <w:proofErr w:type="gramEnd"/>
      <w:r w:rsidRPr="00DD0620">
        <w:t xml:space="preserve"> a ještě neprošlo hodnocením. </w:t>
      </w:r>
      <w:r w:rsidRPr="00DD0620">
        <w:br/>
      </w:r>
      <w:r w:rsidRPr="00D01CE9">
        <w:t xml:space="preserve">Na účet Ministerstva dopravy byly </w:t>
      </w:r>
      <w:r w:rsidRPr="0076221C">
        <w:rPr>
          <w:b/>
          <w:bCs/>
        </w:rPr>
        <w:t xml:space="preserve">v roce 2023 poskytnuty zálohy na financování projektů </w:t>
      </w:r>
      <w:r w:rsidRPr="0076221C">
        <w:rPr>
          <w:b/>
          <w:bCs/>
        </w:rPr>
        <w:br/>
        <w:t>ve výši 4 960 834 tis. Kč</w:t>
      </w:r>
      <w:r w:rsidRPr="00D01CE9">
        <w:t>.</w:t>
      </w:r>
    </w:p>
    <w:p w14:paraId="39762929" w14:textId="77777777" w:rsidR="00603DE9" w:rsidRPr="006A755F" w:rsidRDefault="00603DE9" w:rsidP="00603DE9">
      <w:pPr>
        <w:pStyle w:val="KOMnadp5"/>
      </w:pPr>
      <w:r w:rsidRPr="006A755F">
        <w:t>NÁSTROJ PRO PROPOJENÍ EVROPY 2021–2027 – CEF2 – TP</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603DE9" w:rsidRPr="006A755F" w14:paraId="7F07E785" w14:textId="77777777" w:rsidTr="000D04C0">
        <w:trPr>
          <w:trHeight w:val="354"/>
        </w:trPr>
        <w:tc>
          <w:tcPr>
            <w:tcW w:w="4253" w:type="dxa"/>
            <w:gridSpan w:val="2"/>
            <w:vAlign w:val="center"/>
          </w:tcPr>
          <w:p w14:paraId="0515D760" w14:textId="77777777" w:rsidR="00603DE9" w:rsidRPr="004A12C5" w:rsidRDefault="00603DE9" w:rsidP="000D04C0">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31F42A4F" w14:textId="77777777" w:rsidR="00603DE9" w:rsidRPr="004A12C5" w:rsidRDefault="00603DE9" w:rsidP="000D04C0">
            <w:pPr>
              <w:keepNext/>
              <w:keepLines/>
              <w:tabs>
                <w:tab w:val="left" w:pos="3969"/>
              </w:tabs>
              <w:spacing w:before="120" w:after="60"/>
              <w:jc w:val="right"/>
              <w:rPr>
                <w:b/>
                <w:sz w:val="24"/>
                <w:szCs w:val="24"/>
              </w:rPr>
            </w:pPr>
            <w:r>
              <w:rPr>
                <w:b/>
                <w:sz w:val="24"/>
                <w:szCs w:val="24"/>
              </w:rPr>
              <w:t>5 512</w:t>
            </w:r>
            <w:r w:rsidRPr="004A12C5">
              <w:rPr>
                <w:b/>
                <w:sz w:val="24"/>
                <w:szCs w:val="24"/>
              </w:rPr>
              <w:t xml:space="preserve"> tis. Kč</w:t>
            </w:r>
          </w:p>
        </w:tc>
      </w:tr>
      <w:tr w:rsidR="00603DE9" w:rsidRPr="006A755F" w14:paraId="01BF9A70" w14:textId="77777777" w:rsidTr="000D04C0">
        <w:trPr>
          <w:trHeight w:val="418"/>
        </w:trPr>
        <w:tc>
          <w:tcPr>
            <w:tcW w:w="4253" w:type="dxa"/>
            <w:gridSpan w:val="2"/>
            <w:vAlign w:val="center"/>
          </w:tcPr>
          <w:p w14:paraId="6D49DCD0" w14:textId="77777777" w:rsidR="00603DE9" w:rsidRPr="004A12C5" w:rsidRDefault="00603DE9" w:rsidP="000D04C0">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45A90F5F" w14:textId="77777777" w:rsidR="00603DE9" w:rsidRPr="004A12C5" w:rsidRDefault="00603DE9" w:rsidP="000D04C0">
            <w:pPr>
              <w:keepNext/>
              <w:keepLines/>
              <w:tabs>
                <w:tab w:val="left" w:pos="3969"/>
              </w:tabs>
              <w:spacing w:before="60" w:after="60"/>
              <w:jc w:val="right"/>
              <w:rPr>
                <w:b/>
                <w:sz w:val="24"/>
                <w:szCs w:val="24"/>
              </w:rPr>
            </w:pPr>
            <w:r>
              <w:rPr>
                <w:b/>
                <w:sz w:val="24"/>
                <w:szCs w:val="24"/>
              </w:rPr>
              <w:t>5 512</w:t>
            </w:r>
            <w:r w:rsidRPr="004A12C5">
              <w:rPr>
                <w:b/>
                <w:sz w:val="24"/>
                <w:szCs w:val="24"/>
              </w:rPr>
              <w:t xml:space="preserve"> tis. Kč</w:t>
            </w:r>
          </w:p>
        </w:tc>
      </w:tr>
      <w:tr w:rsidR="00603DE9" w:rsidRPr="006A755F" w14:paraId="50E8EF9A" w14:textId="77777777" w:rsidTr="000D04C0">
        <w:trPr>
          <w:trHeight w:val="170"/>
        </w:trPr>
        <w:tc>
          <w:tcPr>
            <w:tcW w:w="704" w:type="dxa"/>
            <w:vAlign w:val="center"/>
          </w:tcPr>
          <w:p w14:paraId="2E9475E2" w14:textId="77777777" w:rsidR="00603DE9" w:rsidRPr="004A12C5" w:rsidRDefault="00603DE9" w:rsidP="000D04C0">
            <w:pPr>
              <w:keepNext/>
              <w:keepLines/>
              <w:tabs>
                <w:tab w:val="left" w:pos="3969"/>
              </w:tabs>
              <w:spacing w:before="60" w:after="60"/>
              <w:rPr>
                <w:b/>
                <w:color w:val="FF0000"/>
                <w:sz w:val="24"/>
                <w:szCs w:val="24"/>
              </w:rPr>
            </w:pPr>
          </w:p>
        </w:tc>
        <w:tc>
          <w:tcPr>
            <w:tcW w:w="3549" w:type="dxa"/>
            <w:vAlign w:val="center"/>
          </w:tcPr>
          <w:p w14:paraId="107B259D" w14:textId="77777777" w:rsidR="00603DE9" w:rsidRPr="004A12C5" w:rsidRDefault="00603DE9" w:rsidP="000D04C0">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5F5EBF97" w14:textId="77777777" w:rsidR="00603DE9" w:rsidRPr="004A12C5" w:rsidRDefault="00603DE9" w:rsidP="000D04C0">
            <w:pPr>
              <w:keepNext/>
              <w:keepLines/>
              <w:tabs>
                <w:tab w:val="left" w:pos="3969"/>
              </w:tabs>
              <w:spacing w:before="60" w:after="60"/>
              <w:jc w:val="right"/>
              <w:rPr>
                <w:b/>
                <w:sz w:val="24"/>
                <w:szCs w:val="24"/>
              </w:rPr>
            </w:pPr>
            <w:r>
              <w:rPr>
                <w:b/>
                <w:sz w:val="24"/>
                <w:szCs w:val="24"/>
              </w:rPr>
              <w:t>0</w:t>
            </w:r>
            <w:r w:rsidRPr="004A12C5">
              <w:rPr>
                <w:b/>
                <w:sz w:val="24"/>
                <w:szCs w:val="24"/>
              </w:rPr>
              <w:t xml:space="preserve"> tis. Kč</w:t>
            </w:r>
          </w:p>
        </w:tc>
      </w:tr>
    </w:tbl>
    <w:p w14:paraId="133CC86E" w14:textId="77777777" w:rsidR="00603DE9" w:rsidRPr="006A755F" w:rsidRDefault="00603DE9" w:rsidP="00603DE9">
      <w:pPr>
        <w:pStyle w:val="KOMtext"/>
      </w:pPr>
      <w:r w:rsidRPr="006A755F">
        <w:t xml:space="preserve">V roce 2022 začala implementace projektu technické pomoci CEF2, který má za cíl podporu přípravy a implementace projektů pro CEF2 a dosud běžících projektů CEF 2014–2020, spolupráci v rámci koridorů hlavní sítě TEN-T a nákladních železničních koridorů a podporu automatického sdílení dat v prostředí </w:t>
      </w:r>
      <w:proofErr w:type="spellStart"/>
      <w:r w:rsidRPr="006A755F">
        <w:t>TENtec</w:t>
      </w:r>
      <w:proofErr w:type="spellEnd"/>
      <w:r w:rsidRPr="006A755F">
        <w:t xml:space="preserve">. </w:t>
      </w:r>
    </w:p>
    <w:p w14:paraId="1DE1E381" w14:textId="77777777" w:rsidR="00603DE9" w:rsidRPr="006A755F" w:rsidRDefault="00603DE9" w:rsidP="00603DE9">
      <w:pPr>
        <w:pStyle w:val="KOMtext"/>
      </w:pPr>
      <w:r w:rsidRPr="006A755F">
        <w:t xml:space="preserve">Doba realizace projektu je </w:t>
      </w:r>
      <w:proofErr w:type="gramStart"/>
      <w:r w:rsidRPr="006A755F">
        <w:t>2022 - 2024</w:t>
      </w:r>
      <w:proofErr w:type="gramEnd"/>
      <w:r w:rsidRPr="006A755F">
        <w:t>.</w:t>
      </w:r>
      <w:r>
        <w:t xml:space="preserve"> </w:t>
      </w:r>
      <w:r w:rsidRPr="006A755F">
        <w:t xml:space="preserve">Projekt je financován ze 100 % z EU. </w:t>
      </w:r>
    </w:p>
    <w:p w14:paraId="7DE18089" w14:textId="77777777" w:rsidR="00603DE9" w:rsidRPr="006A755F" w:rsidRDefault="00603DE9" w:rsidP="00603DE9">
      <w:pPr>
        <w:pStyle w:val="KOMtext"/>
      </w:pPr>
      <w:r w:rsidRPr="006A755F">
        <w:t xml:space="preserve">V rámci projektu byly čerpány prostředky na mzdové a související výdaje ve výši </w:t>
      </w:r>
      <w:r>
        <w:t>5 042</w:t>
      </w:r>
      <w:r w:rsidRPr="006A755F">
        <w:t xml:space="preserve"> tis. Kč (pouze EU). Částka ve výši </w:t>
      </w:r>
      <w:r>
        <w:t>470</w:t>
      </w:r>
      <w:r w:rsidRPr="006A755F">
        <w:t xml:space="preserve"> tis. Kč (</w:t>
      </w:r>
      <w:r>
        <w:t>pouze EU</w:t>
      </w:r>
      <w:r w:rsidRPr="006A755F">
        <w:t>) byla použita na cestovné a pohoštění.</w:t>
      </w:r>
    </w:p>
    <w:p w14:paraId="4F0CFC35" w14:textId="77777777" w:rsidR="00603DE9" w:rsidRDefault="00603DE9" w:rsidP="00603DE9">
      <w:pPr>
        <w:pStyle w:val="KOMtext"/>
      </w:pPr>
      <w:r w:rsidRPr="00AE6E78">
        <w:t>Na příjmový účet Ministerstvo dopravy neobdrželo v roce 2023 žádné příjmy</w:t>
      </w:r>
      <w:r w:rsidRPr="00664EA4">
        <w:t>.</w:t>
      </w:r>
    </w:p>
    <w:tbl>
      <w:tblPr>
        <w:tblStyle w:val="Mkatabulky"/>
        <w:tblpPr w:leftFromText="141" w:rightFromText="141" w:vertAnchor="text" w:horzAnchor="margin" w:tblpY="49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E45743" w:rsidRPr="006A755F" w14:paraId="54CBBA20" w14:textId="77777777" w:rsidTr="00E45743">
        <w:trPr>
          <w:trHeight w:val="354"/>
        </w:trPr>
        <w:tc>
          <w:tcPr>
            <w:tcW w:w="4253" w:type="dxa"/>
            <w:gridSpan w:val="2"/>
            <w:vAlign w:val="center"/>
          </w:tcPr>
          <w:p w14:paraId="30186527" w14:textId="77777777" w:rsidR="00E45743" w:rsidRPr="004A12C5" w:rsidRDefault="00E45743" w:rsidP="00E45743">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32ED4DBA" w14:textId="77777777" w:rsidR="00E45743" w:rsidRPr="004A12C5" w:rsidRDefault="00E45743" w:rsidP="00E45743">
            <w:pPr>
              <w:keepNext/>
              <w:keepLines/>
              <w:tabs>
                <w:tab w:val="left" w:pos="3969"/>
              </w:tabs>
              <w:spacing w:before="120" w:after="60"/>
              <w:jc w:val="right"/>
              <w:rPr>
                <w:b/>
                <w:sz w:val="24"/>
                <w:szCs w:val="24"/>
              </w:rPr>
            </w:pPr>
            <w:r>
              <w:rPr>
                <w:b/>
                <w:sz w:val="24"/>
                <w:szCs w:val="24"/>
              </w:rPr>
              <w:t>5</w:t>
            </w:r>
            <w:r w:rsidRPr="004A12C5">
              <w:rPr>
                <w:b/>
                <w:sz w:val="24"/>
                <w:szCs w:val="24"/>
              </w:rPr>
              <w:t xml:space="preserve"> tis. Kč</w:t>
            </w:r>
          </w:p>
        </w:tc>
      </w:tr>
      <w:tr w:rsidR="00E45743" w:rsidRPr="006A755F" w14:paraId="6DC90489" w14:textId="77777777" w:rsidTr="00E45743">
        <w:trPr>
          <w:trHeight w:val="418"/>
        </w:trPr>
        <w:tc>
          <w:tcPr>
            <w:tcW w:w="4253" w:type="dxa"/>
            <w:gridSpan w:val="2"/>
            <w:vAlign w:val="center"/>
          </w:tcPr>
          <w:p w14:paraId="26B04A7F" w14:textId="77777777" w:rsidR="00E45743" w:rsidRPr="004A12C5" w:rsidRDefault="00E45743" w:rsidP="00E45743">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5426C10D" w14:textId="77777777" w:rsidR="00E45743" w:rsidRPr="004A12C5" w:rsidRDefault="00E45743" w:rsidP="00E45743">
            <w:pPr>
              <w:keepNext/>
              <w:keepLines/>
              <w:tabs>
                <w:tab w:val="left" w:pos="3969"/>
              </w:tabs>
              <w:spacing w:before="60" w:after="60"/>
              <w:jc w:val="right"/>
              <w:rPr>
                <w:b/>
                <w:sz w:val="24"/>
                <w:szCs w:val="24"/>
              </w:rPr>
            </w:pPr>
            <w:r>
              <w:rPr>
                <w:b/>
                <w:sz w:val="24"/>
                <w:szCs w:val="24"/>
              </w:rPr>
              <w:t>2,7</w:t>
            </w:r>
            <w:r w:rsidRPr="004A12C5">
              <w:rPr>
                <w:b/>
                <w:sz w:val="24"/>
                <w:szCs w:val="24"/>
              </w:rPr>
              <w:t xml:space="preserve"> tis. Kč</w:t>
            </w:r>
          </w:p>
        </w:tc>
      </w:tr>
      <w:tr w:rsidR="00E45743" w:rsidRPr="006A755F" w14:paraId="400F9DE2" w14:textId="77777777" w:rsidTr="00E45743">
        <w:trPr>
          <w:trHeight w:val="170"/>
        </w:trPr>
        <w:tc>
          <w:tcPr>
            <w:tcW w:w="704" w:type="dxa"/>
            <w:vAlign w:val="center"/>
          </w:tcPr>
          <w:p w14:paraId="53BFDC6D" w14:textId="77777777" w:rsidR="00E45743" w:rsidRPr="004A12C5" w:rsidRDefault="00E45743" w:rsidP="00E45743">
            <w:pPr>
              <w:keepNext/>
              <w:keepLines/>
              <w:tabs>
                <w:tab w:val="left" w:pos="3969"/>
              </w:tabs>
              <w:spacing w:before="60" w:after="60"/>
              <w:rPr>
                <w:b/>
                <w:color w:val="FF0000"/>
                <w:sz w:val="24"/>
                <w:szCs w:val="24"/>
              </w:rPr>
            </w:pPr>
          </w:p>
        </w:tc>
        <w:tc>
          <w:tcPr>
            <w:tcW w:w="3549" w:type="dxa"/>
            <w:vAlign w:val="center"/>
          </w:tcPr>
          <w:p w14:paraId="027827BB" w14:textId="77777777" w:rsidR="00E45743" w:rsidRPr="004A12C5" w:rsidRDefault="00E45743" w:rsidP="00E45743">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5698D426" w14:textId="77777777" w:rsidR="00E45743" w:rsidRPr="004A12C5" w:rsidRDefault="00E45743" w:rsidP="00E45743">
            <w:pPr>
              <w:keepNext/>
              <w:keepLines/>
              <w:tabs>
                <w:tab w:val="left" w:pos="3969"/>
              </w:tabs>
              <w:spacing w:before="60" w:after="60"/>
              <w:jc w:val="right"/>
              <w:rPr>
                <w:b/>
                <w:sz w:val="24"/>
                <w:szCs w:val="24"/>
              </w:rPr>
            </w:pPr>
            <w:r>
              <w:rPr>
                <w:b/>
                <w:sz w:val="24"/>
                <w:szCs w:val="24"/>
              </w:rPr>
              <w:t>2,7</w:t>
            </w:r>
            <w:r w:rsidRPr="004A12C5">
              <w:rPr>
                <w:b/>
                <w:sz w:val="24"/>
                <w:szCs w:val="24"/>
              </w:rPr>
              <w:t xml:space="preserve"> tis. Kč</w:t>
            </w:r>
          </w:p>
        </w:tc>
      </w:tr>
    </w:tbl>
    <w:p w14:paraId="40346195" w14:textId="77777777" w:rsidR="00603DE9" w:rsidRPr="006A755F" w:rsidRDefault="00603DE9" w:rsidP="00E45743">
      <w:pPr>
        <w:pStyle w:val="KOMnadp5"/>
        <w:keepNext w:val="0"/>
        <w:widowControl w:val="0"/>
        <w:ind w:left="714" w:hanging="357"/>
      </w:pPr>
      <w:r>
        <w:t>PROJEKT X4ITS</w:t>
      </w:r>
    </w:p>
    <w:p w14:paraId="6970824F" w14:textId="77777777" w:rsidR="00E45743" w:rsidRDefault="00E45743" w:rsidP="00E45743">
      <w:pPr>
        <w:pStyle w:val="KOMtext"/>
        <w:keepLines w:val="0"/>
      </w:pPr>
    </w:p>
    <w:p w14:paraId="75F9713F" w14:textId="77777777" w:rsidR="00E45743" w:rsidRDefault="00E45743" w:rsidP="00E45743">
      <w:pPr>
        <w:pStyle w:val="KOMtext"/>
        <w:keepLines w:val="0"/>
      </w:pPr>
    </w:p>
    <w:p w14:paraId="4BF1E9FA" w14:textId="1C43F422" w:rsidR="00603DE9" w:rsidRPr="00D034F8" w:rsidRDefault="00603DE9" w:rsidP="00E45743">
      <w:pPr>
        <w:pStyle w:val="KOMtext"/>
        <w:keepLines w:val="0"/>
        <w:rPr>
          <w:highlight w:val="yellow"/>
        </w:rPr>
      </w:pPr>
      <w:r w:rsidRPr="0025764D">
        <w:t>X4ITS sdružuje orgány veřejné moci, města, provozovatele veřejné dopravy, železniční</w:t>
      </w:r>
      <w:r>
        <w:t xml:space="preserve"> </w:t>
      </w:r>
      <w:r>
        <w:br/>
        <w:t>a</w:t>
      </w:r>
      <w:r w:rsidRPr="0025764D">
        <w:t xml:space="preserve"> dodavatelský průmysl, silniční správy a poskytovatele dopravních informačních služeb </w:t>
      </w:r>
      <w:r>
        <w:br/>
      </w:r>
      <w:r w:rsidRPr="0025764D">
        <w:t>z východní a střední Evropy (AT, CZ, HR, HU, RO, SI).</w:t>
      </w:r>
      <w:r>
        <w:t xml:space="preserve"> </w:t>
      </w:r>
      <w:r w:rsidRPr="0025764D">
        <w:t xml:space="preserve">V návaznosti na předchozí </w:t>
      </w:r>
      <w:r>
        <w:t>projekty</w:t>
      </w:r>
      <w:r w:rsidRPr="0025764D">
        <w:t xml:space="preserve"> CROCODILE bude X4ITS pokračovat v práci udržováním dosažených úspěchů a otevíráním nových důležitých oblastí</w:t>
      </w:r>
      <w:r>
        <w:t xml:space="preserve"> ITS a C-ITS. </w:t>
      </w:r>
      <w:r w:rsidRPr="00935CEB">
        <w:t>Projekt umožní</w:t>
      </w:r>
      <w:r>
        <w:t xml:space="preserve"> lepší</w:t>
      </w:r>
      <w:r w:rsidRPr="00935CEB">
        <w:t xml:space="preserve"> řízení dopravy a informační služb</w:t>
      </w:r>
      <w:r>
        <w:t>y</w:t>
      </w:r>
      <w:r w:rsidRPr="00935CEB">
        <w:t xml:space="preserve"> pro cestující. Důležitou roli hraje také detekční systém</w:t>
      </w:r>
      <w:r>
        <w:t>. Mnoho</w:t>
      </w:r>
      <w:r w:rsidRPr="00935CEB">
        <w:t xml:space="preserve"> služeb</w:t>
      </w:r>
      <w:r>
        <w:t xml:space="preserve"> v oblasti</w:t>
      </w:r>
      <w:r w:rsidRPr="00935CEB">
        <w:t xml:space="preserve"> dopravních informací souvisejících s bezpečností je závislých na včasné a přesné detekci mimořádných událostí. X4ITS zahrnuje</w:t>
      </w:r>
      <w:r>
        <w:t xml:space="preserve"> sběr dat z</w:t>
      </w:r>
      <w:r w:rsidRPr="00935CEB">
        <w:t xml:space="preserve"> městských uzlů </w:t>
      </w:r>
      <w:r>
        <w:t xml:space="preserve">a </w:t>
      </w:r>
      <w:r w:rsidRPr="00935CEB">
        <w:t>z provozu koridoru</w:t>
      </w:r>
      <w:r>
        <w:t>. J</w:t>
      </w:r>
      <w:r w:rsidRPr="00935CEB">
        <w:t xml:space="preserve">ejich zpřístupnění </w:t>
      </w:r>
      <w:r w:rsidRPr="00935CEB">
        <w:lastRenderedPageBreak/>
        <w:t>poskytovatelům informačních služeb usnadní širokou škálu služeb ITS a C-ITS.</w:t>
      </w:r>
      <w:r>
        <w:t xml:space="preserve"> </w:t>
      </w:r>
      <w:r w:rsidRPr="0025764D">
        <w:t xml:space="preserve">Implementace se </w:t>
      </w:r>
      <w:proofErr w:type="gramStart"/>
      <w:r w:rsidRPr="0025764D">
        <w:t>zaměří</w:t>
      </w:r>
      <w:proofErr w:type="gramEnd"/>
      <w:r w:rsidRPr="0025764D">
        <w:t xml:space="preserve"> na lepší možnosti sběru, zpracování a přístupu k datům, včetně instalace zařízení, modernizace procesů a vykreslování napojení na Národní přístupové body, zejména pokud jde o napojení na sekundární silniční síť i na (multimodální a/nebo městské) uzly.</w:t>
      </w:r>
    </w:p>
    <w:p w14:paraId="1AAA0732" w14:textId="4F77C806" w:rsidR="00603DE9" w:rsidRPr="00D034F8" w:rsidRDefault="00603DE9" w:rsidP="00603DE9">
      <w:pPr>
        <w:pStyle w:val="KOMtext"/>
        <w:rPr>
          <w:highlight w:val="yellow"/>
        </w:rPr>
      </w:pPr>
      <w:r w:rsidRPr="0085713C">
        <w:t xml:space="preserve">Doba realizace projektu: 1. </w:t>
      </w:r>
      <w:r>
        <w:t>3</w:t>
      </w:r>
      <w:r w:rsidRPr="0085713C">
        <w:t>. 20</w:t>
      </w:r>
      <w:r>
        <w:t>23</w:t>
      </w:r>
      <w:r w:rsidRPr="0085713C">
        <w:t xml:space="preserve"> – </w:t>
      </w:r>
      <w:r>
        <w:t>28. 2</w:t>
      </w:r>
      <w:r w:rsidRPr="0085713C">
        <w:t>. 202</w:t>
      </w:r>
      <w:r>
        <w:t>7</w:t>
      </w:r>
      <w:r w:rsidRPr="00F33DB7">
        <w:t>.</w:t>
      </w:r>
      <w:r>
        <w:t xml:space="preserve"> </w:t>
      </w:r>
      <w:r w:rsidRPr="00F33DB7">
        <w:t xml:space="preserve">Projekt je financován z 50 % z SR a 50 % </w:t>
      </w:r>
      <w:r w:rsidR="00CC659A">
        <w:br/>
      </w:r>
      <w:r w:rsidRPr="00F33DB7">
        <w:t xml:space="preserve">z EU. </w:t>
      </w:r>
    </w:p>
    <w:p w14:paraId="07E2C7CF" w14:textId="77777777" w:rsidR="00603DE9" w:rsidRPr="00094018" w:rsidRDefault="00603DE9" w:rsidP="00603DE9">
      <w:pPr>
        <w:pStyle w:val="KOMtext"/>
      </w:pPr>
      <w:r w:rsidRPr="00094018">
        <w:t xml:space="preserve">V rámci projektu byly čerpány prostředky na cestovné ve výši 5,4 tis. Kč (SR podíl 2,7 tis. Kč </w:t>
      </w:r>
      <w:r>
        <w:br/>
      </w:r>
      <w:r w:rsidRPr="00094018">
        <w:t>a EU podíl 2,7 tis. Kč).</w:t>
      </w:r>
    </w:p>
    <w:p w14:paraId="2217FDFC" w14:textId="77777777" w:rsidR="00603DE9" w:rsidRPr="006A755F" w:rsidRDefault="00603DE9" w:rsidP="00603DE9">
      <w:pPr>
        <w:pStyle w:val="KOMtext"/>
      </w:pPr>
      <w:r w:rsidRPr="00094018">
        <w:t>Na příjmový účet Ministerstvo dopravy neobdrželo v roce 2023 žádné příjmy.</w:t>
      </w:r>
    </w:p>
    <w:p w14:paraId="0D775F5A" w14:textId="77777777" w:rsidR="00603DE9" w:rsidRPr="006A755F" w:rsidRDefault="00603DE9" w:rsidP="008A0E44">
      <w:pPr>
        <w:pStyle w:val="KOMnadp4"/>
      </w:pPr>
      <w:r w:rsidRPr="006A755F">
        <w:t>HORIZONT EVROPA 2021–2027</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603DE9" w:rsidRPr="006A755F" w14:paraId="2BC9F9E5" w14:textId="77777777" w:rsidTr="000D04C0">
        <w:trPr>
          <w:trHeight w:val="354"/>
        </w:trPr>
        <w:tc>
          <w:tcPr>
            <w:tcW w:w="4253" w:type="dxa"/>
            <w:gridSpan w:val="2"/>
            <w:vAlign w:val="center"/>
          </w:tcPr>
          <w:p w14:paraId="3791B904" w14:textId="77777777" w:rsidR="00603DE9" w:rsidRPr="004A12C5" w:rsidRDefault="00603DE9" w:rsidP="000D04C0">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6C73A691" w14:textId="77777777" w:rsidR="00603DE9" w:rsidRPr="004A12C5" w:rsidRDefault="00603DE9" w:rsidP="000D04C0">
            <w:pPr>
              <w:keepNext/>
              <w:keepLines/>
              <w:tabs>
                <w:tab w:val="left" w:pos="3969"/>
              </w:tabs>
              <w:spacing w:before="120" w:after="60"/>
              <w:jc w:val="right"/>
              <w:rPr>
                <w:b/>
                <w:sz w:val="24"/>
                <w:szCs w:val="24"/>
              </w:rPr>
            </w:pPr>
            <w:r w:rsidRPr="004A12C5">
              <w:rPr>
                <w:b/>
                <w:sz w:val="24"/>
                <w:szCs w:val="24"/>
              </w:rPr>
              <w:t>1</w:t>
            </w:r>
            <w:r>
              <w:rPr>
                <w:b/>
                <w:sz w:val="24"/>
                <w:szCs w:val="24"/>
              </w:rPr>
              <w:t>49</w:t>
            </w:r>
            <w:r w:rsidRPr="004A12C5">
              <w:rPr>
                <w:b/>
                <w:sz w:val="24"/>
                <w:szCs w:val="24"/>
              </w:rPr>
              <w:t xml:space="preserve"> tis. Kč</w:t>
            </w:r>
          </w:p>
        </w:tc>
      </w:tr>
      <w:tr w:rsidR="00603DE9" w:rsidRPr="006A755F" w14:paraId="4029F17B" w14:textId="77777777" w:rsidTr="000D04C0">
        <w:trPr>
          <w:trHeight w:val="418"/>
        </w:trPr>
        <w:tc>
          <w:tcPr>
            <w:tcW w:w="4253" w:type="dxa"/>
            <w:gridSpan w:val="2"/>
            <w:vAlign w:val="center"/>
          </w:tcPr>
          <w:p w14:paraId="7E848B59" w14:textId="77777777" w:rsidR="00603DE9" w:rsidRPr="004A12C5" w:rsidRDefault="00603DE9" w:rsidP="000D04C0">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3DE2C846" w14:textId="77777777" w:rsidR="00603DE9" w:rsidRPr="004A12C5" w:rsidRDefault="00603DE9" w:rsidP="000D04C0">
            <w:pPr>
              <w:keepNext/>
              <w:keepLines/>
              <w:tabs>
                <w:tab w:val="left" w:pos="3969"/>
              </w:tabs>
              <w:spacing w:before="60" w:after="60"/>
              <w:jc w:val="right"/>
              <w:rPr>
                <w:b/>
                <w:sz w:val="24"/>
                <w:szCs w:val="24"/>
              </w:rPr>
            </w:pPr>
            <w:r w:rsidRPr="004A12C5">
              <w:rPr>
                <w:b/>
                <w:sz w:val="24"/>
                <w:szCs w:val="24"/>
              </w:rPr>
              <w:t>1</w:t>
            </w:r>
            <w:r>
              <w:rPr>
                <w:b/>
                <w:sz w:val="24"/>
                <w:szCs w:val="24"/>
              </w:rPr>
              <w:t>49</w:t>
            </w:r>
            <w:r w:rsidRPr="004A12C5">
              <w:rPr>
                <w:b/>
                <w:sz w:val="24"/>
                <w:szCs w:val="24"/>
              </w:rPr>
              <w:t xml:space="preserve"> tis. Kč</w:t>
            </w:r>
          </w:p>
        </w:tc>
      </w:tr>
      <w:tr w:rsidR="00603DE9" w:rsidRPr="006A755F" w14:paraId="27D7AD23" w14:textId="77777777" w:rsidTr="000D04C0">
        <w:trPr>
          <w:trHeight w:val="170"/>
        </w:trPr>
        <w:tc>
          <w:tcPr>
            <w:tcW w:w="704" w:type="dxa"/>
            <w:vAlign w:val="center"/>
          </w:tcPr>
          <w:p w14:paraId="2421E389" w14:textId="77777777" w:rsidR="00603DE9" w:rsidRPr="004A12C5" w:rsidRDefault="00603DE9" w:rsidP="000D04C0">
            <w:pPr>
              <w:keepNext/>
              <w:keepLines/>
              <w:tabs>
                <w:tab w:val="left" w:pos="3969"/>
              </w:tabs>
              <w:spacing w:before="60" w:after="60"/>
              <w:rPr>
                <w:b/>
                <w:color w:val="FF0000"/>
                <w:sz w:val="24"/>
                <w:szCs w:val="24"/>
              </w:rPr>
            </w:pPr>
          </w:p>
        </w:tc>
        <w:tc>
          <w:tcPr>
            <w:tcW w:w="3549" w:type="dxa"/>
            <w:vAlign w:val="center"/>
          </w:tcPr>
          <w:p w14:paraId="4322CF2B" w14:textId="77777777" w:rsidR="00603DE9" w:rsidRPr="004A12C5" w:rsidRDefault="00603DE9" w:rsidP="000D04C0">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29727AA4" w14:textId="77777777" w:rsidR="00603DE9" w:rsidRPr="004A12C5" w:rsidRDefault="00603DE9" w:rsidP="000D04C0">
            <w:pPr>
              <w:keepNext/>
              <w:keepLines/>
              <w:tabs>
                <w:tab w:val="left" w:pos="3969"/>
              </w:tabs>
              <w:spacing w:before="60" w:after="60"/>
              <w:jc w:val="right"/>
              <w:rPr>
                <w:b/>
                <w:sz w:val="24"/>
                <w:szCs w:val="24"/>
              </w:rPr>
            </w:pPr>
            <w:r w:rsidRPr="004A12C5">
              <w:rPr>
                <w:b/>
                <w:sz w:val="24"/>
                <w:szCs w:val="24"/>
              </w:rPr>
              <w:t>0 tis. Kč</w:t>
            </w:r>
          </w:p>
        </w:tc>
      </w:tr>
    </w:tbl>
    <w:p w14:paraId="1819DD1A" w14:textId="77777777" w:rsidR="00603DE9" w:rsidRPr="006A755F" w:rsidRDefault="00603DE9" w:rsidP="00603DE9">
      <w:pPr>
        <w:pStyle w:val="KOMtext"/>
      </w:pPr>
      <w:r w:rsidRPr="003340D1">
        <w:t xml:space="preserve">V rámci programu Horizont Evropa, který byl zřízen Nařízením Evropského parlamentu a Rady, kterým se zavádí rámcový program pro výzkum a inovace Horizont Evropa a stanoví pravidla pro účast a šíření výsledků (COM/2018/435 </w:t>
      </w:r>
      <w:proofErr w:type="spellStart"/>
      <w:r w:rsidRPr="003340D1">
        <w:t>final</w:t>
      </w:r>
      <w:proofErr w:type="spellEnd"/>
      <w:r w:rsidRPr="003340D1">
        <w:t xml:space="preserve">) z 7. 6. 2018, je Ministerstvo dopravy zapojeno do projektu FAME (101069898). Projekt FAME (Framework </w:t>
      </w:r>
      <w:proofErr w:type="spellStart"/>
      <w:r w:rsidRPr="003340D1">
        <w:t>for</w:t>
      </w:r>
      <w:proofErr w:type="spellEnd"/>
      <w:r w:rsidRPr="003340D1">
        <w:t xml:space="preserve"> </w:t>
      </w:r>
      <w:proofErr w:type="spellStart"/>
      <w:r w:rsidRPr="003340D1">
        <w:t>coordination</w:t>
      </w:r>
      <w:proofErr w:type="spellEnd"/>
      <w:r w:rsidRPr="003340D1">
        <w:t xml:space="preserve"> </w:t>
      </w:r>
      <w:proofErr w:type="spellStart"/>
      <w:r w:rsidRPr="003340D1">
        <w:t>of</w:t>
      </w:r>
      <w:proofErr w:type="spellEnd"/>
      <w:r w:rsidRPr="003340D1">
        <w:t xml:space="preserve"> </w:t>
      </w:r>
      <w:proofErr w:type="spellStart"/>
      <w:r w:rsidRPr="003340D1">
        <w:t>Automated</w:t>
      </w:r>
      <w:proofErr w:type="spellEnd"/>
      <w:r w:rsidRPr="003340D1">
        <w:t xml:space="preserve"> Mobility in </w:t>
      </w:r>
      <w:proofErr w:type="spellStart"/>
      <w:r w:rsidRPr="003340D1">
        <w:t>Europe</w:t>
      </w:r>
      <w:proofErr w:type="spellEnd"/>
      <w:r w:rsidRPr="003340D1">
        <w:t xml:space="preserve">) byl zahájen dne 1. července 2022 a </w:t>
      </w:r>
      <w:proofErr w:type="gramStart"/>
      <w:r w:rsidRPr="003340D1">
        <w:t>končí</w:t>
      </w:r>
      <w:proofErr w:type="gramEnd"/>
      <w:r w:rsidRPr="003340D1">
        <w:t xml:space="preserve"> 30. června 2025, přičemž Grantová dohoda byla ze strany Evropské komise podepsána 4. června 2022 a ministr dopravy podpis připojil 30. června 2022. Projekt FAME se zaměřuje na vytvoření společného rámce pro testování datově propojené, k</w:t>
      </w:r>
      <w:r>
        <w:t xml:space="preserve"> </w:t>
      </w:r>
      <w:r>
        <w:tab/>
      </w:r>
      <w:proofErr w:type="spellStart"/>
      <w:r w:rsidRPr="003340D1">
        <w:t>ooperativní</w:t>
      </w:r>
      <w:proofErr w:type="spellEnd"/>
      <w:r w:rsidRPr="003340D1">
        <w:t xml:space="preserve"> a automatizované mobility (CCAM). Dále se projekt zaměřuje na vyvinutí data </w:t>
      </w:r>
      <w:proofErr w:type="spellStart"/>
      <w:r w:rsidRPr="003340D1">
        <w:t>space</w:t>
      </w:r>
      <w:proofErr w:type="spellEnd"/>
      <w:r w:rsidRPr="003340D1">
        <w:t xml:space="preserve"> pro testování s cílem vytvořit důvěryhodné sdílení dat mezi různými typy zainteresovaných stran. Mimo to také je cílem spojit zainteresované strany účastnící se evropského partnerství CCAM a rozšířit je o širší evropskou a mezinárodní komunitu pro další rozvoj, sladění a využívání obsahu znalostní báze a vývoj společné metodiky a testovacího rámce.</w:t>
      </w:r>
    </w:p>
    <w:p w14:paraId="3343E991" w14:textId="77777777" w:rsidR="00603DE9" w:rsidRDefault="00603DE9" w:rsidP="00603DE9">
      <w:pPr>
        <w:pStyle w:val="KOMtext"/>
      </w:pPr>
      <w:r w:rsidRPr="006A755F">
        <w:t xml:space="preserve">Projekt je financován 100 % z EU. V rámci projektu byly čerpány prostředky </w:t>
      </w:r>
      <w:r>
        <w:t xml:space="preserve">celkem </w:t>
      </w:r>
      <w:r w:rsidRPr="006A755F">
        <w:t xml:space="preserve">ve výši </w:t>
      </w:r>
      <w:r>
        <w:br/>
      </w:r>
      <w:r w:rsidRPr="00550CB5">
        <w:rPr>
          <w:b/>
          <w:bCs/>
        </w:rPr>
        <w:t>149 tis. Kč</w:t>
      </w:r>
      <w:r>
        <w:t>, z toho nároky 27 tis. Kč</w:t>
      </w:r>
      <w:r w:rsidRPr="006A755F">
        <w:t xml:space="preserve">. </w:t>
      </w:r>
      <w:r>
        <w:t>Částka</w:t>
      </w:r>
      <w:r w:rsidRPr="006A755F">
        <w:t xml:space="preserve"> ve výši </w:t>
      </w:r>
      <w:r>
        <w:t>115</w:t>
      </w:r>
      <w:r w:rsidRPr="006A755F">
        <w:t xml:space="preserve"> tis. Kč</w:t>
      </w:r>
      <w:r>
        <w:t xml:space="preserve"> byla použita na mzdové výdaje včetně příslušenství a částka 34 tis. Kč byla vynaložena na cestovní výdaje.</w:t>
      </w:r>
    </w:p>
    <w:p w14:paraId="4F641F37" w14:textId="77777777" w:rsidR="00603DE9" w:rsidRPr="006A755F" w:rsidRDefault="00603DE9" w:rsidP="00603DE9">
      <w:pPr>
        <w:pStyle w:val="KOMtext"/>
      </w:pPr>
      <w:r w:rsidRPr="006A755F">
        <w:t>Prostředky</w:t>
      </w:r>
      <w:r>
        <w:t xml:space="preserve"> </w:t>
      </w:r>
      <w:r w:rsidRPr="006A755F">
        <w:t>ve</w:t>
      </w:r>
      <w:r>
        <w:t xml:space="preserve"> </w:t>
      </w:r>
      <w:r w:rsidRPr="006A755F">
        <w:t>výši</w:t>
      </w:r>
      <w:r>
        <w:t xml:space="preserve"> </w:t>
      </w:r>
      <w:r>
        <w:rPr>
          <w:b/>
          <w:bCs/>
          <w:iCs/>
        </w:rPr>
        <w:t>1 023 tis.</w:t>
      </w:r>
      <w:r w:rsidRPr="004A12C5">
        <w:rPr>
          <w:b/>
        </w:rPr>
        <w:t xml:space="preserve"> Kč byly v roce 202</w:t>
      </w:r>
      <w:r>
        <w:rPr>
          <w:b/>
        </w:rPr>
        <w:t>3</w:t>
      </w:r>
      <w:r w:rsidRPr="004A12C5">
        <w:rPr>
          <w:b/>
        </w:rPr>
        <w:t xml:space="preserve"> refundovány do příjmů MD.</w:t>
      </w:r>
    </w:p>
    <w:p w14:paraId="4F0E5C05" w14:textId="77777777" w:rsidR="00603DE9" w:rsidRPr="006A755F" w:rsidRDefault="00603DE9" w:rsidP="008A0E44">
      <w:pPr>
        <w:pStyle w:val="KOMnadp4"/>
      </w:pPr>
      <w:r w:rsidRPr="006A755F">
        <w:lastRenderedPageBreak/>
        <w:t>KOSMICKÝ PROGRAM UNIE 2021–2027</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603DE9" w:rsidRPr="006A755F" w14:paraId="00441506" w14:textId="77777777" w:rsidTr="000D04C0">
        <w:trPr>
          <w:trHeight w:val="354"/>
        </w:trPr>
        <w:tc>
          <w:tcPr>
            <w:tcW w:w="4253" w:type="dxa"/>
            <w:gridSpan w:val="2"/>
            <w:vAlign w:val="center"/>
          </w:tcPr>
          <w:p w14:paraId="74ECF9E4" w14:textId="77777777" w:rsidR="00603DE9" w:rsidRPr="004A12C5" w:rsidRDefault="00603DE9" w:rsidP="000D04C0">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423B8402" w14:textId="77777777" w:rsidR="00603DE9" w:rsidRPr="004A12C5" w:rsidRDefault="00603DE9" w:rsidP="000D04C0">
            <w:pPr>
              <w:keepNext/>
              <w:keepLines/>
              <w:tabs>
                <w:tab w:val="left" w:pos="3969"/>
              </w:tabs>
              <w:spacing w:before="120" w:after="60"/>
              <w:jc w:val="right"/>
              <w:rPr>
                <w:b/>
                <w:sz w:val="24"/>
                <w:szCs w:val="24"/>
              </w:rPr>
            </w:pPr>
            <w:r>
              <w:rPr>
                <w:b/>
                <w:sz w:val="24"/>
                <w:szCs w:val="24"/>
              </w:rPr>
              <w:t>319</w:t>
            </w:r>
            <w:r w:rsidRPr="004A12C5">
              <w:rPr>
                <w:b/>
                <w:sz w:val="24"/>
                <w:szCs w:val="24"/>
              </w:rPr>
              <w:t xml:space="preserve"> tis. Kč</w:t>
            </w:r>
          </w:p>
        </w:tc>
      </w:tr>
      <w:tr w:rsidR="00603DE9" w:rsidRPr="006A755F" w14:paraId="49B6E7D0" w14:textId="77777777" w:rsidTr="000D04C0">
        <w:trPr>
          <w:trHeight w:val="418"/>
        </w:trPr>
        <w:tc>
          <w:tcPr>
            <w:tcW w:w="4253" w:type="dxa"/>
            <w:gridSpan w:val="2"/>
            <w:vAlign w:val="center"/>
          </w:tcPr>
          <w:p w14:paraId="4EE747EB" w14:textId="77777777" w:rsidR="00603DE9" w:rsidRPr="004A12C5" w:rsidRDefault="00603DE9" w:rsidP="000D04C0">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19BED9D1" w14:textId="77777777" w:rsidR="00603DE9" w:rsidRPr="004A12C5" w:rsidRDefault="00603DE9" w:rsidP="000D04C0">
            <w:pPr>
              <w:keepNext/>
              <w:keepLines/>
              <w:tabs>
                <w:tab w:val="left" w:pos="3969"/>
              </w:tabs>
              <w:spacing w:before="60" w:after="60"/>
              <w:jc w:val="right"/>
              <w:rPr>
                <w:b/>
                <w:sz w:val="24"/>
                <w:szCs w:val="24"/>
              </w:rPr>
            </w:pPr>
            <w:r>
              <w:rPr>
                <w:b/>
                <w:sz w:val="24"/>
                <w:szCs w:val="24"/>
              </w:rPr>
              <w:t xml:space="preserve">318 </w:t>
            </w:r>
            <w:r w:rsidRPr="004A12C5">
              <w:rPr>
                <w:b/>
                <w:sz w:val="24"/>
                <w:szCs w:val="24"/>
              </w:rPr>
              <w:t>tis. Kč</w:t>
            </w:r>
          </w:p>
        </w:tc>
      </w:tr>
      <w:tr w:rsidR="00603DE9" w:rsidRPr="006A755F" w14:paraId="2B52A4D7" w14:textId="77777777" w:rsidTr="000D04C0">
        <w:trPr>
          <w:trHeight w:val="170"/>
        </w:trPr>
        <w:tc>
          <w:tcPr>
            <w:tcW w:w="704" w:type="dxa"/>
            <w:vAlign w:val="center"/>
          </w:tcPr>
          <w:p w14:paraId="08E7FBF2" w14:textId="77777777" w:rsidR="00603DE9" w:rsidRPr="004A12C5" w:rsidRDefault="00603DE9" w:rsidP="000D04C0">
            <w:pPr>
              <w:keepNext/>
              <w:keepLines/>
              <w:tabs>
                <w:tab w:val="left" w:pos="3969"/>
              </w:tabs>
              <w:spacing w:before="60" w:after="60"/>
              <w:rPr>
                <w:b/>
                <w:color w:val="FF0000"/>
                <w:sz w:val="24"/>
                <w:szCs w:val="24"/>
              </w:rPr>
            </w:pPr>
          </w:p>
        </w:tc>
        <w:tc>
          <w:tcPr>
            <w:tcW w:w="3549" w:type="dxa"/>
            <w:vAlign w:val="center"/>
          </w:tcPr>
          <w:p w14:paraId="46B91D2C" w14:textId="77777777" w:rsidR="00603DE9" w:rsidRPr="004A12C5" w:rsidRDefault="00603DE9" w:rsidP="000D04C0">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46A10BE8" w14:textId="77777777" w:rsidR="00603DE9" w:rsidRPr="004A12C5" w:rsidRDefault="00603DE9" w:rsidP="000D04C0">
            <w:pPr>
              <w:keepNext/>
              <w:keepLines/>
              <w:tabs>
                <w:tab w:val="left" w:pos="3969"/>
              </w:tabs>
              <w:spacing w:before="60" w:after="60"/>
              <w:jc w:val="right"/>
              <w:rPr>
                <w:b/>
                <w:sz w:val="24"/>
                <w:szCs w:val="24"/>
              </w:rPr>
            </w:pPr>
            <w:r>
              <w:rPr>
                <w:b/>
                <w:sz w:val="24"/>
                <w:szCs w:val="24"/>
              </w:rPr>
              <w:t>1</w:t>
            </w:r>
            <w:r w:rsidRPr="004A12C5">
              <w:rPr>
                <w:b/>
                <w:sz w:val="24"/>
                <w:szCs w:val="24"/>
              </w:rPr>
              <w:t xml:space="preserve"> tis. Kč</w:t>
            </w:r>
          </w:p>
        </w:tc>
      </w:tr>
    </w:tbl>
    <w:p w14:paraId="1C8A929E" w14:textId="77777777" w:rsidR="00603DE9" w:rsidRPr="00D30254" w:rsidRDefault="00603DE9" w:rsidP="005F554E">
      <w:pPr>
        <w:pStyle w:val="KOMtext"/>
      </w:pPr>
      <w:r w:rsidRPr="00D30254">
        <w:t xml:space="preserve">Zapojení ČR do EU SST </w:t>
      </w:r>
      <w:proofErr w:type="spellStart"/>
      <w:r w:rsidRPr="00D30254">
        <w:t>Partnership</w:t>
      </w:r>
      <w:proofErr w:type="spellEnd"/>
      <w:r w:rsidRPr="00D30254">
        <w:t xml:space="preserve"> představuje implementaci doporučení č. 44 Národního kosmického plánu 2020-2025, schváleného Vládou ČR dne 14.10 2019. EU SST </w:t>
      </w:r>
      <w:proofErr w:type="spellStart"/>
      <w:r w:rsidRPr="00D30254">
        <w:t>Partnership</w:t>
      </w:r>
      <w:proofErr w:type="spellEnd"/>
      <w:r w:rsidRPr="00D30254">
        <w:t xml:space="preserve"> je integrální součástí nového Kosmického programu EU, schváleného Evropským Parlamentem a Radou v dubnu 2021 a řízeného agenturou EUSPA sídlící v Praze.</w:t>
      </w:r>
    </w:p>
    <w:p w14:paraId="0B2767F5" w14:textId="77777777" w:rsidR="00603DE9" w:rsidRDefault="00603DE9" w:rsidP="00603DE9">
      <w:pPr>
        <w:pStyle w:val="KOMtext"/>
      </w:pPr>
      <w:r w:rsidRPr="00D30254">
        <w:t xml:space="preserve">Obecným cílem EU SST </w:t>
      </w:r>
      <w:proofErr w:type="spellStart"/>
      <w:r w:rsidRPr="00D30254">
        <w:t>Partnership</w:t>
      </w:r>
      <w:proofErr w:type="spellEnd"/>
      <w:r w:rsidRPr="00D30254">
        <w:t xml:space="preserve"> je zajištění dlouhodobého zabezpečení evropských a národních kosmických infrastruktur (tj. i budoucích českých družic) před kosmickou tříští s přesahem ke zvýšení bezpečnosti provozu na oběžných drahách skrze poskytování služby včasného varování před možným vzájemným střetem aktivních družic či jejich ohrožení kosmickou tříští, analýzy rozpadu neaktivních družic při vstupu do zemské atmosféry </w:t>
      </w:r>
      <w:r w:rsidRPr="00D30254">
        <w:br/>
        <w:t>či analýzy fragmentace v případě orbitální srážky.</w:t>
      </w:r>
    </w:p>
    <w:p w14:paraId="01CBCA18" w14:textId="77777777" w:rsidR="00603DE9" w:rsidRDefault="00603DE9" w:rsidP="00603DE9">
      <w:pPr>
        <w:pStyle w:val="KOMtext"/>
      </w:pPr>
      <w:r>
        <w:t>MD má v rámci projektu administrativní roli</w:t>
      </w:r>
      <w:r w:rsidRPr="00C53697">
        <w:t xml:space="preserve"> ustanovujícího národního subjektu</w:t>
      </w:r>
      <w:r>
        <w:t xml:space="preserve"> (</w:t>
      </w:r>
      <w:r w:rsidRPr="00C53697">
        <w:t xml:space="preserve">tzv. CNE – </w:t>
      </w:r>
      <w:proofErr w:type="spellStart"/>
      <w:r w:rsidRPr="00C53697">
        <w:t>C</w:t>
      </w:r>
      <w:r>
        <w:t>onstituting</w:t>
      </w:r>
      <w:proofErr w:type="spellEnd"/>
      <w:r>
        <w:t xml:space="preserve"> </w:t>
      </w:r>
      <w:proofErr w:type="spellStart"/>
      <w:r>
        <w:t>national</w:t>
      </w:r>
      <w:proofErr w:type="spellEnd"/>
      <w:r>
        <w:t xml:space="preserve"> entity), </w:t>
      </w:r>
      <w:r w:rsidRPr="00C53697">
        <w:t xml:space="preserve">technický příspěvek </w:t>
      </w:r>
      <w:r>
        <w:t xml:space="preserve">ČR je pak realizován </w:t>
      </w:r>
      <w:r w:rsidRPr="00C53697">
        <w:t>ve formě senzorických kapacit Hvězdárny a planetária v Teplicích, která je, na základě dřívějších projektů v rámci Evropské kosmické agentury a testovacích a validačních kampaní Konsorcia, jako jediná v ČR validována</w:t>
      </w:r>
      <w:r>
        <w:t xml:space="preserve"> pro monitoring kosmické tříště.</w:t>
      </w:r>
    </w:p>
    <w:p w14:paraId="0214B504" w14:textId="77777777" w:rsidR="00603DE9" w:rsidRDefault="00603DE9" w:rsidP="00603DE9">
      <w:pPr>
        <w:pStyle w:val="KOMtext"/>
      </w:pPr>
      <w:r w:rsidRPr="0085713C">
        <w:t xml:space="preserve">Doba realizace projektu: 1. </w:t>
      </w:r>
      <w:r>
        <w:t>7</w:t>
      </w:r>
      <w:r w:rsidRPr="0085713C">
        <w:t>. 20</w:t>
      </w:r>
      <w:r>
        <w:t>23</w:t>
      </w:r>
      <w:r w:rsidRPr="0085713C">
        <w:t xml:space="preserve"> – 3</w:t>
      </w:r>
      <w:r>
        <w:t>0</w:t>
      </w:r>
      <w:r w:rsidRPr="0085713C">
        <w:t xml:space="preserve">. </w:t>
      </w:r>
      <w:r>
        <w:t>6</w:t>
      </w:r>
      <w:r w:rsidRPr="0085713C">
        <w:t>. 202</w:t>
      </w:r>
      <w:r>
        <w:t>6</w:t>
      </w:r>
      <w:r w:rsidRPr="00197F04">
        <w:t>. Hlavní část projektu je financována 100 %</w:t>
      </w:r>
      <w:r w:rsidRPr="00197F04">
        <w:br/>
        <w:t>z EU.</w:t>
      </w:r>
      <w:r>
        <w:t xml:space="preserve"> </w:t>
      </w:r>
    </w:p>
    <w:p w14:paraId="6F711A11" w14:textId="77777777" w:rsidR="00603DE9" w:rsidRDefault="00603DE9" w:rsidP="00603DE9">
      <w:pPr>
        <w:pStyle w:val="KOMtext"/>
      </w:pPr>
      <w:r w:rsidRPr="006A755F">
        <w:t xml:space="preserve">V rámci projektu byly čerpány prostředky </w:t>
      </w:r>
      <w:r>
        <w:t xml:space="preserve">celkem </w:t>
      </w:r>
      <w:r w:rsidRPr="006A755F">
        <w:t>ve výši</w:t>
      </w:r>
      <w:r>
        <w:t xml:space="preserve"> </w:t>
      </w:r>
      <w:r>
        <w:rPr>
          <w:b/>
          <w:bCs/>
        </w:rPr>
        <w:t>31</w:t>
      </w:r>
      <w:r w:rsidRPr="00550CB5">
        <w:rPr>
          <w:b/>
          <w:bCs/>
        </w:rPr>
        <w:t>9 tis. Kč</w:t>
      </w:r>
      <w:r w:rsidRPr="006A755F">
        <w:t xml:space="preserve">. </w:t>
      </w:r>
      <w:r>
        <w:t>Částka</w:t>
      </w:r>
      <w:r w:rsidRPr="006A755F">
        <w:t xml:space="preserve"> ve výši </w:t>
      </w:r>
      <w:r>
        <w:t>296</w:t>
      </w:r>
      <w:r w:rsidRPr="006A755F">
        <w:t xml:space="preserve"> tis. Kč</w:t>
      </w:r>
      <w:r>
        <w:t xml:space="preserve"> byla použita na mzdové výdaje včetně příslušenství a částka 23 tis. Kč byla vynaložena na cestovní výdaje.</w:t>
      </w:r>
    </w:p>
    <w:p w14:paraId="6D527138" w14:textId="61AC3B46" w:rsidR="00335E16" w:rsidRPr="0077128B" w:rsidRDefault="00603DE9" w:rsidP="00BA4E5A">
      <w:pPr>
        <w:pStyle w:val="KOMtext"/>
        <w:rPr>
          <w:color w:val="FF0000"/>
        </w:rPr>
      </w:pPr>
      <w:r w:rsidRPr="00AE6E78">
        <w:t>Na příjmový účet Ministerstvo dopravy neobdrželo v roce 2023 žádné příjmy.</w:t>
      </w:r>
      <w:bookmarkEnd w:id="180"/>
    </w:p>
    <w:p w14:paraId="11683A0C" w14:textId="78AB8F6E" w:rsidR="00335E16" w:rsidRPr="0077128B" w:rsidRDefault="00335E16" w:rsidP="00E20BD6">
      <w:pPr>
        <w:pStyle w:val="KOMnadp3"/>
        <w:rPr>
          <w:color w:val="FF0000"/>
        </w:rPr>
      </w:pPr>
      <w:bookmarkStart w:id="325" w:name="_Toc162269257"/>
      <w:r w:rsidRPr="006B6D61">
        <w:lastRenderedPageBreak/>
        <w:t>Nástroj pro oživení a odolnost (</w:t>
      </w:r>
      <w:proofErr w:type="spellStart"/>
      <w:r w:rsidRPr="006B6D61">
        <w:t>Recovery</w:t>
      </w:r>
      <w:proofErr w:type="spellEnd"/>
      <w:r w:rsidRPr="006B6D61">
        <w:t xml:space="preserve"> and </w:t>
      </w:r>
      <w:proofErr w:type="spellStart"/>
      <w:r w:rsidRPr="006B6D61">
        <w:t>Resilience</w:t>
      </w:r>
      <w:proofErr w:type="spellEnd"/>
      <w:r w:rsidRPr="006B6D61">
        <w:t xml:space="preserve"> Facility – RRF)</w:t>
      </w:r>
      <w:bookmarkEnd w:id="325"/>
    </w:p>
    <w:tbl>
      <w:tblPr>
        <w:tblStyle w:val="Mkatabulky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8F575B" w:rsidRPr="004A12C5" w14:paraId="6CC25E51" w14:textId="77777777" w:rsidTr="008F575B">
        <w:trPr>
          <w:trHeight w:val="354"/>
        </w:trPr>
        <w:tc>
          <w:tcPr>
            <w:tcW w:w="4253" w:type="dxa"/>
            <w:gridSpan w:val="2"/>
            <w:vAlign w:val="center"/>
          </w:tcPr>
          <w:p w14:paraId="577511D6" w14:textId="77777777" w:rsidR="008F575B" w:rsidRPr="004A12C5" w:rsidRDefault="008F575B" w:rsidP="008F575B">
            <w:pPr>
              <w:keepNext/>
              <w:keepLines/>
              <w:tabs>
                <w:tab w:val="left" w:pos="3969"/>
              </w:tabs>
              <w:spacing w:before="120" w:after="60"/>
              <w:rPr>
                <w:b/>
                <w:sz w:val="24"/>
                <w:szCs w:val="24"/>
              </w:rPr>
            </w:pPr>
            <w:r w:rsidRPr="004A12C5">
              <w:rPr>
                <w:b/>
                <w:sz w:val="24"/>
                <w:szCs w:val="24"/>
              </w:rPr>
              <w:t>Skutečné čerpání za rok 202</w:t>
            </w:r>
            <w:r>
              <w:rPr>
                <w:b/>
                <w:sz w:val="24"/>
                <w:szCs w:val="24"/>
              </w:rPr>
              <w:t>3</w:t>
            </w:r>
            <w:r w:rsidRPr="004A12C5">
              <w:rPr>
                <w:b/>
                <w:sz w:val="24"/>
                <w:szCs w:val="24"/>
              </w:rPr>
              <w:t>:</w:t>
            </w:r>
          </w:p>
        </w:tc>
        <w:tc>
          <w:tcPr>
            <w:tcW w:w="2126" w:type="dxa"/>
            <w:vAlign w:val="center"/>
          </w:tcPr>
          <w:p w14:paraId="413A1848" w14:textId="77777777" w:rsidR="008F575B" w:rsidRPr="004A12C5" w:rsidRDefault="008F575B" w:rsidP="008F575B">
            <w:pPr>
              <w:keepNext/>
              <w:keepLines/>
              <w:tabs>
                <w:tab w:val="left" w:pos="3969"/>
              </w:tabs>
              <w:spacing w:before="120" w:after="60"/>
              <w:jc w:val="right"/>
              <w:rPr>
                <w:b/>
                <w:sz w:val="24"/>
                <w:szCs w:val="24"/>
              </w:rPr>
            </w:pPr>
            <w:r>
              <w:rPr>
                <w:b/>
                <w:sz w:val="24"/>
                <w:szCs w:val="24"/>
              </w:rPr>
              <w:t>4 170 228</w:t>
            </w:r>
            <w:r w:rsidRPr="004A12C5">
              <w:rPr>
                <w:b/>
                <w:sz w:val="24"/>
                <w:szCs w:val="24"/>
              </w:rPr>
              <w:t xml:space="preserve"> tis. Kč</w:t>
            </w:r>
          </w:p>
        </w:tc>
      </w:tr>
      <w:tr w:rsidR="008F575B" w:rsidRPr="004A12C5" w14:paraId="7B45D5CF" w14:textId="77777777" w:rsidTr="008F575B">
        <w:trPr>
          <w:trHeight w:val="418"/>
        </w:trPr>
        <w:tc>
          <w:tcPr>
            <w:tcW w:w="4253" w:type="dxa"/>
            <w:gridSpan w:val="2"/>
            <w:vAlign w:val="center"/>
          </w:tcPr>
          <w:p w14:paraId="77A9334C" w14:textId="77777777" w:rsidR="008F575B" w:rsidRPr="004A12C5" w:rsidRDefault="008F575B" w:rsidP="008F575B">
            <w:pPr>
              <w:keepNext/>
              <w:keepLines/>
              <w:tabs>
                <w:tab w:val="left" w:pos="3969"/>
              </w:tabs>
              <w:spacing w:before="60" w:after="60"/>
              <w:rPr>
                <w:b/>
                <w:sz w:val="24"/>
                <w:szCs w:val="24"/>
              </w:rPr>
            </w:pPr>
            <w:r w:rsidRPr="004A12C5">
              <w:rPr>
                <w:b/>
                <w:sz w:val="24"/>
                <w:szCs w:val="24"/>
              </w:rPr>
              <w:t>v tom: krytí příjmem z rozpočtu EU:</w:t>
            </w:r>
          </w:p>
        </w:tc>
        <w:tc>
          <w:tcPr>
            <w:tcW w:w="2126" w:type="dxa"/>
            <w:vAlign w:val="center"/>
          </w:tcPr>
          <w:p w14:paraId="3121DDC7" w14:textId="77777777" w:rsidR="008F575B" w:rsidRPr="004A12C5" w:rsidRDefault="008F575B" w:rsidP="008F575B">
            <w:pPr>
              <w:keepNext/>
              <w:keepLines/>
              <w:tabs>
                <w:tab w:val="left" w:pos="3969"/>
              </w:tabs>
              <w:spacing w:before="60" w:after="60"/>
              <w:jc w:val="right"/>
              <w:rPr>
                <w:b/>
                <w:sz w:val="24"/>
                <w:szCs w:val="24"/>
              </w:rPr>
            </w:pPr>
            <w:r>
              <w:rPr>
                <w:b/>
                <w:sz w:val="24"/>
                <w:szCs w:val="24"/>
              </w:rPr>
              <w:t>4 168 455</w:t>
            </w:r>
            <w:r w:rsidRPr="004A12C5">
              <w:rPr>
                <w:b/>
                <w:sz w:val="24"/>
                <w:szCs w:val="24"/>
              </w:rPr>
              <w:t xml:space="preserve"> tis. Kč</w:t>
            </w:r>
          </w:p>
        </w:tc>
      </w:tr>
      <w:tr w:rsidR="008F575B" w:rsidRPr="004A12C5" w14:paraId="7CB27536" w14:textId="77777777" w:rsidTr="008F575B">
        <w:trPr>
          <w:trHeight w:val="170"/>
        </w:trPr>
        <w:tc>
          <w:tcPr>
            <w:tcW w:w="704" w:type="dxa"/>
            <w:vAlign w:val="center"/>
          </w:tcPr>
          <w:p w14:paraId="41286115" w14:textId="77777777" w:rsidR="008F575B" w:rsidRPr="004A12C5" w:rsidRDefault="008F575B" w:rsidP="008F575B">
            <w:pPr>
              <w:keepNext/>
              <w:keepLines/>
              <w:tabs>
                <w:tab w:val="left" w:pos="3969"/>
              </w:tabs>
              <w:spacing w:before="60" w:after="60"/>
              <w:rPr>
                <w:b/>
                <w:sz w:val="24"/>
                <w:szCs w:val="24"/>
              </w:rPr>
            </w:pPr>
          </w:p>
        </w:tc>
        <w:tc>
          <w:tcPr>
            <w:tcW w:w="3549" w:type="dxa"/>
            <w:vAlign w:val="center"/>
          </w:tcPr>
          <w:p w14:paraId="45213846" w14:textId="77777777" w:rsidR="008F575B" w:rsidRPr="004A12C5" w:rsidRDefault="008F575B" w:rsidP="008F575B">
            <w:pPr>
              <w:keepNext/>
              <w:keepLines/>
              <w:tabs>
                <w:tab w:val="left" w:pos="3969"/>
              </w:tabs>
              <w:spacing w:before="60" w:after="60"/>
              <w:rPr>
                <w:b/>
                <w:sz w:val="24"/>
                <w:szCs w:val="24"/>
              </w:rPr>
            </w:pPr>
            <w:r w:rsidRPr="004A12C5">
              <w:rPr>
                <w:b/>
                <w:sz w:val="24"/>
                <w:szCs w:val="24"/>
              </w:rPr>
              <w:t>spolufinancování ze SR:</w:t>
            </w:r>
          </w:p>
        </w:tc>
        <w:tc>
          <w:tcPr>
            <w:tcW w:w="2126" w:type="dxa"/>
            <w:vAlign w:val="center"/>
          </w:tcPr>
          <w:p w14:paraId="2678A082" w14:textId="77777777" w:rsidR="008F575B" w:rsidRPr="004A12C5" w:rsidRDefault="008F575B" w:rsidP="008F575B">
            <w:pPr>
              <w:keepNext/>
              <w:keepLines/>
              <w:tabs>
                <w:tab w:val="left" w:pos="3969"/>
              </w:tabs>
              <w:spacing w:before="60" w:after="60"/>
              <w:jc w:val="right"/>
              <w:rPr>
                <w:b/>
                <w:sz w:val="24"/>
                <w:szCs w:val="24"/>
              </w:rPr>
            </w:pPr>
            <w:r>
              <w:rPr>
                <w:b/>
                <w:sz w:val="24"/>
                <w:szCs w:val="24"/>
              </w:rPr>
              <w:t>1 773</w:t>
            </w:r>
            <w:r w:rsidRPr="004A12C5">
              <w:rPr>
                <w:b/>
                <w:sz w:val="24"/>
                <w:szCs w:val="24"/>
              </w:rPr>
              <w:t xml:space="preserve"> tis. Kč</w:t>
            </w:r>
          </w:p>
        </w:tc>
      </w:tr>
    </w:tbl>
    <w:p w14:paraId="62B6DA7E" w14:textId="6BF5EE13" w:rsidR="007C1935" w:rsidRPr="006A755F" w:rsidRDefault="00335E16" w:rsidP="007C1935">
      <w:pPr>
        <w:pStyle w:val="KOMtext"/>
      </w:pPr>
      <w:r w:rsidRPr="006A755F">
        <w:t>Nástroj pro oživení a odolnost (</w:t>
      </w:r>
      <w:proofErr w:type="spellStart"/>
      <w:r w:rsidRPr="006A755F">
        <w:rPr>
          <w:i/>
        </w:rPr>
        <w:t>Recovery</w:t>
      </w:r>
      <w:proofErr w:type="spellEnd"/>
      <w:r w:rsidRPr="006A755F">
        <w:rPr>
          <w:i/>
        </w:rPr>
        <w:t xml:space="preserve"> and </w:t>
      </w:r>
      <w:proofErr w:type="spellStart"/>
      <w:r w:rsidRPr="006A755F">
        <w:rPr>
          <w:i/>
        </w:rPr>
        <w:t>Resilience</w:t>
      </w:r>
      <w:proofErr w:type="spellEnd"/>
      <w:r w:rsidRPr="006A755F">
        <w:rPr>
          <w:i/>
        </w:rPr>
        <w:t xml:space="preserve"> Facility, RRF</w:t>
      </w:r>
      <w:r w:rsidRPr="006A755F">
        <w:t xml:space="preserve">) je nový nástroj EU, který vznikl v návaznosti na </w:t>
      </w:r>
      <w:proofErr w:type="spellStart"/>
      <w:r w:rsidRPr="006A755F">
        <w:t>koronavirovou</w:t>
      </w:r>
      <w:proofErr w:type="spellEnd"/>
      <w:r w:rsidRPr="006A755F">
        <w:t xml:space="preserve"> krizi v roce 2020. Jedná se o klíčový nástroj obnovy, která zahrnuje prostředky na obnovu ekonomiky a na zelenou a digitální transformaci. Národní plán obnovy byl schválen usnesením vlády ČR č. 467 dne 17. 5. 2021 a následně 19. 7. </w:t>
      </w:r>
      <w:r w:rsidR="007C1935">
        <w:t xml:space="preserve">2021 </w:t>
      </w:r>
      <w:r w:rsidR="007C1935">
        <w:tab/>
      </w:r>
      <w:r w:rsidRPr="006A755F">
        <w:t>také Evropskou komisí.</w:t>
      </w:r>
    </w:p>
    <w:p w14:paraId="1BE9084A" w14:textId="012DCDFC" w:rsidR="007C1935" w:rsidRPr="006A755F" w:rsidRDefault="007C1935" w:rsidP="007C1935">
      <w:pPr>
        <w:pStyle w:val="KOMtext"/>
      </w:pPr>
      <w:r w:rsidRPr="0084663D">
        <w:t>Ministerstvo dopravy je v Národním plánu obnovy (NPO) vlastníkem </w:t>
      </w:r>
      <w:r w:rsidRPr="0084663D">
        <w:rPr>
          <w:b/>
          <w:bCs/>
        </w:rPr>
        <w:t>komponenty 2.1 Udržitelná doprava</w:t>
      </w:r>
      <w:r w:rsidRPr="0084663D">
        <w:t> a společně s Ministerstvem životního prostředí a Ministerstvem průmyslu a obchodu spoluvlastníkem </w:t>
      </w:r>
      <w:r w:rsidRPr="0084663D">
        <w:rPr>
          <w:b/>
          <w:bCs/>
        </w:rPr>
        <w:t>komponenty 2.4 Čistá mobilita</w:t>
      </w:r>
      <w:r w:rsidRPr="0084663D">
        <w:t>, které jsou součástí druhého pilíře </w:t>
      </w:r>
      <w:r w:rsidRPr="0084663D">
        <w:rPr>
          <w:b/>
          <w:bCs/>
        </w:rPr>
        <w:t>Fyzická infrastruktura a zelená tranzice</w:t>
      </w:r>
      <w:r w:rsidRPr="0084663D">
        <w:t>, na nějž je z celkového rozpočtu vyčleněno 85,182 mld. Kč.</w:t>
      </w:r>
      <w:r>
        <w:t xml:space="preserve"> Dále Ministerstvo dopravy realizuje projekty v rámci </w:t>
      </w:r>
      <w:r w:rsidRPr="0081741C">
        <w:rPr>
          <w:b/>
          <w:bCs/>
        </w:rPr>
        <w:t>komponenty 4.1 Systémová podpora investic</w:t>
      </w:r>
      <w:r>
        <w:t xml:space="preserve"> a </w:t>
      </w:r>
      <w:r w:rsidRPr="0081741C">
        <w:rPr>
          <w:b/>
          <w:bCs/>
        </w:rPr>
        <w:t>komponenty 7.6 Elektrizace železniční dopravy</w:t>
      </w:r>
      <w:r>
        <w:t xml:space="preserve">. Dopravní </w:t>
      </w:r>
      <w:r w:rsidR="007B2574">
        <w:br/>
      </w:r>
      <w:r>
        <w:t xml:space="preserve">a energetický stavební úřad realizuje projekty v rámci </w:t>
      </w:r>
      <w:r w:rsidRPr="0081741C">
        <w:rPr>
          <w:b/>
          <w:bCs/>
        </w:rPr>
        <w:t>komponenty 1.6 Zrychlení a digitalizace stavebního řízení</w:t>
      </w:r>
      <w:r>
        <w:t>.</w:t>
      </w:r>
    </w:p>
    <w:p w14:paraId="55EFC3AA" w14:textId="77777777" w:rsidR="007C1935" w:rsidRDefault="007C1935" w:rsidP="008A0E44">
      <w:pPr>
        <w:pStyle w:val="KOMnadp4"/>
      </w:pPr>
      <w:r w:rsidRPr="006A755F">
        <w:t xml:space="preserve">Komponenta </w:t>
      </w:r>
      <w:r>
        <w:t>1.6</w:t>
      </w:r>
      <w:r w:rsidRPr="006A755F">
        <w:t xml:space="preserve"> – </w:t>
      </w:r>
      <w:r>
        <w:t>Zrychlení a digitalizace stavebního řízení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7C1935" w:rsidRPr="004A12C5" w14:paraId="12E3F63D" w14:textId="77777777" w:rsidTr="00381EB9">
        <w:trPr>
          <w:trHeight w:val="354"/>
        </w:trPr>
        <w:tc>
          <w:tcPr>
            <w:tcW w:w="4253" w:type="dxa"/>
            <w:gridSpan w:val="2"/>
            <w:shd w:val="clear" w:color="auto" w:fill="auto"/>
            <w:vAlign w:val="center"/>
          </w:tcPr>
          <w:p w14:paraId="6A324738" w14:textId="77777777" w:rsidR="007C1935" w:rsidRPr="004A12C5" w:rsidRDefault="007C1935" w:rsidP="00381EB9">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25E30FDA" w14:textId="77777777" w:rsidR="007C1935" w:rsidRPr="004A12C5" w:rsidRDefault="007C1935" w:rsidP="00381EB9">
            <w:pPr>
              <w:keepNext/>
              <w:keepLines/>
              <w:tabs>
                <w:tab w:val="left" w:pos="3969"/>
              </w:tabs>
              <w:spacing w:before="120" w:after="60"/>
              <w:jc w:val="right"/>
              <w:rPr>
                <w:b/>
                <w:color w:val="000000" w:themeColor="text1"/>
                <w:sz w:val="24"/>
                <w:szCs w:val="24"/>
              </w:rPr>
            </w:pPr>
            <w:r>
              <w:rPr>
                <w:b/>
                <w:bCs/>
                <w:color w:val="000000" w:themeColor="text1"/>
                <w:sz w:val="24"/>
                <w:szCs w:val="24"/>
              </w:rPr>
              <w:t>10 336</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5AAB96E9" w14:textId="77777777" w:rsidTr="00381EB9">
        <w:trPr>
          <w:trHeight w:val="418"/>
        </w:trPr>
        <w:tc>
          <w:tcPr>
            <w:tcW w:w="4253" w:type="dxa"/>
            <w:gridSpan w:val="2"/>
            <w:shd w:val="clear" w:color="auto" w:fill="auto"/>
            <w:vAlign w:val="center"/>
          </w:tcPr>
          <w:p w14:paraId="4E6A460B"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5E0E0390" w14:textId="77777777" w:rsidR="007C1935" w:rsidRPr="004A12C5" w:rsidRDefault="007C1935" w:rsidP="00381EB9">
            <w:pPr>
              <w:keepNext/>
              <w:keepLines/>
              <w:tabs>
                <w:tab w:val="left" w:pos="3969"/>
              </w:tabs>
              <w:spacing w:before="60" w:after="60"/>
              <w:jc w:val="right"/>
              <w:rPr>
                <w:b/>
                <w:color w:val="000000" w:themeColor="text1"/>
                <w:sz w:val="24"/>
                <w:szCs w:val="24"/>
              </w:rPr>
            </w:pPr>
            <w:r>
              <w:rPr>
                <w:b/>
                <w:bCs/>
                <w:color w:val="000000" w:themeColor="text1"/>
                <w:sz w:val="24"/>
                <w:szCs w:val="24"/>
              </w:rPr>
              <w:t>8 563</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2C3616FE" w14:textId="77777777" w:rsidTr="00381EB9">
        <w:trPr>
          <w:trHeight w:val="170"/>
        </w:trPr>
        <w:tc>
          <w:tcPr>
            <w:tcW w:w="704" w:type="dxa"/>
            <w:shd w:val="clear" w:color="auto" w:fill="auto"/>
            <w:vAlign w:val="center"/>
          </w:tcPr>
          <w:p w14:paraId="03C93C32" w14:textId="77777777" w:rsidR="007C1935" w:rsidRPr="004A12C5" w:rsidRDefault="007C1935" w:rsidP="00381EB9">
            <w:pPr>
              <w:keepNext/>
              <w:keepLines/>
              <w:tabs>
                <w:tab w:val="left" w:pos="3969"/>
              </w:tabs>
              <w:spacing w:before="60" w:after="60"/>
              <w:rPr>
                <w:b/>
                <w:color w:val="000000" w:themeColor="text1"/>
                <w:sz w:val="24"/>
                <w:szCs w:val="24"/>
              </w:rPr>
            </w:pPr>
          </w:p>
        </w:tc>
        <w:tc>
          <w:tcPr>
            <w:tcW w:w="3549" w:type="dxa"/>
            <w:shd w:val="clear" w:color="auto" w:fill="auto"/>
            <w:vAlign w:val="center"/>
          </w:tcPr>
          <w:p w14:paraId="5A16EB95"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3C588D6B" w14:textId="77777777" w:rsidR="007C1935" w:rsidRPr="004A12C5" w:rsidRDefault="007C1935" w:rsidP="00381EB9">
            <w:pPr>
              <w:keepNext/>
              <w:keepLines/>
              <w:tabs>
                <w:tab w:val="left" w:pos="3969"/>
              </w:tabs>
              <w:spacing w:before="60" w:after="60"/>
              <w:jc w:val="right"/>
              <w:rPr>
                <w:b/>
                <w:color w:val="000000" w:themeColor="text1"/>
                <w:sz w:val="24"/>
                <w:szCs w:val="24"/>
              </w:rPr>
            </w:pPr>
            <w:r>
              <w:rPr>
                <w:b/>
                <w:color w:val="000000" w:themeColor="text1"/>
                <w:sz w:val="24"/>
                <w:szCs w:val="24"/>
              </w:rPr>
              <w:t>1 773</w:t>
            </w:r>
            <w:r w:rsidRPr="004A12C5">
              <w:rPr>
                <w:b/>
                <w:color w:val="000000" w:themeColor="text1"/>
                <w:sz w:val="24"/>
                <w:szCs w:val="24"/>
              </w:rPr>
              <w:t xml:space="preserve"> tis. Kč</w:t>
            </w:r>
          </w:p>
        </w:tc>
      </w:tr>
    </w:tbl>
    <w:p w14:paraId="321CCEF0" w14:textId="77777777" w:rsidR="007C1935" w:rsidRDefault="007C1935" w:rsidP="000625E8">
      <w:pPr>
        <w:pStyle w:val="KOMtext"/>
        <w:rPr>
          <w:b/>
        </w:rPr>
      </w:pPr>
      <w:r>
        <w:t>Cílem komponenty 1.6 je zavedení nového stavebního zákona do praxe. Reforma spočívá v institucionálních a procesních změnách a má přinést vysoký stupeň digitalizace. Z</w:t>
      </w:r>
      <w:r w:rsidRPr="003D10BC">
        <w:t>ahrnuje vytvoření potřebných informačních systémů, zajištění migrace dat do nových informačních systémů a konsolidace dat spočívající ve vybudování databáze územně analytických podkladů v jednotném standardu pro zajištění potřeb veřejné správy.</w:t>
      </w:r>
      <w:r>
        <w:t xml:space="preserve"> V kapitole 327 MD se jedná konkrétně o projekty zaměřené na vytvoření a vybavení Dopravního a energetického stavebního úřadu.</w:t>
      </w:r>
    </w:p>
    <w:p w14:paraId="163B9DAA" w14:textId="77777777" w:rsidR="007C1935" w:rsidRPr="006B6B8D" w:rsidRDefault="007C1935" w:rsidP="000625E8">
      <w:pPr>
        <w:pStyle w:val="KOMtext"/>
        <w:rPr>
          <w:b/>
        </w:rPr>
      </w:pPr>
      <w:r>
        <w:t>Výdaje komponenty bez DPH jsou</w:t>
      </w:r>
      <w:r w:rsidRPr="003F4F1E">
        <w:t xml:space="preserve"> financován</w:t>
      </w:r>
      <w:r>
        <w:t>y</w:t>
      </w:r>
      <w:r w:rsidRPr="003F4F1E">
        <w:t xml:space="preserve"> 100 % z</w:t>
      </w:r>
      <w:r>
        <w:t> </w:t>
      </w:r>
      <w:r w:rsidRPr="003F4F1E">
        <w:t>EU</w:t>
      </w:r>
      <w:r>
        <w:t>. Výše DPH se považuje za podíl SR</w:t>
      </w:r>
      <w:r w:rsidRPr="003F4F1E">
        <w:t xml:space="preserve">. V rámci </w:t>
      </w:r>
      <w:r>
        <w:t>komponenty</w:t>
      </w:r>
      <w:r w:rsidRPr="003F4F1E">
        <w:t xml:space="preserve"> byly čerpány prostředky celkem ve výši </w:t>
      </w:r>
      <w:r>
        <w:t>10 336</w:t>
      </w:r>
      <w:r w:rsidRPr="003F4F1E">
        <w:t xml:space="preserve"> tis. Kč,</w:t>
      </w:r>
      <w:r>
        <w:t xml:space="preserve"> které byly použity na </w:t>
      </w:r>
      <w:r w:rsidRPr="000C54D2">
        <w:t>počáteční rozvoj materiální a technické základny</w:t>
      </w:r>
      <w:r>
        <w:t xml:space="preserve"> Dopravního a energetického stavebního úřadu, který vznikl k 1. červenci 2023. Konkrétně se jednalo zejména o pořízení ekonomického informačního systému, prvotní výpočetní techniky. Dále byly prostředky použity služby.</w:t>
      </w:r>
    </w:p>
    <w:p w14:paraId="081C3962" w14:textId="77777777" w:rsidR="007C1935" w:rsidRPr="006A755F" w:rsidRDefault="007C1935" w:rsidP="008A0E44">
      <w:pPr>
        <w:pStyle w:val="KOMnadp4"/>
      </w:pPr>
      <w:r w:rsidRPr="006A755F">
        <w:lastRenderedPageBreak/>
        <w:t>Komponenta 2.1 – Udržitelná doprava</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7C1935" w:rsidRPr="004A12C5" w14:paraId="1712534B" w14:textId="77777777" w:rsidTr="00381EB9">
        <w:trPr>
          <w:trHeight w:val="354"/>
        </w:trPr>
        <w:tc>
          <w:tcPr>
            <w:tcW w:w="4253" w:type="dxa"/>
            <w:gridSpan w:val="2"/>
            <w:shd w:val="clear" w:color="auto" w:fill="auto"/>
            <w:vAlign w:val="center"/>
          </w:tcPr>
          <w:p w14:paraId="3DD2280A" w14:textId="77777777" w:rsidR="007C1935" w:rsidRPr="004A12C5" w:rsidRDefault="007C1935" w:rsidP="00381EB9">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4256CD64" w14:textId="77777777" w:rsidR="007C1935" w:rsidRPr="004A12C5" w:rsidRDefault="007C1935" w:rsidP="00381EB9">
            <w:pPr>
              <w:keepNext/>
              <w:keepLines/>
              <w:tabs>
                <w:tab w:val="left" w:pos="3969"/>
              </w:tabs>
              <w:spacing w:before="120" w:after="60"/>
              <w:jc w:val="right"/>
              <w:rPr>
                <w:b/>
                <w:color w:val="000000" w:themeColor="text1"/>
                <w:sz w:val="24"/>
                <w:szCs w:val="24"/>
              </w:rPr>
            </w:pPr>
            <w:r>
              <w:rPr>
                <w:b/>
                <w:bCs/>
                <w:color w:val="000000" w:themeColor="text1"/>
                <w:sz w:val="24"/>
                <w:szCs w:val="24"/>
              </w:rPr>
              <w:t>3 683 754</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11389A98" w14:textId="77777777" w:rsidTr="00381EB9">
        <w:trPr>
          <w:trHeight w:val="418"/>
        </w:trPr>
        <w:tc>
          <w:tcPr>
            <w:tcW w:w="4253" w:type="dxa"/>
            <w:gridSpan w:val="2"/>
            <w:shd w:val="clear" w:color="auto" w:fill="auto"/>
            <w:vAlign w:val="center"/>
          </w:tcPr>
          <w:p w14:paraId="35120F2E"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10DD34A0" w14:textId="77777777" w:rsidR="007C1935" w:rsidRPr="004A12C5" w:rsidRDefault="007C1935" w:rsidP="00381EB9">
            <w:pPr>
              <w:keepNext/>
              <w:keepLines/>
              <w:tabs>
                <w:tab w:val="left" w:pos="3969"/>
              </w:tabs>
              <w:spacing w:before="60" w:after="60"/>
              <w:jc w:val="right"/>
              <w:rPr>
                <w:b/>
                <w:color w:val="000000" w:themeColor="text1"/>
                <w:sz w:val="24"/>
                <w:szCs w:val="24"/>
              </w:rPr>
            </w:pPr>
            <w:r>
              <w:rPr>
                <w:b/>
                <w:bCs/>
                <w:color w:val="000000" w:themeColor="text1"/>
                <w:sz w:val="24"/>
                <w:szCs w:val="24"/>
              </w:rPr>
              <w:t>3 683 754</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7DBD17B3" w14:textId="77777777" w:rsidTr="00381EB9">
        <w:trPr>
          <w:trHeight w:val="170"/>
        </w:trPr>
        <w:tc>
          <w:tcPr>
            <w:tcW w:w="704" w:type="dxa"/>
            <w:shd w:val="clear" w:color="auto" w:fill="auto"/>
            <w:vAlign w:val="center"/>
          </w:tcPr>
          <w:p w14:paraId="438F8319" w14:textId="77777777" w:rsidR="007C1935" w:rsidRPr="004A12C5" w:rsidRDefault="007C1935" w:rsidP="00381EB9">
            <w:pPr>
              <w:keepNext/>
              <w:keepLines/>
              <w:tabs>
                <w:tab w:val="left" w:pos="3969"/>
              </w:tabs>
              <w:spacing w:before="60" w:after="60"/>
              <w:rPr>
                <w:b/>
                <w:color w:val="000000" w:themeColor="text1"/>
                <w:sz w:val="24"/>
                <w:szCs w:val="24"/>
              </w:rPr>
            </w:pPr>
          </w:p>
        </w:tc>
        <w:tc>
          <w:tcPr>
            <w:tcW w:w="3549" w:type="dxa"/>
            <w:shd w:val="clear" w:color="auto" w:fill="auto"/>
            <w:vAlign w:val="center"/>
          </w:tcPr>
          <w:p w14:paraId="73A533AA"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23BBFBF1" w14:textId="77777777" w:rsidR="007C1935" w:rsidRPr="004A12C5" w:rsidRDefault="007C1935" w:rsidP="00381EB9">
            <w:pPr>
              <w:keepNext/>
              <w:keepLines/>
              <w:tabs>
                <w:tab w:val="left" w:pos="3969"/>
              </w:tabs>
              <w:spacing w:before="60" w:after="60"/>
              <w:jc w:val="right"/>
              <w:rPr>
                <w:b/>
                <w:color w:val="000000" w:themeColor="text1"/>
                <w:sz w:val="24"/>
                <w:szCs w:val="24"/>
              </w:rPr>
            </w:pPr>
            <w:r w:rsidRPr="004A12C5">
              <w:rPr>
                <w:b/>
                <w:color w:val="000000" w:themeColor="text1"/>
                <w:sz w:val="24"/>
                <w:szCs w:val="24"/>
              </w:rPr>
              <w:t>0 tis. Kč</w:t>
            </w:r>
          </w:p>
        </w:tc>
      </w:tr>
    </w:tbl>
    <w:p w14:paraId="5A433559" w14:textId="77777777" w:rsidR="007C1935" w:rsidRPr="006A755F" w:rsidRDefault="007C1935" w:rsidP="007C1935">
      <w:pPr>
        <w:pStyle w:val="KOMtext"/>
      </w:pPr>
      <w:r w:rsidRPr="006A755F">
        <w:t xml:space="preserve">Cílem komponenty 2.1 (nástroj 17021) Udržitelná doprava je přispět jak k rozvoji digitalizace dopravy a elektromobility v železniční dopravě, tak zvýšit podíl železniční dopravy v nákladní a osobní dopravě, význam aktivní mobility s důrazem na města, bezpečnost dopravního provozu a v neposlední řadě aktivně snižovat vliv dopravního provozu na životní prostředí </w:t>
      </w:r>
      <w:r w:rsidRPr="006A755F">
        <w:br/>
        <w:t>a veřejné zdraví. Celkové náklady vyčleněné na komponentu 2.1 jsou </w:t>
      </w:r>
      <w:r w:rsidRPr="006A755F">
        <w:rPr>
          <w:b/>
          <w:bCs/>
        </w:rPr>
        <w:t>24 mld. Kč</w:t>
      </w:r>
      <w:r w:rsidRPr="006A755F">
        <w:t>. Podporovanými subjekty jsou: Správa železnic, s. o., a Státní fond dopravní infrastruktury.</w:t>
      </w:r>
    </w:p>
    <w:p w14:paraId="5F6272F8" w14:textId="77777777" w:rsidR="007C1935" w:rsidRPr="006A755F" w:rsidRDefault="007C1935" w:rsidP="007C1935">
      <w:pPr>
        <w:pStyle w:val="KOMtext"/>
      </w:pPr>
      <w:r w:rsidRPr="003F09F2">
        <w:t>V roce 2023 nebyly vyhlášeny žádné nové výzvy. V roce 2022 byly vyhlášeny dvě výzvy:</w:t>
      </w:r>
    </w:p>
    <w:p w14:paraId="5EE1738D" w14:textId="77777777" w:rsidR="007C1935" w:rsidRPr="004A12C5" w:rsidRDefault="007C1935" w:rsidP="007C1935">
      <w:pPr>
        <w:pStyle w:val="KOModrky"/>
        <w:spacing w:line="276" w:lineRule="auto"/>
      </w:pPr>
      <w:r w:rsidRPr="004A12C5">
        <w:t>Výzva č. 1 – Modernizace a výstavba železniční sítě</w:t>
      </w:r>
    </w:p>
    <w:p w14:paraId="0A1AD1CD" w14:textId="77777777" w:rsidR="007C1935" w:rsidRPr="006A755F" w:rsidRDefault="007C1935" w:rsidP="007C1935">
      <w:pPr>
        <w:pStyle w:val="KOMtext"/>
      </w:pPr>
      <w:r w:rsidRPr="006A755F">
        <w:t xml:space="preserve">V rámci projektu </w:t>
      </w:r>
      <w:proofErr w:type="spellStart"/>
      <w:r w:rsidRPr="006A755F">
        <w:t>SFDI_Facilita</w:t>
      </w:r>
      <w:proofErr w:type="spellEnd"/>
      <w:r w:rsidRPr="006A755F">
        <w:t xml:space="preserve"> na podporu oživení a odolnosti (NPO-RRF) s identifikačním číslem </w:t>
      </w:r>
      <w:r w:rsidRPr="006A755F">
        <w:rPr>
          <w:b/>
          <w:bCs/>
        </w:rPr>
        <w:t>ZED Z2701020000</w:t>
      </w:r>
      <w:r>
        <w:rPr>
          <w:b/>
          <w:bCs/>
        </w:rPr>
        <w:t>10</w:t>
      </w:r>
      <w:r w:rsidRPr="006A755F">
        <w:t xml:space="preserve"> bylo</w:t>
      </w:r>
      <w:r>
        <w:t xml:space="preserve"> v roce 2023</w:t>
      </w:r>
      <w:r w:rsidRPr="006A755F">
        <w:t xml:space="preserve"> čerpáno </w:t>
      </w:r>
      <w:r>
        <w:t>3 405 376</w:t>
      </w:r>
      <w:r w:rsidRPr="006A755F">
        <w:t> tis. Kč</w:t>
      </w:r>
      <w:r>
        <w:t xml:space="preserve">, z toho nároky </w:t>
      </w:r>
      <w:r>
        <w:br/>
        <w:t>977 496 tis. Kč</w:t>
      </w:r>
      <w:r w:rsidRPr="006A755F">
        <w:t>.</w:t>
      </w:r>
    </w:p>
    <w:p w14:paraId="41EF5653" w14:textId="77777777" w:rsidR="007C1935" w:rsidRPr="004A12C5" w:rsidRDefault="007C1935" w:rsidP="007C1935">
      <w:pPr>
        <w:pStyle w:val="KOModrky"/>
        <w:spacing w:line="276" w:lineRule="auto"/>
      </w:pPr>
      <w:r w:rsidRPr="004A12C5">
        <w:t>Výzva č. 2 – Ochrana zranitelných účastníků silničního provozu</w:t>
      </w:r>
    </w:p>
    <w:p w14:paraId="15CF987A" w14:textId="77777777" w:rsidR="007C1935" w:rsidRDefault="007C1935" w:rsidP="007C1935">
      <w:pPr>
        <w:pStyle w:val="KOMtext"/>
      </w:pPr>
      <w:r w:rsidRPr="006A755F">
        <w:t xml:space="preserve">V rámci operace č. 2.1.4 „Ochrana zranitelných účastníků silničního provozu“, projekt </w:t>
      </w:r>
      <w:proofErr w:type="spellStart"/>
      <w:r w:rsidRPr="006A755F">
        <w:t>SFDI_Facilita</w:t>
      </w:r>
      <w:proofErr w:type="spellEnd"/>
      <w:r w:rsidRPr="006A755F">
        <w:t xml:space="preserve"> na podporu oživení a odolnosti (NPO-RRF) s identifikačním číslem </w:t>
      </w:r>
      <w:r w:rsidRPr="006A755F">
        <w:rPr>
          <w:b/>
          <w:bCs/>
        </w:rPr>
        <w:t>ZED Z2701020000</w:t>
      </w:r>
      <w:r>
        <w:rPr>
          <w:b/>
          <w:bCs/>
        </w:rPr>
        <w:t>17</w:t>
      </w:r>
      <w:r w:rsidRPr="006A755F">
        <w:t xml:space="preserve"> bylo čerpáno </w:t>
      </w:r>
      <w:r>
        <w:t>278 378</w:t>
      </w:r>
      <w:r w:rsidRPr="006A755F">
        <w:t xml:space="preserve"> tis. Kč</w:t>
      </w:r>
      <w:r>
        <w:t xml:space="preserve"> (pouze nároky)</w:t>
      </w:r>
      <w:r w:rsidRPr="006A755F">
        <w:t>.</w:t>
      </w:r>
    </w:p>
    <w:p w14:paraId="5819507E" w14:textId="77777777" w:rsidR="007C1935" w:rsidRPr="006A755F" w:rsidRDefault="007C1935" w:rsidP="007C1935">
      <w:pPr>
        <w:pStyle w:val="KOMtext"/>
      </w:pPr>
      <w:r w:rsidRPr="006A755F">
        <w:t xml:space="preserve">Příjmy v rámci </w:t>
      </w:r>
      <w:r>
        <w:t>komponenty 2.1</w:t>
      </w:r>
      <w:r w:rsidRPr="006A755F">
        <w:t xml:space="preserve"> byly </w:t>
      </w:r>
      <w:r>
        <w:t xml:space="preserve">v roce 2023 </w:t>
      </w:r>
      <w:r w:rsidRPr="006A755F">
        <w:t>refundovány na příjmovém účtu Ministerstva dopravy</w:t>
      </w:r>
      <w:r>
        <w:t xml:space="preserve"> ve výši </w:t>
      </w:r>
      <w:r w:rsidRPr="00C903CC">
        <w:rPr>
          <w:b/>
          <w:bCs/>
        </w:rPr>
        <w:t>20 486 659 tis. Kč</w:t>
      </w:r>
      <w:r>
        <w:t xml:space="preserve"> na základě usnesení vlády 496 ze dne 28. června 2023.</w:t>
      </w:r>
    </w:p>
    <w:p w14:paraId="5E31D93F" w14:textId="77777777" w:rsidR="007C1935" w:rsidRPr="006A755F" w:rsidRDefault="007C1935" w:rsidP="008A0E44">
      <w:pPr>
        <w:pStyle w:val="KOMnadp4"/>
      </w:pPr>
      <w:r w:rsidRPr="006A755F">
        <w:t>Komponenta 2.4 – Čistá doprava</w:t>
      </w:r>
    </w:p>
    <w:p w14:paraId="3968402C" w14:textId="77777777" w:rsidR="007C1935" w:rsidRPr="006A755F" w:rsidRDefault="007C1935" w:rsidP="007C1935">
      <w:pPr>
        <w:pStyle w:val="KOMtext"/>
      </w:pPr>
      <w:r w:rsidRPr="006A755F">
        <w:t>Cílem komponenty 2.4 je urychlit výstavbu dobíjecích a plnicích stanic pro alternativní paliva a zvýšit penetraci vozidel na alternativní paliva.</w:t>
      </w:r>
    </w:p>
    <w:p w14:paraId="6F729C3E" w14:textId="77777777" w:rsidR="007C1935" w:rsidRPr="006A755F" w:rsidRDefault="007C1935" w:rsidP="007C1935">
      <w:pPr>
        <w:pStyle w:val="KOMtext"/>
      </w:pPr>
      <w:r w:rsidRPr="004B41DB">
        <w:t>V roce 2023 nebyly vyhlášeny žádné nové výzvy. V roce 2022 byly vyhlášeny dvě výzvy:</w:t>
      </w:r>
    </w:p>
    <w:p w14:paraId="1AE0E293" w14:textId="77777777" w:rsidR="007C1935" w:rsidRPr="006A755F" w:rsidRDefault="007C1935" w:rsidP="007C1935">
      <w:pPr>
        <w:pStyle w:val="KOModrky"/>
        <w:spacing w:line="276" w:lineRule="auto"/>
      </w:pPr>
      <w:r w:rsidRPr="006A755F">
        <w:t>Výzv</w:t>
      </w:r>
      <w:r>
        <w:t>a</w:t>
      </w:r>
      <w:r w:rsidRPr="006A755F">
        <w:t xml:space="preserve"> č. 3 – Budování infrastruktury pro veřejnou dopravu v hl. m. Praha – infrastruktura dynamického dobíjení pro bateriové trolejbusy</w:t>
      </w:r>
      <w:r>
        <w:t>.</w:t>
      </w:r>
    </w:p>
    <w:p w14:paraId="4060D22E" w14:textId="77777777" w:rsidR="007C1935" w:rsidRPr="006A755F" w:rsidRDefault="007C1935" w:rsidP="007C1935">
      <w:pPr>
        <w:pStyle w:val="KOModrky"/>
        <w:spacing w:line="276" w:lineRule="auto"/>
      </w:pPr>
      <w:r w:rsidRPr="006A755F">
        <w:t>Výzva č. 4 – Podpora nákupu vozidel (bateriových trolejbusů a nízkopodlažních tramvají) pro veřejnou hromadnou dopravu v hl. m. Praha</w:t>
      </w:r>
      <w:r>
        <w:t>.</w:t>
      </w:r>
    </w:p>
    <w:p w14:paraId="5D6C1210" w14:textId="77777777" w:rsidR="007C1935" w:rsidRDefault="007C1935" w:rsidP="007C1935">
      <w:pPr>
        <w:pStyle w:val="KOMtext"/>
      </w:pPr>
      <w:r w:rsidRPr="006A755F">
        <w:t>V roce 202</w:t>
      </w:r>
      <w:r>
        <w:t>3</w:t>
      </w:r>
      <w:r w:rsidRPr="006A755F">
        <w:t xml:space="preserve"> nebyly čerpány žádné prostředky v komponentě 2.4</w:t>
      </w:r>
      <w:r>
        <w:t xml:space="preserve"> a příjmy nebyly</w:t>
      </w:r>
      <w:r w:rsidRPr="006A755F">
        <w:t xml:space="preserve"> refundovány na příjmovém účtu Ministerstva dopravy.</w:t>
      </w:r>
    </w:p>
    <w:p w14:paraId="15FDEA79" w14:textId="77777777" w:rsidR="007C1935" w:rsidRDefault="007C1935" w:rsidP="008A0E44">
      <w:pPr>
        <w:pStyle w:val="KOMnadp4"/>
      </w:pPr>
      <w:r w:rsidRPr="006A755F">
        <w:lastRenderedPageBreak/>
        <w:t xml:space="preserve">Komponenta </w:t>
      </w:r>
      <w:r>
        <w:t>4</w:t>
      </w:r>
      <w:r w:rsidRPr="006A755F">
        <w:t xml:space="preserve">.1 – </w:t>
      </w:r>
      <w:r>
        <w:t>Systémová podpora investic</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7C1935" w:rsidRPr="004A12C5" w14:paraId="36E2DCAD" w14:textId="77777777" w:rsidTr="00381EB9">
        <w:trPr>
          <w:trHeight w:val="354"/>
        </w:trPr>
        <w:tc>
          <w:tcPr>
            <w:tcW w:w="4253" w:type="dxa"/>
            <w:gridSpan w:val="2"/>
            <w:shd w:val="clear" w:color="auto" w:fill="auto"/>
            <w:vAlign w:val="center"/>
          </w:tcPr>
          <w:p w14:paraId="4918E4B2" w14:textId="77777777" w:rsidR="007C1935" w:rsidRPr="004A12C5" w:rsidRDefault="007C1935" w:rsidP="00381EB9">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5B0A581B" w14:textId="77777777" w:rsidR="007C1935" w:rsidRPr="004A12C5" w:rsidRDefault="007C1935" w:rsidP="00381EB9">
            <w:pPr>
              <w:keepNext/>
              <w:keepLines/>
              <w:tabs>
                <w:tab w:val="left" w:pos="3969"/>
              </w:tabs>
              <w:spacing w:before="120" w:after="60"/>
              <w:jc w:val="right"/>
              <w:rPr>
                <w:b/>
                <w:color w:val="000000" w:themeColor="text1"/>
                <w:sz w:val="24"/>
                <w:szCs w:val="24"/>
              </w:rPr>
            </w:pPr>
            <w:r>
              <w:rPr>
                <w:b/>
                <w:bCs/>
                <w:color w:val="000000" w:themeColor="text1"/>
                <w:sz w:val="24"/>
                <w:szCs w:val="24"/>
              </w:rPr>
              <w:t>1 138</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72B72D34" w14:textId="77777777" w:rsidTr="00381EB9">
        <w:trPr>
          <w:trHeight w:val="418"/>
        </w:trPr>
        <w:tc>
          <w:tcPr>
            <w:tcW w:w="4253" w:type="dxa"/>
            <w:gridSpan w:val="2"/>
            <w:shd w:val="clear" w:color="auto" w:fill="auto"/>
            <w:vAlign w:val="center"/>
          </w:tcPr>
          <w:p w14:paraId="38389CA9"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6EDEC1A1" w14:textId="77777777" w:rsidR="007C1935" w:rsidRPr="004A12C5" w:rsidRDefault="007C1935" w:rsidP="00381EB9">
            <w:pPr>
              <w:keepNext/>
              <w:keepLines/>
              <w:tabs>
                <w:tab w:val="left" w:pos="3969"/>
              </w:tabs>
              <w:spacing w:before="60" w:after="60"/>
              <w:jc w:val="right"/>
              <w:rPr>
                <w:b/>
                <w:color w:val="000000" w:themeColor="text1"/>
                <w:sz w:val="24"/>
                <w:szCs w:val="24"/>
              </w:rPr>
            </w:pPr>
            <w:r>
              <w:rPr>
                <w:b/>
                <w:bCs/>
                <w:color w:val="000000" w:themeColor="text1"/>
                <w:sz w:val="24"/>
                <w:szCs w:val="24"/>
              </w:rPr>
              <w:t>1 138</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67BC67FC" w14:textId="77777777" w:rsidTr="00381EB9">
        <w:trPr>
          <w:trHeight w:val="170"/>
        </w:trPr>
        <w:tc>
          <w:tcPr>
            <w:tcW w:w="704" w:type="dxa"/>
            <w:shd w:val="clear" w:color="auto" w:fill="auto"/>
            <w:vAlign w:val="center"/>
          </w:tcPr>
          <w:p w14:paraId="784E1D7F" w14:textId="77777777" w:rsidR="007C1935" w:rsidRPr="004A12C5" w:rsidRDefault="007C1935" w:rsidP="00381EB9">
            <w:pPr>
              <w:keepNext/>
              <w:keepLines/>
              <w:tabs>
                <w:tab w:val="left" w:pos="3969"/>
              </w:tabs>
              <w:spacing w:before="60" w:after="60"/>
              <w:rPr>
                <w:b/>
                <w:color w:val="000000" w:themeColor="text1"/>
                <w:sz w:val="24"/>
                <w:szCs w:val="24"/>
              </w:rPr>
            </w:pPr>
          </w:p>
        </w:tc>
        <w:tc>
          <w:tcPr>
            <w:tcW w:w="3549" w:type="dxa"/>
            <w:shd w:val="clear" w:color="auto" w:fill="auto"/>
            <w:vAlign w:val="center"/>
          </w:tcPr>
          <w:p w14:paraId="67CE89D8"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798B1548" w14:textId="77777777" w:rsidR="007C1935" w:rsidRPr="004A12C5" w:rsidRDefault="007C1935" w:rsidP="00381EB9">
            <w:pPr>
              <w:keepNext/>
              <w:keepLines/>
              <w:tabs>
                <w:tab w:val="left" w:pos="3969"/>
              </w:tabs>
              <w:spacing w:before="60" w:after="60"/>
              <w:jc w:val="right"/>
              <w:rPr>
                <w:b/>
                <w:color w:val="000000" w:themeColor="text1"/>
                <w:sz w:val="24"/>
                <w:szCs w:val="24"/>
              </w:rPr>
            </w:pPr>
            <w:r w:rsidRPr="004A12C5">
              <w:rPr>
                <w:b/>
                <w:color w:val="000000" w:themeColor="text1"/>
                <w:sz w:val="24"/>
                <w:szCs w:val="24"/>
              </w:rPr>
              <w:t>0 tis. Kč</w:t>
            </w:r>
          </w:p>
        </w:tc>
      </w:tr>
    </w:tbl>
    <w:p w14:paraId="41EE2010" w14:textId="77777777" w:rsidR="007C1935" w:rsidRDefault="007C1935" w:rsidP="000625E8">
      <w:pPr>
        <w:pStyle w:val="KOMtext"/>
        <w:rPr>
          <w:b/>
        </w:rPr>
      </w:pPr>
      <w:r w:rsidRPr="00654DC9">
        <w:t xml:space="preserve">Komponenta 4.1 je součástí 4. pilíře Národního plánu obnovy – Instituce, regulace a podpora podnikání v reakci na </w:t>
      </w:r>
      <w:proofErr w:type="spellStart"/>
      <w:r w:rsidRPr="00654DC9">
        <w:t>Covid</w:t>
      </w:r>
      <w:proofErr w:type="spellEnd"/>
      <w:r w:rsidRPr="00654DC9">
        <w:t xml:space="preserve">. Cílem komponenty je pomocí cíleného </w:t>
      </w:r>
      <w:proofErr w:type="spellStart"/>
      <w:r w:rsidRPr="00654DC9">
        <w:t>upskillingu</w:t>
      </w:r>
      <w:proofErr w:type="spellEnd"/>
      <w:r w:rsidRPr="00654DC9">
        <w:t xml:space="preserve"> a koordinace propojovat subjekty, které mohou v rámci investování spolupracovat, monitorovat dobrou a špatnou praxi v rámci investování, na základě, které pak mohou novým investorům dávat tipy a doporučení. Zároveň bude možné určit prioritní projekty a projekty reagující na výzvy Evropské unie. Dojde tedy k vyšší a kvalitnější připravenosti projektů, jejich lepšímu zacílení a zajištění metodické koordinace.</w:t>
      </w:r>
    </w:p>
    <w:p w14:paraId="6750E6C5" w14:textId="77777777" w:rsidR="007C1935" w:rsidRDefault="007C1935" w:rsidP="000625E8">
      <w:pPr>
        <w:pStyle w:val="KOMtext"/>
        <w:rPr>
          <w:b/>
        </w:rPr>
      </w:pPr>
      <w:r w:rsidRPr="003F4F1E">
        <w:t xml:space="preserve">Projekt je financován 100 % z EU. V rámci </w:t>
      </w:r>
      <w:r>
        <w:t>komponenty</w:t>
      </w:r>
      <w:r w:rsidRPr="003F4F1E">
        <w:t xml:space="preserve"> byly čerpány prostředky celkem ve výši </w:t>
      </w:r>
      <w:r w:rsidRPr="003F4F1E">
        <w:br/>
        <w:t>1</w:t>
      </w:r>
      <w:r>
        <w:t xml:space="preserve"> 138</w:t>
      </w:r>
      <w:r w:rsidRPr="003F4F1E">
        <w:t xml:space="preserve"> tis. Kč, </w:t>
      </w:r>
      <w:r>
        <w:t>které</w:t>
      </w:r>
      <w:r w:rsidRPr="003F4F1E">
        <w:t xml:space="preserve"> byl</w:t>
      </w:r>
      <w:r>
        <w:t>y</w:t>
      </w:r>
      <w:r w:rsidRPr="003F4F1E">
        <w:t xml:space="preserve"> použit</w:t>
      </w:r>
      <w:r>
        <w:t>y</w:t>
      </w:r>
      <w:r w:rsidRPr="003F4F1E">
        <w:t xml:space="preserve"> na mzdové výdaje včetně příslušenství</w:t>
      </w:r>
      <w:r>
        <w:t>.</w:t>
      </w:r>
    </w:p>
    <w:p w14:paraId="25B1EF0E" w14:textId="77777777" w:rsidR="007C1935" w:rsidRDefault="007C1935" w:rsidP="000625E8">
      <w:pPr>
        <w:pStyle w:val="KOMtext"/>
        <w:rPr>
          <w:b/>
        </w:rPr>
      </w:pPr>
      <w:r>
        <w:t>P</w:t>
      </w:r>
      <w:r w:rsidRPr="001024EF">
        <w:t xml:space="preserve">říjmy </w:t>
      </w:r>
      <w:r>
        <w:t xml:space="preserve">dosud </w:t>
      </w:r>
      <w:r w:rsidRPr="001024EF">
        <w:t>nebyly refundovány na příjmovém účtu Ministerstva dopravy.</w:t>
      </w:r>
    </w:p>
    <w:p w14:paraId="362CBD9C" w14:textId="77777777" w:rsidR="007C1935" w:rsidRDefault="007C1935" w:rsidP="008A0E44">
      <w:pPr>
        <w:pStyle w:val="KOMnadp4"/>
        <w:rPr>
          <w:rFonts w:eastAsia="Times New Roman" w:cs="Times New Roman"/>
          <w:color w:val="auto"/>
          <w:szCs w:val="20"/>
          <w:u w:val="none"/>
          <w:lang w:eastAsia="cs-CZ"/>
        </w:rPr>
      </w:pPr>
      <w:r w:rsidRPr="006A755F">
        <w:t xml:space="preserve">Komponenta </w:t>
      </w:r>
      <w:r>
        <w:t>7.6</w:t>
      </w:r>
      <w:r w:rsidRPr="006A755F">
        <w:t xml:space="preserve"> – </w:t>
      </w:r>
      <w:r>
        <w:t>Elektrizace železniční dopravy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549"/>
        <w:gridCol w:w="2126"/>
      </w:tblGrid>
      <w:tr w:rsidR="007C1935" w:rsidRPr="004A12C5" w14:paraId="2FEE7AE0" w14:textId="77777777" w:rsidTr="00381EB9">
        <w:trPr>
          <w:trHeight w:val="354"/>
        </w:trPr>
        <w:tc>
          <w:tcPr>
            <w:tcW w:w="4253" w:type="dxa"/>
            <w:gridSpan w:val="2"/>
            <w:shd w:val="clear" w:color="auto" w:fill="auto"/>
            <w:vAlign w:val="center"/>
          </w:tcPr>
          <w:p w14:paraId="6D72D51F" w14:textId="77777777" w:rsidR="007C1935" w:rsidRPr="004A12C5" w:rsidRDefault="007C1935" w:rsidP="00381EB9">
            <w:pPr>
              <w:keepNext/>
              <w:keepLines/>
              <w:tabs>
                <w:tab w:val="left" w:pos="3969"/>
              </w:tabs>
              <w:spacing w:before="120" w:after="60"/>
              <w:rPr>
                <w:b/>
                <w:color w:val="000000" w:themeColor="text1"/>
                <w:sz w:val="24"/>
                <w:szCs w:val="24"/>
              </w:rPr>
            </w:pPr>
            <w:r w:rsidRPr="004A12C5">
              <w:rPr>
                <w:b/>
                <w:color w:val="000000" w:themeColor="text1"/>
                <w:sz w:val="24"/>
                <w:szCs w:val="24"/>
              </w:rPr>
              <w:t>Skutečné čerpání za rok 202</w:t>
            </w:r>
            <w:r>
              <w:rPr>
                <w:b/>
                <w:color w:val="000000" w:themeColor="text1"/>
                <w:sz w:val="24"/>
                <w:szCs w:val="24"/>
              </w:rPr>
              <w:t>3</w:t>
            </w:r>
            <w:r w:rsidRPr="004A12C5">
              <w:rPr>
                <w:b/>
                <w:color w:val="000000" w:themeColor="text1"/>
                <w:sz w:val="24"/>
                <w:szCs w:val="24"/>
              </w:rPr>
              <w:t>:</w:t>
            </w:r>
          </w:p>
        </w:tc>
        <w:tc>
          <w:tcPr>
            <w:tcW w:w="2126" w:type="dxa"/>
            <w:shd w:val="clear" w:color="auto" w:fill="auto"/>
            <w:vAlign w:val="center"/>
          </w:tcPr>
          <w:p w14:paraId="69670317" w14:textId="77777777" w:rsidR="007C1935" w:rsidRPr="004A12C5" w:rsidRDefault="007C1935" w:rsidP="00381EB9">
            <w:pPr>
              <w:keepNext/>
              <w:keepLines/>
              <w:tabs>
                <w:tab w:val="left" w:pos="3969"/>
              </w:tabs>
              <w:spacing w:before="120" w:after="60"/>
              <w:jc w:val="right"/>
              <w:rPr>
                <w:b/>
                <w:color w:val="000000" w:themeColor="text1"/>
                <w:sz w:val="24"/>
                <w:szCs w:val="24"/>
              </w:rPr>
            </w:pPr>
            <w:r>
              <w:rPr>
                <w:b/>
                <w:bCs/>
                <w:color w:val="000000" w:themeColor="text1"/>
                <w:sz w:val="24"/>
                <w:szCs w:val="24"/>
              </w:rPr>
              <w:t>475 000</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2FBD3BBA" w14:textId="77777777" w:rsidTr="00381EB9">
        <w:trPr>
          <w:trHeight w:val="418"/>
        </w:trPr>
        <w:tc>
          <w:tcPr>
            <w:tcW w:w="4253" w:type="dxa"/>
            <w:gridSpan w:val="2"/>
            <w:shd w:val="clear" w:color="auto" w:fill="auto"/>
            <w:vAlign w:val="center"/>
          </w:tcPr>
          <w:p w14:paraId="6AEC9DF7"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v tom: krytí příjmem z rozpočtu EU:</w:t>
            </w:r>
          </w:p>
        </w:tc>
        <w:tc>
          <w:tcPr>
            <w:tcW w:w="2126" w:type="dxa"/>
            <w:shd w:val="clear" w:color="auto" w:fill="auto"/>
            <w:vAlign w:val="center"/>
          </w:tcPr>
          <w:p w14:paraId="12750E96" w14:textId="77777777" w:rsidR="007C1935" w:rsidRPr="004A12C5" w:rsidRDefault="007C1935" w:rsidP="00381EB9">
            <w:pPr>
              <w:keepNext/>
              <w:keepLines/>
              <w:tabs>
                <w:tab w:val="left" w:pos="3969"/>
              </w:tabs>
              <w:spacing w:before="60" w:after="60"/>
              <w:jc w:val="right"/>
              <w:rPr>
                <w:b/>
                <w:color w:val="000000" w:themeColor="text1"/>
                <w:sz w:val="24"/>
                <w:szCs w:val="24"/>
              </w:rPr>
            </w:pPr>
            <w:r>
              <w:rPr>
                <w:b/>
                <w:bCs/>
                <w:color w:val="000000" w:themeColor="text1"/>
                <w:sz w:val="24"/>
                <w:szCs w:val="24"/>
              </w:rPr>
              <w:t>475 000</w:t>
            </w:r>
            <w:r w:rsidRPr="004A12C5">
              <w:rPr>
                <w:b/>
                <w:bCs/>
                <w:color w:val="000000" w:themeColor="text1"/>
                <w:sz w:val="24"/>
                <w:szCs w:val="24"/>
              </w:rPr>
              <w:t xml:space="preserve"> </w:t>
            </w:r>
            <w:r w:rsidRPr="004A12C5">
              <w:rPr>
                <w:b/>
                <w:color w:val="000000" w:themeColor="text1"/>
                <w:sz w:val="24"/>
                <w:szCs w:val="24"/>
              </w:rPr>
              <w:t>tis. Kč</w:t>
            </w:r>
          </w:p>
        </w:tc>
      </w:tr>
      <w:tr w:rsidR="007C1935" w:rsidRPr="004A12C5" w14:paraId="22150994" w14:textId="77777777" w:rsidTr="00381EB9">
        <w:trPr>
          <w:trHeight w:val="170"/>
        </w:trPr>
        <w:tc>
          <w:tcPr>
            <w:tcW w:w="704" w:type="dxa"/>
            <w:shd w:val="clear" w:color="auto" w:fill="auto"/>
            <w:vAlign w:val="center"/>
          </w:tcPr>
          <w:p w14:paraId="09A920FF" w14:textId="77777777" w:rsidR="007C1935" w:rsidRPr="004A12C5" w:rsidRDefault="007C1935" w:rsidP="00381EB9">
            <w:pPr>
              <w:keepNext/>
              <w:keepLines/>
              <w:tabs>
                <w:tab w:val="left" w:pos="3969"/>
              </w:tabs>
              <w:spacing w:before="60" w:after="60"/>
              <w:rPr>
                <w:b/>
                <w:color w:val="000000" w:themeColor="text1"/>
                <w:sz w:val="24"/>
                <w:szCs w:val="24"/>
              </w:rPr>
            </w:pPr>
          </w:p>
        </w:tc>
        <w:tc>
          <w:tcPr>
            <w:tcW w:w="3549" w:type="dxa"/>
            <w:shd w:val="clear" w:color="auto" w:fill="auto"/>
            <w:vAlign w:val="center"/>
          </w:tcPr>
          <w:p w14:paraId="3863829F" w14:textId="77777777" w:rsidR="007C1935" w:rsidRPr="004A12C5" w:rsidRDefault="007C1935" w:rsidP="00381EB9">
            <w:pPr>
              <w:keepNext/>
              <w:keepLines/>
              <w:tabs>
                <w:tab w:val="left" w:pos="3969"/>
              </w:tabs>
              <w:spacing w:before="60" w:after="60"/>
              <w:rPr>
                <w:b/>
                <w:color w:val="000000" w:themeColor="text1"/>
                <w:sz w:val="24"/>
                <w:szCs w:val="24"/>
              </w:rPr>
            </w:pPr>
            <w:r w:rsidRPr="004A12C5">
              <w:rPr>
                <w:b/>
                <w:color w:val="000000" w:themeColor="text1"/>
                <w:sz w:val="24"/>
                <w:szCs w:val="24"/>
              </w:rPr>
              <w:t>spolufinancování ze SR:</w:t>
            </w:r>
          </w:p>
        </w:tc>
        <w:tc>
          <w:tcPr>
            <w:tcW w:w="2126" w:type="dxa"/>
            <w:shd w:val="clear" w:color="auto" w:fill="auto"/>
            <w:vAlign w:val="center"/>
          </w:tcPr>
          <w:p w14:paraId="5C96D923" w14:textId="77777777" w:rsidR="007C1935" w:rsidRPr="004A12C5" w:rsidRDefault="007C1935" w:rsidP="00381EB9">
            <w:pPr>
              <w:keepNext/>
              <w:keepLines/>
              <w:tabs>
                <w:tab w:val="left" w:pos="3969"/>
              </w:tabs>
              <w:spacing w:before="60" w:after="60"/>
              <w:jc w:val="right"/>
              <w:rPr>
                <w:b/>
                <w:color w:val="000000" w:themeColor="text1"/>
                <w:sz w:val="24"/>
                <w:szCs w:val="24"/>
              </w:rPr>
            </w:pPr>
            <w:r w:rsidRPr="004A12C5">
              <w:rPr>
                <w:b/>
                <w:color w:val="000000" w:themeColor="text1"/>
                <w:sz w:val="24"/>
                <w:szCs w:val="24"/>
              </w:rPr>
              <w:t>0 tis. Kč</w:t>
            </w:r>
          </w:p>
        </w:tc>
      </w:tr>
    </w:tbl>
    <w:p w14:paraId="1C1D41E4" w14:textId="77777777" w:rsidR="007C1935" w:rsidRPr="00280379" w:rsidRDefault="007C1935" w:rsidP="006B6D61">
      <w:pPr>
        <w:pStyle w:val="KOMtext"/>
      </w:pPr>
      <w:r w:rsidRPr="00280379">
        <w:t xml:space="preserve">Cílem komponenty 7.6 je zvýšení podílu elektrické trakce v železniční dopravě, a tím přispět </w:t>
      </w:r>
      <w:r w:rsidRPr="00280379">
        <w:br/>
        <w:t>k elektromobilitě v železniční dopravě, zvýšení podílu železniční dopravy v nákladní a osobní dopravě, a snížení vlivu dopravního provozu na životní prostředí a veřejné zdraví. Konkrétně byly investiční prostředky využity na pokrytí způsobilých výdajů u projektu „Elektrizace trati vč. PEÚ Brno –Zastávka u Brna, 2. etapa“.</w:t>
      </w:r>
    </w:p>
    <w:p w14:paraId="29759A7A" w14:textId="060D8EAF" w:rsidR="007C1935" w:rsidRPr="00280379" w:rsidRDefault="007C1935" w:rsidP="006B6D61">
      <w:pPr>
        <w:pStyle w:val="KOMtext"/>
      </w:pPr>
      <w:r w:rsidRPr="00280379">
        <w:t xml:space="preserve">Cílem projektu je dokončit elektrifikaci specifického projektu v brněnském regionu, a snížit tak závislost na fosilních palivech v místním dopravním systému. Výsledkem investice bude dokončení projektu „Elektrizace Brno–Zastávka u Brna, 2. etapa“ ve výši 1,318 mld. Kč </w:t>
      </w:r>
      <w:r w:rsidR="00DC4F89">
        <w:br/>
      </w:r>
      <w:r w:rsidRPr="00280379">
        <w:t>a v délce 9,98 km. Investice se uskuteční do 30. června 2026.</w:t>
      </w:r>
    </w:p>
    <w:p w14:paraId="1FB3FB36" w14:textId="77777777" w:rsidR="007C1935" w:rsidRDefault="007C1935" w:rsidP="008A0E44">
      <w:pPr>
        <w:pStyle w:val="KOMnadp4"/>
        <w:rPr>
          <w:lang w:eastAsia="cs-CZ"/>
        </w:rPr>
      </w:pPr>
      <w:r>
        <w:rPr>
          <w:lang w:eastAsia="cs-CZ"/>
        </w:rPr>
        <w:t>V rámci komponenty byly čerpány prostředky ve výši 475 000 tis. Kč, které byly poskytnuty prostřednictvím SFDI na realizaci uvedeného projektu.</w:t>
      </w:r>
    </w:p>
    <w:p w14:paraId="55FA1DEA" w14:textId="005B0479" w:rsidR="00335E16" w:rsidRPr="0077128B" w:rsidRDefault="007C1935" w:rsidP="00BA4E5A">
      <w:pPr>
        <w:pStyle w:val="KOMtext"/>
        <w:rPr>
          <w:color w:val="FF0000"/>
        </w:rPr>
      </w:pPr>
      <w:r>
        <w:t>P</w:t>
      </w:r>
      <w:r w:rsidRPr="001024EF">
        <w:t xml:space="preserve">říjmy </w:t>
      </w:r>
      <w:r>
        <w:t xml:space="preserve">dosud </w:t>
      </w:r>
      <w:r w:rsidRPr="001024EF">
        <w:t>nebyly refundovány na příjmovém účtu Ministerstva dopravy.</w:t>
      </w:r>
    </w:p>
    <w:p w14:paraId="6A880610" w14:textId="3FF7AF40" w:rsidR="00335E16" w:rsidRPr="006B6D61" w:rsidRDefault="00335E16" w:rsidP="00BA4E5A">
      <w:pPr>
        <w:pStyle w:val="KOMGrafy"/>
      </w:pPr>
      <w:bookmarkStart w:id="326" w:name="_Toc97651133"/>
      <w:bookmarkStart w:id="327" w:name="_Toc160457128"/>
      <w:r w:rsidRPr="006B6D61">
        <w:lastRenderedPageBreak/>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11</w:t>
      </w:r>
      <w:r w:rsidRPr="006B6D61">
        <w:rPr>
          <w:noProof/>
        </w:rPr>
        <w:fldChar w:fldCharType="end"/>
      </w:r>
      <w:r w:rsidRPr="006B6D61">
        <w:t>: Přehled čerpání finančních prostředků fondů Evropské unie</w:t>
      </w:r>
      <w:bookmarkEnd w:id="326"/>
      <w:bookmarkEnd w:id="327"/>
    </w:p>
    <w:p w14:paraId="4CAFD5E7" w14:textId="5B21FD57" w:rsidR="00335E16" w:rsidRPr="0077128B" w:rsidRDefault="00335E16" w:rsidP="00BA4E5A">
      <w:pPr>
        <w:pStyle w:val="KOMtext"/>
        <w:rPr>
          <w:color w:val="FF0000"/>
        </w:rPr>
      </w:pPr>
      <w:r w:rsidRPr="0077128B">
        <w:rPr>
          <w:noProof/>
          <w:color w:val="FF0000"/>
        </w:rPr>
        <w:drawing>
          <wp:inline distT="0" distB="0" distL="0" distR="0" wp14:anchorId="4200D3F0" wp14:editId="024F7781">
            <wp:extent cx="5796951" cy="2160000"/>
            <wp:effectExtent l="0" t="0" r="13335" b="12065"/>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71E268F" w14:textId="5F6BFE9B" w:rsidR="001A6D97" w:rsidRPr="006B6D61" w:rsidRDefault="001A6D97" w:rsidP="00FE67C5">
      <w:pPr>
        <w:pStyle w:val="KOMnadp2"/>
      </w:pPr>
      <w:bookmarkStart w:id="328" w:name="_Toc128666806"/>
      <w:bookmarkStart w:id="329" w:name="_Toc128667038"/>
      <w:bookmarkStart w:id="330" w:name="_Toc128670308"/>
      <w:bookmarkStart w:id="331" w:name="_Toc128666807"/>
      <w:bookmarkStart w:id="332" w:name="_Toc128667039"/>
      <w:bookmarkStart w:id="333" w:name="_Toc128670309"/>
      <w:bookmarkStart w:id="334" w:name="_Toc128666810"/>
      <w:bookmarkStart w:id="335" w:name="_Toc128667042"/>
      <w:bookmarkStart w:id="336" w:name="_Toc128670312"/>
      <w:bookmarkStart w:id="337" w:name="_Toc128666811"/>
      <w:bookmarkStart w:id="338" w:name="_Toc128667043"/>
      <w:bookmarkStart w:id="339" w:name="_Toc128670313"/>
      <w:bookmarkStart w:id="340" w:name="_Toc128666812"/>
      <w:bookmarkStart w:id="341" w:name="_Toc128667044"/>
      <w:bookmarkStart w:id="342" w:name="_Toc128670314"/>
      <w:bookmarkStart w:id="343" w:name="_Toc128666813"/>
      <w:bookmarkStart w:id="344" w:name="_Toc128667045"/>
      <w:bookmarkStart w:id="345" w:name="_Toc128670315"/>
      <w:bookmarkStart w:id="346" w:name="_Toc128666814"/>
      <w:bookmarkStart w:id="347" w:name="_Toc128667046"/>
      <w:bookmarkStart w:id="348" w:name="_Toc128670316"/>
      <w:bookmarkStart w:id="349" w:name="_Toc128666815"/>
      <w:bookmarkStart w:id="350" w:name="_Toc128667047"/>
      <w:bookmarkStart w:id="351" w:name="_Toc128670317"/>
      <w:bookmarkStart w:id="352" w:name="_Toc128666816"/>
      <w:bookmarkStart w:id="353" w:name="_Toc128667048"/>
      <w:bookmarkStart w:id="354" w:name="_Toc128670318"/>
      <w:bookmarkStart w:id="355" w:name="_Toc128666817"/>
      <w:bookmarkStart w:id="356" w:name="_Toc128667049"/>
      <w:bookmarkStart w:id="357" w:name="_Toc128670319"/>
      <w:bookmarkStart w:id="358" w:name="_Toc128666818"/>
      <w:bookmarkStart w:id="359" w:name="_Toc128667050"/>
      <w:bookmarkStart w:id="360" w:name="_Toc128670320"/>
      <w:bookmarkStart w:id="361" w:name="_Toc128666819"/>
      <w:bookmarkStart w:id="362" w:name="_Toc128667051"/>
      <w:bookmarkStart w:id="363" w:name="_Toc128670321"/>
      <w:bookmarkStart w:id="364" w:name="_Toc128660417"/>
      <w:bookmarkStart w:id="365" w:name="_Toc128660715"/>
      <w:bookmarkStart w:id="366" w:name="_Toc128660932"/>
      <w:bookmarkStart w:id="367" w:name="_Toc128661149"/>
      <w:bookmarkStart w:id="368" w:name="_Toc128661364"/>
      <w:bookmarkStart w:id="369" w:name="_Toc128666820"/>
      <w:bookmarkStart w:id="370" w:name="_Toc128667052"/>
      <w:bookmarkStart w:id="371" w:name="_Toc128670322"/>
      <w:bookmarkStart w:id="372" w:name="_Toc128666821"/>
      <w:bookmarkStart w:id="373" w:name="_Toc128667053"/>
      <w:bookmarkStart w:id="374" w:name="_Toc128670323"/>
      <w:bookmarkStart w:id="375" w:name="_Toc128660419"/>
      <w:bookmarkStart w:id="376" w:name="_Toc128660717"/>
      <w:bookmarkStart w:id="377" w:name="_Toc128660934"/>
      <w:bookmarkStart w:id="378" w:name="_Toc128666822"/>
      <w:bookmarkStart w:id="379" w:name="_Toc128667054"/>
      <w:bookmarkStart w:id="380" w:name="_Toc128670324"/>
      <w:bookmarkStart w:id="381" w:name="_Toc128666823"/>
      <w:bookmarkStart w:id="382" w:name="_Toc128667055"/>
      <w:bookmarkStart w:id="383" w:name="_Toc128670325"/>
      <w:bookmarkStart w:id="384" w:name="_Toc413413677"/>
      <w:bookmarkStart w:id="385" w:name="_Toc508879927"/>
      <w:bookmarkStart w:id="386" w:name="_Toc508880203"/>
      <w:bookmarkStart w:id="387" w:name="_Toc1376858"/>
      <w:bookmarkStart w:id="388" w:name="_Toc63250950"/>
      <w:bookmarkStart w:id="389" w:name="_Toc64366126"/>
      <w:bookmarkStart w:id="390" w:name="_Toc64366515"/>
      <w:bookmarkStart w:id="391" w:name="_Toc96016703"/>
      <w:bookmarkStart w:id="392" w:name="_Toc128400027"/>
      <w:bookmarkStart w:id="393" w:name="_Toc162269258"/>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r w:rsidRPr="006B6D61">
        <w:t>Výdaje na výzkum, vývoj</w:t>
      </w:r>
      <w:bookmarkEnd w:id="384"/>
      <w:bookmarkEnd w:id="385"/>
      <w:bookmarkEnd w:id="386"/>
      <w:bookmarkEnd w:id="387"/>
      <w:r w:rsidRPr="006B6D61">
        <w:t xml:space="preserve"> a inovace</w:t>
      </w:r>
      <w:bookmarkEnd w:id="388"/>
      <w:bookmarkEnd w:id="389"/>
      <w:bookmarkEnd w:id="390"/>
      <w:bookmarkEnd w:id="391"/>
      <w:bookmarkEnd w:id="392"/>
      <w:bookmarkEnd w:id="393"/>
    </w:p>
    <w:p w14:paraId="11022B20" w14:textId="35CE9671" w:rsidR="001A6D97" w:rsidRPr="006B6D61" w:rsidRDefault="001A6D97" w:rsidP="003F0A7C">
      <w:pPr>
        <w:pStyle w:val="KOMtext"/>
      </w:pPr>
      <w:r w:rsidRPr="006B6D61">
        <w:t xml:space="preserve">Prostředky na výzkum a vývoj byly v roce </w:t>
      </w:r>
      <w:r w:rsidR="003C7E7D" w:rsidRPr="006B6D61">
        <w:t xml:space="preserve">2023 </w:t>
      </w:r>
      <w:r w:rsidRPr="006B6D61">
        <w:t xml:space="preserve">poskytnuty veřejné výzkumné instituci </w:t>
      </w:r>
      <w:proofErr w:type="gramStart"/>
      <w:r w:rsidRPr="006B6D61">
        <w:t>rezortu</w:t>
      </w:r>
      <w:proofErr w:type="gramEnd"/>
      <w:r w:rsidRPr="006B6D61">
        <w:t xml:space="preserve"> Ministerstva dopravy Centrum dopravního výzkumu, </w:t>
      </w:r>
      <w:proofErr w:type="spellStart"/>
      <w:r w:rsidRPr="006B6D61">
        <w:t>v.v.i</w:t>
      </w:r>
      <w:proofErr w:type="spellEnd"/>
      <w:r w:rsidRPr="006B6D61">
        <w:t xml:space="preserve">. </w:t>
      </w:r>
    </w:p>
    <w:p w14:paraId="1B3D278B" w14:textId="5FD2146A" w:rsidR="001A6D97" w:rsidRPr="006B6D61" w:rsidRDefault="001A6D97" w:rsidP="003F0A7C">
      <w:pPr>
        <w:pStyle w:val="KOMtext"/>
      </w:pPr>
      <w:r w:rsidRPr="006B6D61">
        <w:t xml:space="preserve">Finanční prostředky byly Centru dopravního výzkumu poskytnuty formou institucionální podpory na dlouhodobý koncepční rozvoj organizace ve výši 97 663 tis. Kč. </w:t>
      </w:r>
    </w:p>
    <w:p w14:paraId="1422CCD3" w14:textId="77777777" w:rsidR="001A6D97" w:rsidRPr="006B6D61" w:rsidRDefault="001A6D97" w:rsidP="008A0E44">
      <w:pPr>
        <w:pStyle w:val="KOMnadp4"/>
        <w:rPr>
          <w:lang w:eastAsia="cs-CZ"/>
        </w:rPr>
      </w:pPr>
      <w:r w:rsidRPr="006B6D61">
        <w:rPr>
          <w:lang w:eastAsia="cs-CZ"/>
        </w:rPr>
        <w:t>Hodnocení vynaložení prostředků na podporu výzkumu, vývoje a inovací (institucionální podpora)</w:t>
      </w:r>
    </w:p>
    <w:p w14:paraId="16187F84" w14:textId="516E49D0" w:rsidR="001A6D97" w:rsidRPr="006B6D61" w:rsidRDefault="001A6D97" w:rsidP="003F0A7C">
      <w:pPr>
        <w:pStyle w:val="KOMtext"/>
      </w:pPr>
      <w:r w:rsidRPr="006B6D61">
        <w:t xml:space="preserve">Skutečné čerpání finančních prostředků na podporu výzkumu, vývoje a inovací (institucionální podpora) v roce </w:t>
      </w:r>
      <w:r w:rsidR="00D95922" w:rsidRPr="006B6D61">
        <w:t xml:space="preserve">2023 </w:t>
      </w:r>
      <w:r w:rsidRPr="006B6D61">
        <w:t xml:space="preserve">bylo následující: </w:t>
      </w:r>
    </w:p>
    <w:p w14:paraId="44E09BA8" w14:textId="4BFBB4DB" w:rsidR="001A6D97" w:rsidRPr="006B6D61" w:rsidRDefault="001A6D97" w:rsidP="001A6D97">
      <w:pPr>
        <w:spacing w:after="120" w:line="240" w:lineRule="auto"/>
        <w:jc w:val="both"/>
        <w:rPr>
          <w:rFonts w:eastAsia="Times New Roman" w:cstheme="minorHAnsi"/>
          <w:b/>
          <w:sz w:val="24"/>
          <w:szCs w:val="24"/>
          <w:lang w:eastAsia="cs-CZ"/>
        </w:rPr>
      </w:pPr>
      <w:r w:rsidRPr="006B6D61">
        <w:rPr>
          <w:rFonts w:eastAsia="Times New Roman" w:cstheme="minorHAnsi"/>
          <w:b/>
          <w:sz w:val="24"/>
          <w:szCs w:val="24"/>
          <w:lang w:eastAsia="cs-CZ"/>
        </w:rPr>
        <w:t xml:space="preserve">Institucionální podpora ve výši: 97 663 tis. Kč. </w:t>
      </w:r>
    </w:p>
    <w:p w14:paraId="7873DD18" w14:textId="77777777" w:rsidR="00EF56D1" w:rsidRPr="006B6D61" w:rsidRDefault="001A6D97" w:rsidP="001A6D97">
      <w:pPr>
        <w:keepLines/>
        <w:spacing w:before="120" w:after="120" w:line="276" w:lineRule="auto"/>
        <w:jc w:val="both"/>
        <w:rPr>
          <w:rFonts w:eastAsia="Times New Roman" w:cstheme="minorHAnsi"/>
          <w:sz w:val="24"/>
          <w:szCs w:val="20"/>
          <w:lang w:eastAsia="cs-CZ"/>
        </w:rPr>
      </w:pPr>
      <w:r w:rsidRPr="006B6D61">
        <w:rPr>
          <w:rFonts w:eastAsia="Times New Roman" w:cstheme="minorHAnsi"/>
          <w:sz w:val="24"/>
          <w:szCs w:val="20"/>
          <w:lang w:eastAsia="cs-CZ"/>
        </w:rPr>
        <w:t xml:space="preserve">Institucionální podpora členěná na: </w:t>
      </w:r>
    </w:p>
    <w:p w14:paraId="77C0586A" w14:textId="0F128576" w:rsidR="001A6D97" w:rsidRPr="006B6D61" w:rsidRDefault="001A6D97" w:rsidP="00D05A89">
      <w:pPr>
        <w:pStyle w:val="Odstavecseseznamem"/>
        <w:keepLines/>
        <w:numPr>
          <w:ilvl w:val="0"/>
          <w:numId w:val="13"/>
        </w:numPr>
        <w:spacing w:before="120" w:after="120" w:line="276" w:lineRule="auto"/>
        <w:jc w:val="both"/>
        <w:rPr>
          <w:rFonts w:eastAsia="Times New Roman" w:cstheme="minorHAnsi"/>
          <w:b/>
          <w:sz w:val="24"/>
          <w:szCs w:val="20"/>
          <w:lang w:eastAsia="cs-CZ"/>
        </w:rPr>
      </w:pPr>
      <w:r w:rsidRPr="006B6D61">
        <w:rPr>
          <w:rFonts w:eastAsia="Times New Roman" w:cstheme="minorHAnsi"/>
          <w:sz w:val="24"/>
          <w:szCs w:val="20"/>
          <w:lang w:eastAsia="cs-CZ"/>
        </w:rPr>
        <w:t xml:space="preserve">běžné výdaje ve výši </w:t>
      </w:r>
      <w:r w:rsidR="00E1545B" w:rsidRPr="006B6D61">
        <w:rPr>
          <w:rFonts w:eastAsia="Times New Roman" w:cstheme="minorHAnsi"/>
          <w:b/>
          <w:sz w:val="24"/>
          <w:szCs w:val="20"/>
          <w:lang w:eastAsia="cs-CZ"/>
        </w:rPr>
        <w:t>89 069</w:t>
      </w:r>
      <w:r w:rsidRPr="006B6D61">
        <w:rPr>
          <w:rFonts w:eastAsia="Times New Roman" w:cstheme="minorHAnsi"/>
          <w:b/>
          <w:sz w:val="24"/>
          <w:szCs w:val="20"/>
          <w:lang w:eastAsia="cs-CZ"/>
        </w:rPr>
        <w:t xml:space="preserve"> tis. Kč</w:t>
      </w:r>
    </w:p>
    <w:p w14:paraId="290CD94A" w14:textId="5496ABA0" w:rsidR="001A6D97" w:rsidRPr="006B6D61" w:rsidRDefault="001A6D97" w:rsidP="00D05A89">
      <w:pPr>
        <w:pStyle w:val="Odstavecseseznamem"/>
        <w:numPr>
          <w:ilvl w:val="0"/>
          <w:numId w:val="13"/>
        </w:numPr>
        <w:spacing w:after="120" w:line="240" w:lineRule="auto"/>
        <w:jc w:val="both"/>
        <w:rPr>
          <w:rFonts w:eastAsia="Times New Roman" w:cstheme="minorHAnsi"/>
          <w:b/>
          <w:sz w:val="24"/>
          <w:szCs w:val="24"/>
          <w:lang w:eastAsia="cs-CZ"/>
        </w:rPr>
      </w:pPr>
      <w:r w:rsidRPr="006B6D61">
        <w:rPr>
          <w:rFonts w:eastAsia="Times New Roman" w:cstheme="minorHAnsi"/>
          <w:sz w:val="24"/>
          <w:szCs w:val="24"/>
          <w:lang w:eastAsia="cs-CZ"/>
        </w:rPr>
        <w:t xml:space="preserve">kapitálové výdaje ve výši </w:t>
      </w:r>
      <w:r w:rsidR="005456EB" w:rsidRPr="006B6D61">
        <w:rPr>
          <w:rFonts w:eastAsia="Times New Roman" w:cstheme="minorHAnsi"/>
          <w:b/>
          <w:sz w:val="24"/>
          <w:szCs w:val="24"/>
          <w:lang w:eastAsia="cs-CZ"/>
        </w:rPr>
        <w:t>8 593</w:t>
      </w:r>
      <w:r w:rsidRPr="006B6D61">
        <w:rPr>
          <w:rFonts w:eastAsia="Times New Roman" w:cstheme="minorHAnsi"/>
          <w:b/>
          <w:sz w:val="24"/>
          <w:szCs w:val="24"/>
          <w:lang w:eastAsia="cs-CZ"/>
        </w:rPr>
        <w:t xml:space="preserve"> tis. Kč</w:t>
      </w:r>
    </w:p>
    <w:p w14:paraId="6CF8AC3E" w14:textId="05DD3BB9" w:rsidR="001A6D97" w:rsidRPr="006B6D61" w:rsidRDefault="001A6D97" w:rsidP="00BA4E5A">
      <w:pPr>
        <w:pStyle w:val="KOMGrafy"/>
      </w:pPr>
      <w:bookmarkStart w:id="394" w:name="_Toc95989812"/>
      <w:bookmarkStart w:id="395" w:name="_Toc160457129"/>
      <w:r w:rsidRPr="006B6D61">
        <w:t>Graf č.</w:t>
      </w:r>
      <w:r w:rsidR="00C171D2" w:rsidRPr="006B6D61">
        <w:t xml:space="preserve"> </w:t>
      </w:r>
      <w:r w:rsidR="00C171D2" w:rsidRPr="006B6D61">
        <w:rPr>
          <w:noProof/>
        </w:rPr>
        <w:fldChar w:fldCharType="begin"/>
      </w:r>
      <w:r w:rsidR="00C171D2" w:rsidRPr="006B6D61">
        <w:rPr>
          <w:noProof/>
        </w:rPr>
        <w:instrText xml:space="preserve"> SEQ Graf_č. \* ARABIC </w:instrText>
      </w:r>
      <w:r w:rsidR="00C171D2" w:rsidRPr="006B6D61">
        <w:rPr>
          <w:noProof/>
        </w:rPr>
        <w:fldChar w:fldCharType="separate"/>
      </w:r>
      <w:r w:rsidR="00013820">
        <w:rPr>
          <w:noProof/>
        </w:rPr>
        <w:t>12</w:t>
      </w:r>
      <w:r w:rsidR="00C171D2" w:rsidRPr="006B6D61">
        <w:rPr>
          <w:noProof/>
        </w:rPr>
        <w:fldChar w:fldCharType="end"/>
      </w:r>
      <w:r w:rsidRPr="006B6D61">
        <w:t>: Porovnání výdajů na výzkum, vývoj a inovace</w:t>
      </w:r>
      <w:bookmarkEnd w:id="394"/>
      <w:bookmarkEnd w:id="395"/>
    </w:p>
    <w:p w14:paraId="1AF4C7DA" w14:textId="77777777" w:rsidR="001A6D97" w:rsidRPr="002F1BE7" w:rsidRDefault="001A6D97" w:rsidP="001A6D97">
      <w:pPr>
        <w:spacing w:after="120" w:line="240" w:lineRule="auto"/>
        <w:jc w:val="center"/>
        <w:rPr>
          <w:rFonts w:eastAsia="Times New Roman" w:cstheme="minorHAnsi"/>
          <w:b/>
          <w:color w:val="FF0000"/>
          <w:sz w:val="24"/>
          <w:szCs w:val="24"/>
          <w:lang w:eastAsia="cs-CZ"/>
        </w:rPr>
      </w:pPr>
      <w:r w:rsidRPr="002F1BE7">
        <w:rPr>
          <w:rFonts w:eastAsia="Times New Roman" w:cstheme="minorHAnsi"/>
          <w:b/>
          <w:noProof/>
          <w:color w:val="FF0000"/>
          <w:sz w:val="24"/>
          <w:szCs w:val="24"/>
          <w:lang w:eastAsia="cs-CZ"/>
        </w:rPr>
        <w:drawing>
          <wp:inline distT="0" distB="0" distL="0" distR="0" wp14:anchorId="230B4973" wp14:editId="0E0A1E94">
            <wp:extent cx="5832000" cy="1534795"/>
            <wp:effectExtent l="0" t="0" r="0" b="8255"/>
            <wp:docPr id="35" name="Graf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BA3BD74" w14:textId="638957D6" w:rsidR="001A6D97" w:rsidRPr="006B6D61" w:rsidRDefault="001A6D97" w:rsidP="008A0E44">
      <w:pPr>
        <w:pStyle w:val="KOMnadp4"/>
        <w:rPr>
          <w:lang w:eastAsia="cs-CZ"/>
        </w:rPr>
      </w:pPr>
      <w:r w:rsidRPr="006B6D61">
        <w:rPr>
          <w:lang w:eastAsia="cs-CZ"/>
        </w:rPr>
        <w:lastRenderedPageBreak/>
        <w:t xml:space="preserve">Popis využití běžných výdajů: </w:t>
      </w:r>
    </w:p>
    <w:p w14:paraId="13A7DB04" w14:textId="77777777" w:rsidR="001A6D97" w:rsidRPr="006B6D61" w:rsidRDefault="001A6D97" w:rsidP="003F0A7C">
      <w:pPr>
        <w:pStyle w:val="KOMtext"/>
      </w:pPr>
      <w:r w:rsidRPr="006B6D61">
        <w:t xml:space="preserve">Prostředky běžné byly použity na financování způsobilých výdajů na řešení výzkumných projektů řešených v rámci výzkumných programů Centra dopravního výzkumu, </w:t>
      </w:r>
      <w:proofErr w:type="spellStart"/>
      <w:r w:rsidRPr="006B6D61">
        <w:t>v.v.i</w:t>
      </w:r>
      <w:proofErr w:type="spellEnd"/>
      <w:r w:rsidRPr="006B6D61">
        <w:t>. Řešené projekty byly:</w:t>
      </w:r>
    </w:p>
    <w:p w14:paraId="2989F40F" w14:textId="05D239CD" w:rsidR="001A6D97" w:rsidRPr="006B6D61" w:rsidRDefault="001A6D97" w:rsidP="00E54955">
      <w:pPr>
        <w:keepLines/>
        <w:numPr>
          <w:ilvl w:val="0"/>
          <w:numId w:val="32"/>
        </w:numPr>
        <w:spacing w:before="120" w:after="120" w:line="276" w:lineRule="auto"/>
        <w:jc w:val="both"/>
        <w:rPr>
          <w:rFonts w:eastAsia="Times New Roman" w:cstheme="minorHAnsi"/>
          <w:sz w:val="24"/>
          <w:szCs w:val="20"/>
          <w:lang w:eastAsia="cs-CZ"/>
        </w:rPr>
      </w:pPr>
      <w:r w:rsidRPr="006B6D61">
        <w:rPr>
          <w:rFonts w:eastAsia="Times New Roman" w:cstheme="minorHAnsi"/>
          <w:sz w:val="24"/>
          <w:szCs w:val="20"/>
          <w:lang w:eastAsia="cs-CZ"/>
        </w:rPr>
        <w:t>Řešeny jako interní granty a související činnosti (</w:t>
      </w:r>
      <w:r w:rsidR="00106A76">
        <w:rPr>
          <w:rFonts w:eastAsia="Times New Roman" w:cstheme="minorHAnsi"/>
          <w:sz w:val="24"/>
          <w:szCs w:val="20"/>
          <w:lang w:eastAsia="cs-CZ"/>
        </w:rPr>
        <w:t>rozvoj dopravních technologií</w:t>
      </w:r>
      <w:r w:rsidRPr="006B6D61">
        <w:rPr>
          <w:rFonts w:eastAsia="Times New Roman" w:cstheme="minorHAnsi"/>
          <w:sz w:val="24"/>
          <w:szCs w:val="20"/>
          <w:lang w:eastAsia="cs-CZ"/>
        </w:rPr>
        <w:t xml:space="preserve">, </w:t>
      </w:r>
      <w:r w:rsidR="00106A76">
        <w:rPr>
          <w:rFonts w:eastAsia="Times New Roman" w:cstheme="minorHAnsi"/>
          <w:sz w:val="24"/>
          <w:szCs w:val="20"/>
          <w:lang w:eastAsia="cs-CZ"/>
        </w:rPr>
        <w:t>měření a vyhodnocování rychlosti</w:t>
      </w:r>
      <w:r w:rsidRPr="006B6D61">
        <w:rPr>
          <w:rFonts w:eastAsia="Times New Roman" w:cstheme="minorHAnsi"/>
          <w:sz w:val="24"/>
          <w:szCs w:val="20"/>
          <w:lang w:eastAsia="cs-CZ"/>
        </w:rPr>
        <w:t xml:space="preserve">) např.: </w:t>
      </w:r>
    </w:p>
    <w:p w14:paraId="2C64A17E" w14:textId="0D088241" w:rsidR="001A6D97" w:rsidRPr="006B6D61" w:rsidRDefault="00C150AE">
      <w:pPr>
        <w:pStyle w:val="KOModrky"/>
      </w:pPr>
      <w:r w:rsidRPr="006B6D61">
        <w:t>Rozvoj divize dopravních technologií a lidského faktoru</w:t>
      </w:r>
      <w:r w:rsidR="001A6D97" w:rsidRPr="006B6D61">
        <w:t xml:space="preserve">, </w:t>
      </w:r>
    </w:p>
    <w:p w14:paraId="0BF4B70A" w14:textId="1A799E34" w:rsidR="001A26B0" w:rsidRPr="006B6D61" w:rsidRDefault="00996BA6">
      <w:pPr>
        <w:pStyle w:val="KOModrky"/>
      </w:pPr>
      <w:r w:rsidRPr="006B6D61">
        <w:t>Postoje řidičů elektrokol nezpůsobilých k provozu na pozemních komunikacích v České republice</w:t>
      </w:r>
      <w:r w:rsidR="001A26B0" w:rsidRPr="006B6D61">
        <w:t xml:space="preserve">, </w:t>
      </w:r>
    </w:p>
    <w:p w14:paraId="6B80202A" w14:textId="69264C70" w:rsidR="001A26B0" w:rsidRPr="006B6D61" w:rsidRDefault="00AB0BCB">
      <w:pPr>
        <w:pStyle w:val="KOModrky"/>
      </w:pPr>
      <w:r w:rsidRPr="006B6D61">
        <w:t xml:space="preserve">Dopravní </w:t>
      </w:r>
      <w:proofErr w:type="gramStart"/>
      <w:r w:rsidRPr="006B6D61">
        <w:t>psychologie - terapie</w:t>
      </w:r>
      <w:proofErr w:type="gramEnd"/>
      <w:r w:rsidRPr="006B6D61">
        <w:t xml:space="preserve"> a poradenství v dopravě</w:t>
      </w:r>
      <w:r w:rsidR="00F63575" w:rsidRPr="006B6D61">
        <w:t>,</w:t>
      </w:r>
    </w:p>
    <w:p w14:paraId="1C6C82D2" w14:textId="6DF3AADF" w:rsidR="001A6D97" w:rsidRPr="006B6D61" w:rsidRDefault="001A26B0">
      <w:pPr>
        <w:pStyle w:val="KOModrky"/>
      </w:pPr>
      <w:r w:rsidRPr="006B6D61">
        <w:t>Měření a vyhodnocování rychlosti a vzdálenosti objíždění cyklistů ostatními účastníky silničního provozu</w:t>
      </w:r>
      <w:r w:rsidR="001A6D97" w:rsidRPr="006B6D61">
        <w:t>.</w:t>
      </w:r>
    </w:p>
    <w:p w14:paraId="09E3804B" w14:textId="65C7FF93" w:rsidR="001A6D97" w:rsidRPr="006B6D61" w:rsidRDefault="001A6D97" w:rsidP="00E54955">
      <w:pPr>
        <w:keepLines/>
        <w:numPr>
          <w:ilvl w:val="0"/>
          <w:numId w:val="32"/>
        </w:numPr>
        <w:spacing w:before="120" w:after="120" w:line="276" w:lineRule="auto"/>
        <w:jc w:val="both"/>
        <w:rPr>
          <w:rFonts w:eastAsia="Times New Roman" w:cstheme="minorHAnsi"/>
          <w:sz w:val="24"/>
          <w:szCs w:val="20"/>
          <w:lang w:eastAsia="cs-CZ"/>
        </w:rPr>
      </w:pPr>
      <w:r w:rsidRPr="006B6D61">
        <w:rPr>
          <w:rFonts w:eastAsia="Times New Roman" w:cstheme="minorHAnsi"/>
          <w:sz w:val="24"/>
          <w:szCs w:val="20"/>
          <w:lang w:eastAsia="cs-CZ"/>
        </w:rPr>
        <w:t>Použity na spolufinancování jiných výzkumných projektů tam, kde to pravidla podpory dovolují (</w:t>
      </w:r>
      <w:r w:rsidR="003D14EB" w:rsidRPr="006B6D61">
        <w:rPr>
          <w:rFonts w:eastAsia="Times New Roman" w:cstheme="minorHAnsi"/>
          <w:sz w:val="24"/>
          <w:szCs w:val="20"/>
          <w:lang w:eastAsia="cs-CZ"/>
        </w:rPr>
        <w:t>průchodnost dopravy</w:t>
      </w:r>
      <w:r w:rsidRPr="006B6D61">
        <w:rPr>
          <w:rFonts w:eastAsia="Times New Roman" w:cstheme="minorHAnsi"/>
          <w:sz w:val="24"/>
          <w:szCs w:val="20"/>
          <w:lang w:eastAsia="cs-CZ"/>
        </w:rPr>
        <w:t xml:space="preserve">, </w:t>
      </w:r>
      <w:r w:rsidR="000E21A9" w:rsidRPr="006B6D61">
        <w:rPr>
          <w:rFonts w:eastAsia="Times New Roman" w:cstheme="minorHAnsi"/>
          <w:sz w:val="24"/>
          <w:szCs w:val="20"/>
          <w:lang w:eastAsia="cs-CZ"/>
        </w:rPr>
        <w:t xml:space="preserve">detekce </w:t>
      </w:r>
      <w:r w:rsidR="00335486" w:rsidRPr="006B6D61">
        <w:rPr>
          <w:rFonts w:eastAsia="Times New Roman" w:cstheme="minorHAnsi"/>
          <w:sz w:val="24"/>
          <w:szCs w:val="20"/>
          <w:lang w:eastAsia="cs-CZ"/>
        </w:rPr>
        <w:t>rušení signálů dru</w:t>
      </w:r>
      <w:r w:rsidR="00325015" w:rsidRPr="006B6D61">
        <w:rPr>
          <w:rFonts w:eastAsia="Times New Roman" w:cstheme="minorHAnsi"/>
          <w:sz w:val="24"/>
          <w:szCs w:val="20"/>
          <w:lang w:eastAsia="cs-CZ"/>
        </w:rPr>
        <w:t>žicové navigace</w:t>
      </w:r>
      <w:r w:rsidRPr="006B6D61">
        <w:rPr>
          <w:rFonts w:eastAsia="Times New Roman" w:cstheme="minorHAnsi"/>
          <w:sz w:val="24"/>
          <w:szCs w:val="20"/>
          <w:lang w:eastAsia="cs-CZ"/>
        </w:rPr>
        <w:t xml:space="preserve">) např.: </w:t>
      </w:r>
    </w:p>
    <w:p w14:paraId="77BD7417" w14:textId="77DDA4CF" w:rsidR="001A6D97" w:rsidRPr="006B6D61" w:rsidRDefault="00B70160">
      <w:pPr>
        <w:pStyle w:val="KOModrky"/>
      </w:pPr>
      <w:r w:rsidRPr="006B6D61">
        <w:t>Systém pro řízení nabídky služeb dostupné parkovací kapacity</w:t>
      </w:r>
      <w:r w:rsidR="001A6D97" w:rsidRPr="006B6D61">
        <w:t xml:space="preserve">, </w:t>
      </w:r>
    </w:p>
    <w:p w14:paraId="3A1B950F" w14:textId="0923602E" w:rsidR="001A6D97" w:rsidRPr="006B6D61" w:rsidRDefault="001A26B0">
      <w:pPr>
        <w:pStyle w:val="KOModrky"/>
      </w:pPr>
      <w:r w:rsidRPr="006B6D61">
        <w:t>Systém diagnostiky stavu a ochrany mostních konstrukcí s využitím WIM</w:t>
      </w:r>
      <w:r w:rsidR="001A6D97" w:rsidRPr="006B6D61">
        <w:t>,</w:t>
      </w:r>
    </w:p>
    <w:p w14:paraId="4F324048" w14:textId="46B6F945" w:rsidR="001A6D97" w:rsidRPr="006B6D61" w:rsidRDefault="00C83BD3">
      <w:pPr>
        <w:pStyle w:val="KOModrky"/>
      </w:pPr>
      <w:r w:rsidRPr="006B6D61">
        <w:t>Průchodnost dopravní infrastruktury pro faunu jako podmínka bezpečné a udržitelné dopravy</w:t>
      </w:r>
      <w:r w:rsidR="001A6D97" w:rsidRPr="006B6D61">
        <w:t xml:space="preserve">, </w:t>
      </w:r>
    </w:p>
    <w:p w14:paraId="55D8F035" w14:textId="3E18024E" w:rsidR="001A6D97" w:rsidRPr="006B6D61" w:rsidRDefault="00C82C7A">
      <w:pPr>
        <w:pStyle w:val="KOModrky"/>
      </w:pPr>
      <w:r w:rsidRPr="006B6D61">
        <w:t>Systém detekce rušení signálů družicové navigace pro oblast integrovaných bezpečnostních prvků v silniční dopravě</w:t>
      </w:r>
      <w:r w:rsidR="001A26B0" w:rsidRPr="006B6D61">
        <w:t>.</w:t>
      </w:r>
    </w:p>
    <w:p w14:paraId="59A2A650" w14:textId="0FAF5391" w:rsidR="005C66C6" w:rsidRPr="006B6D61" w:rsidRDefault="001A6D97" w:rsidP="005C66C6">
      <w:pPr>
        <w:pStyle w:val="KOMtext"/>
      </w:pPr>
      <w:r w:rsidRPr="006B6D61">
        <w:t xml:space="preserve">Z celkové částky </w:t>
      </w:r>
      <w:r w:rsidR="00846B52" w:rsidRPr="007A029F">
        <w:t>poskytnuté částky</w:t>
      </w:r>
      <w:r w:rsidR="005833CE" w:rsidRPr="007A029F">
        <w:t xml:space="preserve"> </w:t>
      </w:r>
      <w:r w:rsidR="00EA4932" w:rsidRPr="006B6D61">
        <w:rPr>
          <w:b/>
        </w:rPr>
        <w:t>89 069</w:t>
      </w:r>
      <w:r w:rsidR="006F0813" w:rsidRPr="006B6D61">
        <w:rPr>
          <w:b/>
        </w:rPr>
        <w:t xml:space="preserve"> </w:t>
      </w:r>
      <w:r w:rsidRPr="006B6D61">
        <w:rPr>
          <w:b/>
        </w:rPr>
        <w:t>tis. Kč</w:t>
      </w:r>
      <w:r w:rsidRPr="006B6D61">
        <w:t xml:space="preserve"> určené na neinvestiční část institucionální podpory na rok </w:t>
      </w:r>
      <w:r w:rsidR="00EA4932" w:rsidRPr="006B6D61">
        <w:t xml:space="preserve">2023 </w:t>
      </w:r>
      <w:r w:rsidRPr="006B6D61">
        <w:t xml:space="preserve">byla na řešení projektů spotřebována </w:t>
      </w:r>
      <w:r w:rsidR="00B3037B" w:rsidRPr="006B6D61">
        <w:t xml:space="preserve">částka </w:t>
      </w:r>
      <w:r w:rsidRPr="006B6D61">
        <w:rPr>
          <w:b/>
        </w:rPr>
        <w:t xml:space="preserve">ve výši </w:t>
      </w:r>
      <w:r w:rsidR="00C2276D" w:rsidRPr="006B6D61">
        <w:rPr>
          <w:b/>
        </w:rPr>
        <w:t>84 620</w:t>
      </w:r>
      <w:r w:rsidRPr="006B6D61">
        <w:rPr>
          <w:b/>
        </w:rPr>
        <w:t xml:space="preserve"> tis. Kč.</w:t>
      </w:r>
      <w:r w:rsidRPr="006B6D61">
        <w:t xml:space="preserve"> Nevyčerpané finanční prostředky ve výši </w:t>
      </w:r>
      <w:r w:rsidR="00124813" w:rsidRPr="006B6D61">
        <w:rPr>
          <w:b/>
        </w:rPr>
        <w:t xml:space="preserve">4 450 </w:t>
      </w:r>
      <w:r w:rsidRPr="006B6D61">
        <w:rPr>
          <w:b/>
        </w:rPr>
        <w:t>tis. Kč</w:t>
      </w:r>
      <w:r w:rsidRPr="006B6D61">
        <w:t xml:space="preserve"> byly v souladu s § 26 zákona č. 341/2005 Sb., o veřejných výzkumných institucích převedeny do fondu účelově určených prostředků Centra dopravního výzkumu </w:t>
      </w:r>
      <w:proofErr w:type="spellStart"/>
      <w:r w:rsidRPr="006B6D61">
        <w:t>v.v.i</w:t>
      </w:r>
      <w:proofErr w:type="spellEnd"/>
      <w:r w:rsidRPr="006B6D61">
        <w:t>.</w:t>
      </w:r>
      <w:r w:rsidR="005C66C6">
        <w:t xml:space="preserve"> </w:t>
      </w:r>
      <w:r w:rsidR="0080273D">
        <w:t>Rozdíl mezi Přílohou č. 1 v čerpání prostředků na řešení projektů je ve výši 107 tis. Kč je způsoben tím, že tyto pro</w:t>
      </w:r>
      <w:r w:rsidR="00680F4A">
        <w:t>středky byly v souladu s § 26 zákona č. 341/2005 Sb., použity z nevyčerpaných prostředků roku 2022</w:t>
      </w:r>
      <w:r w:rsidR="003639EE">
        <w:t xml:space="preserve"> fondu účelově určených prostředků</w:t>
      </w:r>
      <w:r w:rsidR="00680F4A">
        <w:t xml:space="preserve">, které se v roce 2023 nevykazují </w:t>
      </w:r>
      <w:r w:rsidR="00090583">
        <w:t xml:space="preserve">jako čerpání současného roku. </w:t>
      </w:r>
    </w:p>
    <w:p w14:paraId="2A893F45" w14:textId="77777777" w:rsidR="001A6D97" w:rsidRPr="006B6D61" w:rsidRDefault="001A6D97" w:rsidP="008A0E44">
      <w:pPr>
        <w:pStyle w:val="KOMnadp4"/>
        <w:rPr>
          <w:lang w:eastAsia="cs-CZ"/>
        </w:rPr>
      </w:pPr>
      <w:r w:rsidRPr="006B6D61">
        <w:rPr>
          <w:lang w:eastAsia="cs-CZ"/>
        </w:rPr>
        <w:t>Popis využití kapitálových výdajů:</w:t>
      </w:r>
    </w:p>
    <w:p w14:paraId="6131B7B9" w14:textId="469E4C84" w:rsidR="00A17419" w:rsidRPr="006B6D61" w:rsidRDefault="001A6D97" w:rsidP="003F0A7C">
      <w:pPr>
        <w:pStyle w:val="KOMtext"/>
      </w:pPr>
      <w:r w:rsidRPr="006B6D61">
        <w:t xml:space="preserve">V roce </w:t>
      </w:r>
      <w:r w:rsidR="00B7409C" w:rsidRPr="006B6D61">
        <w:t xml:space="preserve">2023 </w:t>
      </w:r>
      <w:r w:rsidRPr="006B6D61">
        <w:t xml:space="preserve">byl v rámci investiční části institucionální podpory pořízen hmotný a nehmotný majetek celkem </w:t>
      </w:r>
      <w:r w:rsidRPr="006B6D61">
        <w:rPr>
          <w:b/>
        </w:rPr>
        <w:t xml:space="preserve">ve výši </w:t>
      </w:r>
      <w:r w:rsidR="00DC43BF" w:rsidRPr="006B6D61">
        <w:rPr>
          <w:b/>
        </w:rPr>
        <w:t>8 593</w:t>
      </w:r>
      <w:r w:rsidRPr="006B6D61">
        <w:rPr>
          <w:b/>
        </w:rPr>
        <w:t xml:space="preserve"> tis. Kč. </w:t>
      </w:r>
      <w:r w:rsidRPr="006B6D61">
        <w:t xml:space="preserve">Nevyčerpané finanční prostředky </w:t>
      </w:r>
      <w:r w:rsidRPr="006B6D61">
        <w:rPr>
          <w:b/>
        </w:rPr>
        <w:t xml:space="preserve">ve výši </w:t>
      </w:r>
      <w:r w:rsidR="009E26DF" w:rsidRPr="006B6D61">
        <w:rPr>
          <w:b/>
        </w:rPr>
        <w:t xml:space="preserve">295 </w:t>
      </w:r>
      <w:r w:rsidRPr="006B6D61">
        <w:rPr>
          <w:b/>
        </w:rPr>
        <w:t>tis. Kč</w:t>
      </w:r>
      <w:r w:rsidRPr="006B6D61">
        <w:t xml:space="preserve"> byly v souladu s § 26 zákona č. 341/2005 Sb., o veřejných výzkumných institucích převedeny do fondu účelově určených prostředků Centra dopravního výzkumu </w:t>
      </w:r>
      <w:proofErr w:type="spellStart"/>
      <w:r w:rsidRPr="006B6D61">
        <w:t>v.v.i</w:t>
      </w:r>
      <w:proofErr w:type="spellEnd"/>
      <w:r w:rsidRPr="006B6D61">
        <w:t>.</w:t>
      </w:r>
      <w:r w:rsidR="005C66C6">
        <w:t xml:space="preserve"> </w:t>
      </w:r>
      <w:r w:rsidR="00090583">
        <w:t xml:space="preserve">Rozdíl mezi Přílohou </w:t>
      </w:r>
      <w:r w:rsidR="003639EE">
        <w:br/>
      </w:r>
      <w:r w:rsidR="00090583">
        <w:t>č. 1 v čerpání prostředků na pořízení dlouhodobého majetku je způsoben</w:t>
      </w:r>
      <w:r w:rsidR="003639EE">
        <w:t xml:space="preserve"> použitím prostředků z fondu účelově určených prostředků v souladu s § 26 zákona č. 341/2005 Sb. </w:t>
      </w:r>
    </w:p>
    <w:p w14:paraId="3A96C55E" w14:textId="77777777" w:rsidR="005C66C6" w:rsidRDefault="00B105B5" w:rsidP="003F0A7C">
      <w:pPr>
        <w:pStyle w:val="KOMtext"/>
      </w:pPr>
      <w:r w:rsidRPr="006B6D61">
        <w:lastRenderedPageBreak/>
        <w:t xml:space="preserve">Dosažené výstupy jsou hodnoceny jako přínosné a veškeré činnosti byly provedeny v souladu s návrhy projektů. Většina projektů jsou hodnoceny jako </w:t>
      </w:r>
      <w:r w:rsidR="00DC6A6E" w:rsidRPr="006B6D61">
        <w:t>vynikající projekty s výbornými výsledky s výraznou přidanou hodnotou, které jsou schopny přímé aplikace a úspěšně nap</w:t>
      </w:r>
      <w:r w:rsidRPr="006B6D61">
        <w:t>lnily cíle</w:t>
      </w:r>
      <w:r w:rsidR="00DC6A6E" w:rsidRPr="006B6D61">
        <w:t xml:space="preserve">. </w:t>
      </w:r>
      <w:r w:rsidRPr="006B6D61">
        <w:t>Další projekty</w:t>
      </w:r>
      <w:r w:rsidR="00DC6A6E" w:rsidRPr="006B6D61">
        <w:t xml:space="preserve"> </w:t>
      </w:r>
      <w:r w:rsidRPr="006B6D61">
        <w:t xml:space="preserve">byly hodnoceny jako </w:t>
      </w:r>
      <w:r w:rsidR="00DC6A6E" w:rsidRPr="006B6D61">
        <w:t xml:space="preserve">velmi dobré projekty, které splnily </w:t>
      </w:r>
      <w:r w:rsidRPr="006B6D61">
        <w:t>veškeré</w:t>
      </w:r>
      <w:r w:rsidR="00DC6A6E" w:rsidRPr="006B6D61">
        <w:t xml:space="preserve"> </w:t>
      </w:r>
      <w:r w:rsidRPr="006B6D61">
        <w:t>požadavky</w:t>
      </w:r>
      <w:r w:rsidR="00DC6A6E" w:rsidRPr="006B6D61">
        <w:t xml:space="preserve"> zadavatele, </w:t>
      </w:r>
      <w:r w:rsidRPr="006B6D61">
        <w:t xml:space="preserve">dále </w:t>
      </w:r>
      <w:r w:rsidR="00DC6A6E" w:rsidRPr="006B6D61">
        <w:t>přinesly řadu nových řešení a výsledky jsou velmi dobře aplikovatelné do praxe.</w:t>
      </w:r>
      <w:r w:rsidR="005C66C6">
        <w:t xml:space="preserve"> </w:t>
      </w:r>
    </w:p>
    <w:p w14:paraId="2DA60BD0" w14:textId="6CD61D5A" w:rsidR="00DC6A6E" w:rsidRPr="006B6D61" w:rsidRDefault="005C66C6" w:rsidP="003F0A7C">
      <w:pPr>
        <w:pStyle w:val="KOMtext"/>
      </w:pPr>
      <w:r>
        <w:t xml:space="preserve">Prostředky na institucionální podporu celkem byly v roce 2023 poskytnuty ve výši 97 663 </w:t>
      </w:r>
      <w:r w:rsidR="00104AE0">
        <w:br/>
      </w:r>
      <w:r>
        <w:t xml:space="preserve">tis. Kč, tedy na úrovni roku 2022. Z toho na neinvestiční část bylo poskytnuto 89 069 tis. Kč, což představuje nárůst oproti roku 2022 o </w:t>
      </w:r>
      <w:r w:rsidRPr="005C66C6">
        <w:t>21</w:t>
      </w:r>
      <w:r>
        <w:t> </w:t>
      </w:r>
      <w:r w:rsidRPr="005C66C6">
        <w:t>406</w:t>
      </w:r>
      <w:r>
        <w:t xml:space="preserve"> tis. Kč. Na investiční část bylo v roce 2023 poskytnuto 8 593 tis. Kč, což je snížení oproti roku 2022 o </w:t>
      </w:r>
      <w:r w:rsidRPr="005C66C6">
        <w:t>21</w:t>
      </w:r>
      <w:r>
        <w:t> </w:t>
      </w:r>
      <w:r w:rsidRPr="005C66C6">
        <w:t>407</w:t>
      </w:r>
      <w:r>
        <w:t xml:space="preserve"> tis. Kč. </w:t>
      </w:r>
      <w:r w:rsidR="00104AE0">
        <w:t xml:space="preserve">Důvodem je nižší objem přidělených investičních prostředků výzkumné organizaci, které byly sníženy ve prospěch neinvestičních prostředků výzkumné organizace. </w:t>
      </w:r>
    </w:p>
    <w:p w14:paraId="6D52EB5E" w14:textId="5E32BD3B" w:rsidR="00043CAB" w:rsidRPr="006B6D61" w:rsidRDefault="00043CAB" w:rsidP="003F0A7C">
      <w:pPr>
        <w:pStyle w:val="KOMtext"/>
      </w:pPr>
      <w:r w:rsidRPr="006B6D61">
        <w:t xml:space="preserve">Kompletní a detailní přehled a popis jednotlivých projektů neinvestičních a investiční části institucionální podpory pro Centrum dopravního výzkumu </w:t>
      </w:r>
      <w:proofErr w:type="spellStart"/>
      <w:r w:rsidRPr="006B6D61">
        <w:t>v.v.i</w:t>
      </w:r>
      <w:proofErr w:type="spellEnd"/>
      <w:r w:rsidRPr="006B6D61">
        <w:t>. je uveden v příloze č.</w:t>
      </w:r>
      <w:r w:rsidR="006F0813" w:rsidRPr="006B6D61">
        <w:t xml:space="preserve"> </w:t>
      </w:r>
      <w:r w:rsidR="006E0DB2" w:rsidRPr="006B6D61">
        <w:t>1.</w:t>
      </w:r>
    </w:p>
    <w:p w14:paraId="545B2444" w14:textId="4DF99748" w:rsidR="000E486E" w:rsidRPr="006B6D61" w:rsidRDefault="003F4190" w:rsidP="00FE67C5">
      <w:pPr>
        <w:pStyle w:val="KOMnadp2"/>
      </w:pPr>
      <w:bookmarkStart w:id="396" w:name="_Toc128397675"/>
      <w:bookmarkStart w:id="397" w:name="_Toc128397808"/>
      <w:bookmarkStart w:id="398" w:name="_Toc128398029"/>
      <w:bookmarkStart w:id="399" w:name="_Toc128398372"/>
      <w:bookmarkStart w:id="400" w:name="_Toc128398498"/>
      <w:bookmarkStart w:id="401" w:name="_Toc128398712"/>
      <w:bookmarkStart w:id="402" w:name="_Toc128400028"/>
      <w:bookmarkStart w:id="403" w:name="_Toc128401268"/>
      <w:bookmarkStart w:id="404" w:name="_Toc128401396"/>
      <w:bookmarkStart w:id="405" w:name="_Toc128401883"/>
      <w:bookmarkStart w:id="406" w:name="_Toc128397676"/>
      <w:bookmarkStart w:id="407" w:name="_Toc128397809"/>
      <w:bookmarkStart w:id="408" w:name="_Toc128398030"/>
      <w:bookmarkStart w:id="409" w:name="_Toc128398373"/>
      <w:bookmarkStart w:id="410" w:name="_Toc128398499"/>
      <w:bookmarkStart w:id="411" w:name="_Toc128398713"/>
      <w:bookmarkStart w:id="412" w:name="_Toc128400029"/>
      <w:bookmarkStart w:id="413" w:name="_Toc128401269"/>
      <w:bookmarkStart w:id="414" w:name="_Toc128401397"/>
      <w:bookmarkStart w:id="415" w:name="_Toc128401884"/>
      <w:bookmarkStart w:id="416" w:name="_Toc128397677"/>
      <w:bookmarkStart w:id="417" w:name="_Toc128397810"/>
      <w:bookmarkStart w:id="418" w:name="_Toc128398031"/>
      <w:bookmarkStart w:id="419" w:name="_Toc128398374"/>
      <w:bookmarkStart w:id="420" w:name="_Toc128398500"/>
      <w:bookmarkStart w:id="421" w:name="_Toc128398714"/>
      <w:bookmarkStart w:id="422" w:name="_Toc128400030"/>
      <w:bookmarkStart w:id="423" w:name="_Toc128401270"/>
      <w:bookmarkStart w:id="424" w:name="_Toc128401398"/>
      <w:bookmarkStart w:id="425" w:name="_Toc128401885"/>
      <w:bookmarkStart w:id="426" w:name="_Toc128397678"/>
      <w:bookmarkStart w:id="427" w:name="_Toc128397811"/>
      <w:bookmarkStart w:id="428" w:name="_Toc128398032"/>
      <w:bookmarkStart w:id="429" w:name="_Toc128398375"/>
      <w:bookmarkStart w:id="430" w:name="_Toc128398501"/>
      <w:bookmarkStart w:id="431" w:name="_Toc128398715"/>
      <w:bookmarkStart w:id="432" w:name="_Toc128400031"/>
      <w:bookmarkStart w:id="433" w:name="_Toc128401271"/>
      <w:bookmarkStart w:id="434" w:name="_Toc128401399"/>
      <w:bookmarkStart w:id="435" w:name="_Toc128401886"/>
      <w:bookmarkStart w:id="436" w:name="_Toc128397679"/>
      <w:bookmarkStart w:id="437" w:name="_Toc128397812"/>
      <w:bookmarkStart w:id="438" w:name="_Toc128398033"/>
      <w:bookmarkStart w:id="439" w:name="_Toc128398376"/>
      <w:bookmarkStart w:id="440" w:name="_Toc128398502"/>
      <w:bookmarkStart w:id="441" w:name="_Toc128398716"/>
      <w:bookmarkStart w:id="442" w:name="_Toc128400032"/>
      <w:bookmarkStart w:id="443" w:name="_Toc128401272"/>
      <w:bookmarkStart w:id="444" w:name="_Toc128401400"/>
      <w:bookmarkStart w:id="445" w:name="_Toc128401887"/>
      <w:bookmarkStart w:id="446" w:name="_Toc128397680"/>
      <w:bookmarkStart w:id="447" w:name="_Toc128397813"/>
      <w:bookmarkStart w:id="448" w:name="_Toc128398034"/>
      <w:bookmarkStart w:id="449" w:name="_Toc128398377"/>
      <w:bookmarkStart w:id="450" w:name="_Toc128398503"/>
      <w:bookmarkStart w:id="451" w:name="_Toc128398717"/>
      <w:bookmarkStart w:id="452" w:name="_Toc128400033"/>
      <w:bookmarkStart w:id="453" w:name="_Toc128401273"/>
      <w:bookmarkStart w:id="454" w:name="_Toc128401401"/>
      <w:bookmarkStart w:id="455" w:name="_Toc128401888"/>
      <w:bookmarkStart w:id="456" w:name="_Toc128397681"/>
      <w:bookmarkStart w:id="457" w:name="_Toc128397814"/>
      <w:bookmarkStart w:id="458" w:name="_Toc128398035"/>
      <w:bookmarkStart w:id="459" w:name="_Toc128398378"/>
      <w:bookmarkStart w:id="460" w:name="_Toc128398504"/>
      <w:bookmarkStart w:id="461" w:name="_Toc128398718"/>
      <w:bookmarkStart w:id="462" w:name="_Toc128400034"/>
      <w:bookmarkStart w:id="463" w:name="_Toc128401274"/>
      <w:bookmarkStart w:id="464" w:name="_Toc128401402"/>
      <w:bookmarkStart w:id="465" w:name="_Toc128401889"/>
      <w:bookmarkStart w:id="466" w:name="_Toc128397682"/>
      <w:bookmarkStart w:id="467" w:name="_Toc128397815"/>
      <w:bookmarkStart w:id="468" w:name="_Toc128398036"/>
      <w:bookmarkStart w:id="469" w:name="_Toc128398379"/>
      <w:bookmarkStart w:id="470" w:name="_Toc128398505"/>
      <w:bookmarkStart w:id="471" w:name="_Toc128398719"/>
      <w:bookmarkStart w:id="472" w:name="_Toc128400035"/>
      <w:bookmarkStart w:id="473" w:name="_Toc128401275"/>
      <w:bookmarkStart w:id="474" w:name="_Toc128401403"/>
      <w:bookmarkStart w:id="475" w:name="_Toc128401890"/>
      <w:bookmarkStart w:id="476" w:name="_Toc128397683"/>
      <w:bookmarkStart w:id="477" w:name="_Toc128397816"/>
      <w:bookmarkStart w:id="478" w:name="_Toc128398037"/>
      <w:bookmarkStart w:id="479" w:name="_Toc128398380"/>
      <w:bookmarkStart w:id="480" w:name="_Toc128398506"/>
      <w:bookmarkStart w:id="481" w:name="_Toc128398720"/>
      <w:bookmarkStart w:id="482" w:name="_Toc128400036"/>
      <w:bookmarkStart w:id="483" w:name="_Toc128401276"/>
      <w:bookmarkStart w:id="484" w:name="_Toc128401404"/>
      <w:bookmarkStart w:id="485" w:name="_Toc128401891"/>
      <w:bookmarkStart w:id="486" w:name="_Toc128397684"/>
      <w:bookmarkStart w:id="487" w:name="_Toc128397817"/>
      <w:bookmarkStart w:id="488" w:name="_Toc128398038"/>
      <w:bookmarkStart w:id="489" w:name="_Toc128398381"/>
      <w:bookmarkStart w:id="490" w:name="_Toc128398507"/>
      <w:bookmarkStart w:id="491" w:name="_Toc128398721"/>
      <w:bookmarkStart w:id="492" w:name="_Toc128400037"/>
      <w:bookmarkStart w:id="493" w:name="_Toc128401277"/>
      <w:bookmarkStart w:id="494" w:name="_Toc128401405"/>
      <w:bookmarkStart w:id="495" w:name="_Toc128401892"/>
      <w:bookmarkStart w:id="496" w:name="_Toc128397685"/>
      <w:bookmarkStart w:id="497" w:name="_Toc128397818"/>
      <w:bookmarkStart w:id="498" w:name="_Toc128398039"/>
      <w:bookmarkStart w:id="499" w:name="_Toc128398382"/>
      <w:bookmarkStart w:id="500" w:name="_Toc128398508"/>
      <w:bookmarkStart w:id="501" w:name="_Toc128398722"/>
      <w:bookmarkStart w:id="502" w:name="_Toc128400038"/>
      <w:bookmarkStart w:id="503" w:name="_Toc128401278"/>
      <w:bookmarkStart w:id="504" w:name="_Toc128401406"/>
      <w:bookmarkStart w:id="505" w:name="_Toc128401893"/>
      <w:bookmarkStart w:id="506" w:name="_Toc128397686"/>
      <w:bookmarkStart w:id="507" w:name="_Toc128397819"/>
      <w:bookmarkStart w:id="508" w:name="_Toc128398040"/>
      <w:bookmarkStart w:id="509" w:name="_Toc128398383"/>
      <w:bookmarkStart w:id="510" w:name="_Toc128398509"/>
      <w:bookmarkStart w:id="511" w:name="_Toc128398723"/>
      <w:bookmarkStart w:id="512" w:name="_Toc128400039"/>
      <w:bookmarkStart w:id="513" w:name="_Toc128401279"/>
      <w:bookmarkStart w:id="514" w:name="_Toc128401407"/>
      <w:bookmarkStart w:id="515" w:name="_Toc128401894"/>
      <w:bookmarkStart w:id="516" w:name="_Toc128397687"/>
      <w:bookmarkStart w:id="517" w:name="_Toc128397820"/>
      <w:bookmarkStart w:id="518" w:name="_Toc128398041"/>
      <w:bookmarkStart w:id="519" w:name="_Toc128398384"/>
      <w:bookmarkStart w:id="520" w:name="_Toc128398510"/>
      <w:bookmarkStart w:id="521" w:name="_Toc128398724"/>
      <w:bookmarkStart w:id="522" w:name="_Toc128400040"/>
      <w:bookmarkStart w:id="523" w:name="_Toc128401280"/>
      <w:bookmarkStart w:id="524" w:name="_Toc128401408"/>
      <w:bookmarkStart w:id="525" w:name="_Toc128401895"/>
      <w:bookmarkStart w:id="526" w:name="_Toc128397688"/>
      <w:bookmarkStart w:id="527" w:name="_Toc128397821"/>
      <w:bookmarkStart w:id="528" w:name="_Toc128398042"/>
      <w:bookmarkStart w:id="529" w:name="_Toc128398385"/>
      <w:bookmarkStart w:id="530" w:name="_Toc128398511"/>
      <w:bookmarkStart w:id="531" w:name="_Toc128398725"/>
      <w:bookmarkStart w:id="532" w:name="_Toc128400041"/>
      <w:bookmarkStart w:id="533" w:name="_Toc128401281"/>
      <w:bookmarkStart w:id="534" w:name="_Toc128401409"/>
      <w:bookmarkStart w:id="535" w:name="_Toc128401896"/>
      <w:bookmarkStart w:id="536" w:name="_Toc128397689"/>
      <w:bookmarkStart w:id="537" w:name="_Toc128397822"/>
      <w:bookmarkStart w:id="538" w:name="_Toc128398043"/>
      <w:bookmarkStart w:id="539" w:name="_Toc128398386"/>
      <w:bookmarkStart w:id="540" w:name="_Toc128398512"/>
      <w:bookmarkStart w:id="541" w:name="_Toc128398726"/>
      <w:bookmarkStart w:id="542" w:name="_Toc128400042"/>
      <w:bookmarkStart w:id="543" w:name="_Toc128401282"/>
      <w:bookmarkStart w:id="544" w:name="_Toc128401410"/>
      <w:bookmarkStart w:id="545" w:name="_Toc128401897"/>
      <w:bookmarkStart w:id="546" w:name="_Toc128397690"/>
      <w:bookmarkStart w:id="547" w:name="_Toc128397823"/>
      <w:bookmarkStart w:id="548" w:name="_Toc128398044"/>
      <w:bookmarkStart w:id="549" w:name="_Toc128398387"/>
      <w:bookmarkStart w:id="550" w:name="_Toc128398513"/>
      <w:bookmarkStart w:id="551" w:name="_Toc128398727"/>
      <w:bookmarkStart w:id="552" w:name="_Toc128400043"/>
      <w:bookmarkStart w:id="553" w:name="_Toc128401283"/>
      <w:bookmarkStart w:id="554" w:name="_Toc128401411"/>
      <w:bookmarkStart w:id="555" w:name="_Toc128401898"/>
      <w:bookmarkStart w:id="556" w:name="_Toc128397691"/>
      <w:bookmarkStart w:id="557" w:name="_Toc128397824"/>
      <w:bookmarkStart w:id="558" w:name="_Toc128398045"/>
      <w:bookmarkStart w:id="559" w:name="_Toc128398388"/>
      <w:bookmarkStart w:id="560" w:name="_Toc128398514"/>
      <w:bookmarkStart w:id="561" w:name="_Toc128398728"/>
      <w:bookmarkStart w:id="562" w:name="_Toc128400044"/>
      <w:bookmarkStart w:id="563" w:name="_Toc128401284"/>
      <w:bookmarkStart w:id="564" w:name="_Toc128401412"/>
      <w:bookmarkStart w:id="565" w:name="_Toc128401899"/>
      <w:bookmarkStart w:id="566" w:name="_Toc128397692"/>
      <w:bookmarkStart w:id="567" w:name="_Toc128397825"/>
      <w:bookmarkStart w:id="568" w:name="_Toc128398046"/>
      <w:bookmarkStart w:id="569" w:name="_Toc128398389"/>
      <w:bookmarkStart w:id="570" w:name="_Toc128398515"/>
      <w:bookmarkStart w:id="571" w:name="_Toc128398729"/>
      <w:bookmarkStart w:id="572" w:name="_Toc128400045"/>
      <w:bookmarkStart w:id="573" w:name="_Toc128401285"/>
      <w:bookmarkStart w:id="574" w:name="_Toc128401413"/>
      <w:bookmarkStart w:id="575" w:name="_Toc128401900"/>
      <w:bookmarkStart w:id="576" w:name="_Toc128397693"/>
      <w:bookmarkStart w:id="577" w:name="_Toc128397826"/>
      <w:bookmarkStart w:id="578" w:name="_Toc128398047"/>
      <w:bookmarkStart w:id="579" w:name="_Toc128398390"/>
      <w:bookmarkStart w:id="580" w:name="_Toc128398516"/>
      <w:bookmarkStart w:id="581" w:name="_Toc128398730"/>
      <w:bookmarkStart w:id="582" w:name="_Toc128400046"/>
      <w:bookmarkStart w:id="583" w:name="_Toc128401286"/>
      <w:bookmarkStart w:id="584" w:name="_Toc128401414"/>
      <w:bookmarkStart w:id="585" w:name="_Toc128401901"/>
      <w:bookmarkStart w:id="586" w:name="_Toc128397694"/>
      <w:bookmarkStart w:id="587" w:name="_Toc128397827"/>
      <w:bookmarkStart w:id="588" w:name="_Toc128398048"/>
      <w:bookmarkStart w:id="589" w:name="_Toc128398391"/>
      <w:bookmarkStart w:id="590" w:name="_Toc128398517"/>
      <w:bookmarkStart w:id="591" w:name="_Toc128398731"/>
      <w:bookmarkStart w:id="592" w:name="_Toc128400047"/>
      <w:bookmarkStart w:id="593" w:name="_Toc128401287"/>
      <w:bookmarkStart w:id="594" w:name="_Toc128401415"/>
      <w:bookmarkStart w:id="595" w:name="_Toc128401902"/>
      <w:bookmarkStart w:id="596" w:name="_Toc128400048"/>
      <w:bookmarkStart w:id="597" w:name="_Toc162269259"/>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r w:rsidRPr="006B6D61">
        <w:t>Výdaje kapitoly RISPF (EDS/SMVS a ZED)</w:t>
      </w:r>
      <w:bookmarkEnd w:id="596"/>
      <w:bookmarkEnd w:id="597"/>
    </w:p>
    <w:p w14:paraId="04FAB4B3" w14:textId="4463DC36" w:rsidR="00A17419" w:rsidRPr="00F755EC" w:rsidRDefault="00A17419" w:rsidP="00D40EFF">
      <w:pPr>
        <w:pStyle w:val="KOMtext"/>
      </w:pPr>
      <w:r w:rsidRPr="00F755EC">
        <w:t>Rozpočtový systém programového financování (RISPF) se skládá:</w:t>
      </w:r>
    </w:p>
    <w:p w14:paraId="20F2DB5F" w14:textId="77777777" w:rsidR="00F755EC" w:rsidRPr="00F755EC" w:rsidRDefault="00A17419" w:rsidP="00F755EC">
      <w:pPr>
        <w:numPr>
          <w:ilvl w:val="0"/>
          <w:numId w:val="10"/>
        </w:numPr>
        <w:spacing w:before="120" w:after="120" w:line="276" w:lineRule="auto"/>
        <w:ind w:left="714" w:hanging="357"/>
        <w:jc w:val="both"/>
        <w:rPr>
          <w:sz w:val="24"/>
          <w:szCs w:val="24"/>
          <w:lang w:eastAsia="cs-CZ"/>
        </w:rPr>
      </w:pPr>
      <w:r w:rsidRPr="00F755EC">
        <w:rPr>
          <w:b/>
          <w:color w:val="000000"/>
          <w:sz w:val="24"/>
          <w:szCs w:val="24"/>
          <w:lang w:eastAsia="cs-CZ"/>
        </w:rPr>
        <w:t>z modulu Evidenční dotační systém/Správa majetku ve vlastnictví státu (EDS/SMVS)</w:t>
      </w:r>
      <w:r w:rsidRPr="00F755EC">
        <w:rPr>
          <w:color w:val="000000"/>
          <w:sz w:val="24"/>
          <w:szCs w:val="24"/>
          <w:lang w:eastAsia="cs-CZ"/>
        </w:rPr>
        <w:t xml:space="preserve"> </w:t>
      </w:r>
      <w:r w:rsidRPr="00F755EC">
        <w:rPr>
          <w:sz w:val="24"/>
          <w:szCs w:val="24"/>
          <w:lang w:eastAsia="cs-CZ"/>
        </w:rPr>
        <w:t>pro oblast investičních dotací ze SR a výdajů SR na správu majetku státu upravovanou vyhláškou č. 560/2006 Sb., o účasti státního rozpočtu na financování</w:t>
      </w:r>
      <w:r w:rsidR="006F0813" w:rsidRPr="00F755EC">
        <w:rPr>
          <w:sz w:val="24"/>
          <w:szCs w:val="24"/>
          <w:lang w:eastAsia="cs-CZ"/>
        </w:rPr>
        <w:t xml:space="preserve"> </w:t>
      </w:r>
      <w:r w:rsidRPr="00F755EC">
        <w:rPr>
          <w:sz w:val="24"/>
          <w:szCs w:val="24"/>
          <w:lang w:eastAsia="cs-CZ"/>
        </w:rPr>
        <w:t>programů reprodukce majetku,</w:t>
      </w:r>
    </w:p>
    <w:p w14:paraId="1FD682A9" w14:textId="77777777" w:rsidR="00F755EC" w:rsidRPr="00F755EC" w:rsidRDefault="00F755EC" w:rsidP="00F755EC">
      <w:pPr>
        <w:numPr>
          <w:ilvl w:val="0"/>
          <w:numId w:val="10"/>
        </w:numPr>
        <w:spacing w:before="120" w:after="120" w:line="276" w:lineRule="auto"/>
        <w:ind w:left="714" w:hanging="357"/>
        <w:jc w:val="both"/>
        <w:rPr>
          <w:sz w:val="24"/>
          <w:szCs w:val="24"/>
          <w:lang w:eastAsia="cs-CZ"/>
        </w:rPr>
      </w:pPr>
      <w:r w:rsidRPr="00F755EC">
        <w:rPr>
          <w:b/>
          <w:sz w:val="24"/>
          <w:szCs w:val="24"/>
          <w:lang w:eastAsia="cs-CZ"/>
        </w:rPr>
        <w:t>z modulu Zjednodušené evidence dotací (ZED)</w:t>
      </w:r>
      <w:r w:rsidRPr="00F755EC">
        <w:rPr>
          <w:sz w:val="24"/>
          <w:szCs w:val="24"/>
          <w:lang w:eastAsia="cs-CZ"/>
        </w:rPr>
        <w:t xml:space="preserve"> - pro neinvestiční dotace a dále všechny dotace a návratné finanční výpomoci (investiční, neinvestiční) na které se nevztahuje prováděcí vyhláška k programovému financování. Součástí ZED jsou </w:t>
      </w:r>
      <w:r w:rsidRPr="00F755EC">
        <w:rPr>
          <w:sz w:val="24"/>
          <w:szCs w:val="24"/>
          <w:lang w:eastAsia="cs-CZ"/>
        </w:rPr>
        <w:br/>
        <w:t xml:space="preserve">i dotace spolufinancované z fondů Evropské unie 2021+, pokud není příjemcem organizační složka státu nebo státní příspěvková organizace. </w:t>
      </w: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0"/>
        <w:gridCol w:w="1134"/>
        <w:gridCol w:w="1134"/>
        <w:gridCol w:w="1249"/>
        <w:gridCol w:w="1161"/>
        <w:gridCol w:w="1089"/>
        <w:gridCol w:w="754"/>
      </w:tblGrid>
      <w:tr w:rsidR="00040F39" w:rsidRPr="006A755F" w14:paraId="0D866CC4" w14:textId="77777777" w:rsidTr="00190991">
        <w:trPr>
          <w:trHeight w:val="293"/>
          <w:tblHeader/>
        </w:trPr>
        <w:tc>
          <w:tcPr>
            <w:tcW w:w="9281" w:type="dxa"/>
            <w:gridSpan w:val="7"/>
            <w:tcBorders>
              <w:top w:val="nil"/>
              <w:left w:val="nil"/>
              <w:right w:val="nil"/>
            </w:tcBorders>
            <w:shd w:val="clear" w:color="auto" w:fill="auto"/>
            <w:vAlign w:val="center"/>
          </w:tcPr>
          <w:p w14:paraId="71E8DD80" w14:textId="77777777" w:rsidR="00040F39" w:rsidRPr="006A755F" w:rsidRDefault="00040F39" w:rsidP="00190991">
            <w:pPr>
              <w:spacing w:after="0"/>
              <w:jc w:val="right"/>
              <w:rPr>
                <w:rFonts w:cstheme="minorHAnsi"/>
                <w:sz w:val="20"/>
                <w:szCs w:val="20"/>
              </w:rPr>
            </w:pPr>
            <w:r w:rsidRPr="006A755F">
              <w:rPr>
                <w:rFonts w:cstheme="minorHAnsi"/>
                <w:sz w:val="20"/>
                <w:szCs w:val="20"/>
              </w:rPr>
              <w:t>v tis. Kč</w:t>
            </w:r>
          </w:p>
        </w:tc>
      </w:tr>
      <w:tr w:rsidR="00040F39" w:rsidRPr="006A755F" w14:paraId="449ACFD3" w14:textId="77777777" w:rsidTr="00190991">
        <w:trPr>
          <w:tblHeader/>
        </w:trPr>
        <w:tc>
          <w:tcPr>
            <w:tcW w:w="2760" w:type="dxa"/>
            <w:vMerge w:val="restart"/>
            <w:shd w:val="pct12" w:color="auto" w:fill="auto"/>
          </w:tcPr>
          <w:p w14:paraId="79075904" w14:textId="77777777" w:rsidR="00040F39" w:rsidRPr="006A755F" w:rsidRDefault="00040F39" w:rsidP="00190991">
            <w:pPr>
              <w:spacing w:before="240"/>
              <w:jc w:val="center"/>
              <w:rPr>
                <w:rFonts w:cstheme="minorHAnsi"/>
                <w:b/>
                <w:sz w:val="20"/>
                <w:szCs w:val="20"/>
              </w:rPr>
            </w:pPr>
            <w:r w:rsidRPr="006A755F">
              <w:rPr>
                <w:rFonts w:cstheme="minorHAnsi"/>
                <w:b/>
                <w:sz w:val="20"/>
                <w:szCs w:val="20"/>
              </w:rPr>
              <w:t>Ukazatel</w:t>
            </w:r>
          </w:p>
        </w:tc>
        <w:tc>
          <w:tcPr>
            <w:tcW w:w="1134" w:type="dxa"/>
            <w:vMerge w:val="restart"/>
            <w:tcBorders>
              <w:top w:val="single" w:sz="4" w:space="0" w:color="auto"/>
              <w:right w:val="single" w:sz="4" w:space="0" w:color="auto"/>
            </w:tcBorders>
            <w:shd w:val="pct12" w:color="auto" w:fill="auto"/>
            <w:vAlign w:val="center"/>
          </w:tcPr>
          <w:p w14:paraId="29EEE90A"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Skutečnost</w:t>
            </w:r>
          </w:p>
          <w:p w14:paraId="4D6EDE67"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202</w:t>
            </w:r>
            <w:r>
              <w:rPr>
                <w:rFonts w:cstheme="minorHAnsi"/>
                <w:b/>
                <w:sz w:val="20"/>
                <w:szCs w:val="20"/>
              </w:rPr>
              <w:t>2</w:t>
            </w:r>
          </w:p>
        </w:tc>
        <w:tc>
          <w:tcPr>
            <w:tcW w:w="3544" w:type="dxa"/>
            <w:gridSpan w:val="3"/>
            <w:tcBorders>
              <w:top w:val="single" w:sz="4" w:space="0" w:color="auto"/>
              <w:left w:val="single" w:sz="4" w:space="0" w:color="auto"/>
              <w:bottom w:val="single" w:sz="4" w:space="0" w:color="auto"/>
              <w:right w:val="single" w:sz="4" w:space="0" w:color="auto"/>
            </w:tcBorders>
            <w:shd w:val="pct12" w:color="auto" w:fill="auto"/>
            <w:vAlign w:val="center"/>
          </w:tcPr>
          <w:p w14:paraId="3156F0FB"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Rozpočet 202</w:t>
            </w:r>
            <w:r>
              <w:rPr>
                <w:rFonts w:cstheme="minorHAnsi"/>
                <w:b/>
                <w:sz w:val="20"/>
                <w:szCs w:val="20"/>
              </w:rPr>
              <w:t>3</w:t>
            </w:r>
          </w:p>
        </w:tc>
        <w:tc>
          <w:tcPr>
            <w:tcW w:w="1089" w:type="dxa"/>
            <w:vMerge w:val="restart"/>
            <w:tcBorders>
              <w:top w:val="single" w:sz="4" w:space="0" w:color="auto"/>
              <w:left w:val="single" w:sz="4" w:space="0" w:color="auto"/>
              <w:right w:val="single" w:sz="4" w:space="0" w:color="auto"/>
            </w:tcBorders>
            <w:shd w:val="pct12" w:color="auto" w:fill="auto"/>
            <w:vAlign w:val="center"/>
          </w:tcPr>
          <w:p w14:paraId="6F67A5AC"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Skutečnost</w:t>
            </w:r>
          </w:p>
          <w:p w14:paraId="764BA52D"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202</w:t>
            </w:r>
            <w:r>
              <w:rPr>
                <w:rFonts w:cstheme="minorHAnsi"/>
                <w:b/>
                <w:sz w:val="20"/>
                <w:szCs w:val="20"/>
              </w:rPr>
              <w:t>3</w:t>
            </w:r>
          </w:p>
        </w:tc>
        <w:tc>
          <w:tcPr>
            <w:tcW w:w="754" w:type="dxa"/>
            <w:vMerge w:val="restart"/>
            <w:tcBorders>
              <w:top w:val="single" w:sz="4" w:space="0" w:color="auto"/>
              <w:left w:val="single" w:sz="4" w:space="0" w:color="auto"/>
            </w:tcBorders>
            <w:shd w:val="pct12" w:color="auto" w:fill="auto"/>
            <w:vAlign w:val="center"/>
          </w:tcPr>
          <w:p w14:paraId="4F0CAC8D"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Index</w:t>
            </w:r>
          </w:p>
          <w:p w14:paraId="34448B25"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 xml:space="preserve"> (v %)</w:t>
            </w:r>
          </w:p>
        </w:tc>
      </w:tr>
      <w:tr w:rsidR="00040F39" w:rsidRPr="006A755F" w14:paraId="50EA4D2E" w14:textId="77777777" w:rsidTr="00190991">
        <w:trPr>
          <w:trHeight w:val="100"/>
          <w:tblHeader/>
        </w:trPr>
        <w:tc>
          <w:tcPr>
            <w:tcW w:w="2760" w:type="dxa"/>
            <w:vMerge/>
            <w:tcBorders>
              <w:bottom w:val="nil"/>
            </w:tcBorders>
          </w:tcPr>
          <w:p w14:paraId="0223B323" w14:textId="77777777" w:rsidR="00040F39" w:rsidRPr="006A755F" w:rsidRDefault="00040F39" w:rsidP="00190991">
            <w:pPr>
              <w:jc w:val="center"/>
              <w:rPr>
                <w:rFonts w:cstheme="minorHAnsi"/>
                <w:sz w:val="20"/>
                <w:szCs w:val="20"/>
              </w:rPr>
            </w:pPr>
          </w:p>
        </w:tc>
        <w:tc>
          <w:tcPr>
            <w:tcW w:w="1134" w:type="dxa"/>
            <w:vMerge/>
            <w:tcBorders>
              <w:bottom w:val="nil"/>
              <w:right w:val="single" w:sz="4" w:space="0" w:color="auto"/>
            </w:tcBorders>
          </w:tcPr>
          <w:p w14:paraId="2E9C0541" w14:textId="77777777" w:rsidR="00040F39" w:rsidRPr="006A755F" w:rsidRDefault="00040F39" w:rsidP="00190991">
            <w:pPr>
              <w:jc w:val="center"/>
              <w:rPr>
                <w:rFonts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shd w:val="pct12" w:color="auto" w:fill="auto"/>
          </w:tcPr>
          <w:p w14:paraId="328269A8"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schválený</w:t>
            </w:r>
          </w:p>
        </w:tc>
        <w:tc>
          <w:tcPr>
            <w:tcW w:w="1249" w:type="dxa"/>
            <w:tcBorders>
              <w:top w:val="single" w:sz="4" w:space="0" w:color="auto"/>
              <w:left w:val="single" w:sz="4" w:space="0" w:color="auto"/>
              <w:bottom w:val="single" w:sz="4" w:space="0" w:color="auto"/>
              <w:right w:val="single" w:sz="4" w:space="0" w:color="auto"/>
            </w:tcBorders>
            <w:shd w:val="pct12" w:color="auto" w:fill="auto"/>
          </w:tcPr>
          <w:p w14:paraId="501C10BF"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po změnách</w:t>
            </w:r>
          </w:p>
        </w:tc>
        <w:tc>
          <w:tcPr>
            <w:tcW w:w="1161" w:type="dxa"/>
            <w:tcBorders>
              <w:top w:val="single" w:sz="4" w:space="0" w:color="auto"/>
              <w:left w:val="single" w:sz="4" w:space="0" w:color="auto"/>
              <w:bottom w:val="single" w:sz="4" w:space="0" w:color="auto"/>
              <w:right w:val="single" w:sz="4" w:space="0" w:color="auto"/>
            </w:tcBorders>
            <w:shd w:val="pct12" w:color="auto" w:fill="auto"/>
          </w:tcPr>
          <w:p w14:paraId="5FBB4A7F" w14:textId="77777777" w:rsidR="00040F39" w:rsidRPr="006A755F" w:rsidRDefault="00040F39" w:rsidP="00190991">
            <w:pPr>
              <w:spacing w:before="60" w:after="60"/>
              <w:jc w:val="center"/>
              <w:rPr>
                <w:rFonts w:cstheme="minorHAnsi"/>
                <w:b/>
                <w:sz w:val="20"/>
                <w:szCs w:val="20"/>
              </w:rPr>
            </w:pPr>
            <w:r w:rsidRPr="006A755F">
              <w:rPr>
                <w:rFonts w:cstheme="minorHAnsi"/>
                <w:b/>
                <w:sz w:val="20"/>
                <w:szCs w:val="20"/>
              </w:rPr>
              <w:t>konečný</w:t>
            </w:r>
          </w:p>
        </w:tc>
        <w:tc>
          <w:tcPr>
            <w:tcW w:w="1089" w:type="dxa"/>
            <w:vMerge/>
            <w:tcBorders>
              <w:left w:val="single" w:sz="4" w:space="0" w:color="auto"/>
              <w:bottom w:val="nil"/>
              <w:right w:val="single" w:sz="4" w:space="0" w:color="auto"/>
            </w:tcBorders>
          </w:tcPr>
          <w:p w14:paraId="2F25E58C" w14:textId="77777777" w:rsidR="00040F39" w:rsidRPr="006A755F" w:rsidRDefault="00040F39" w:rsidP="00190991">
            <w:pPr>
              <w:jc w:val="center"/>
              <w:rPr>
                <w:rFonts w:cstheme="minorHAnsi"/>
                <w:sz w:val="20"/>
                <w:szCs w:val="20"/>
              </w:rPr>
            </w:pPr>
          </w:p>
        </w:tc>
        <w:tc>
          <w:tcPr>
            <w:tcW w:w="754" w:type="dxa"/>
            <w:vMerge/>
            <w:tcBorders>
              <w:left w:val="single" w:sz="4" w:space="0" w:color="auto"/>
              <w:bottom w:val="nil"/>
            </w:tcBorders>
          </w:tcPr>
          <w:p w14:paraId="5BE3E58E" w14:textId="77777777" w:rsidR="00040F39" w:rsidRPr="006A755F" w:rsidRDefault="00040F39" w:rsidP="00190991">
            <w:pPr>
              <w:jc w:val="center"/>
              <w:rPr>
                <w:rFonts w:cstheme="minorHAnsi"/>
                <w:sz w:val="20"/>
                <w:szCs w:val="20"/>
              </w:rPr>
            </w:pPr>
          </w:p>
        </w:tc>
      </w:tr>
      <w:tr w:rsidR="00040F39" w:rsidRPr="006A755F" w14:paraId="3872BD47" w14:textId="77777777" w:rsidTr="00190991">
        <w:trPr>
          <w:trHeight w:val="100"/>
          <w:tblHeader/>
        </w:trPr>
        <w:tc>
          <w:tcPr>
            <w:tcW w:w="2760" w:type="dxa"/>
            <w:tcBorders>
              <w:top w:val="single" w:sz="4" w:space="0" w:color="auto"/>
              <w:left w:val="single" w:sz="4" w:space="0" w:color="auto"/>
              <w:bottom w:val="single" w:sz="4" w:space="0" w:color="auto"/>
              <w:right w:val="single" w:sz="4" w:space="0" w:color="auto"/>
            </w:tcBorders>
          </w:tcPr>
          <w:p w14:paraId="479FBA52" w14:textId="77777777" w:rsidR="00040F39" w:rsidRPr="006A755F" w:rsidRDefault="00040F39" w:rsidP="00190991">
            <w:pPr>
              <w:spacing w:after="0"/>
              <w:jc w:val="center"/>
              <w:rPr>
                <w:rFonts w:cstheme="minorHAnsi"/>
                <w:sz w:val="20"/>
                <w:szCs w:val="20"/>
              </w:rPr>
            </w:pPr>
            <w:r w:rsidRPr="006A755F">
              <w:rPr>
                <w:rFonts w:cstheme="minorHAnsi"/>
                <w:sz w:val="20"/>
                <w:szCs w:val="20"/>
              </w:rPr>
              <w:t>a</w:t>
            </w:r>
          </w:p>
        </w:tc>
        <w:tc>
          <w:tcPr>
            <w:tcW w:w="1134" w:type="dxa"/>
            <w:tcBorders>
              <w:top w:val="single" w:sz="4" w:space="0" w:color="auto"/>
              <w:left w:val="single" w:sz="4" w:space="0" w:color="auto"/>
              <w:bottom w:val="single" w:sz="4" w:space="0" w:color="auto"/>
              <w:right w:val="single" w:sz="4" w:space="0" w:color="auto"/>
            </w:tcBorders>
          </w:tcPr>
          <w:p w14:paraId="55BBC91C" w14:textId="77777777" w:rsidR="00040F39" w:rsidRPr="006A755F" w:rsidRDefault="00040F39" w:rsidP="00190991">
            <w:pPr>
              <w:spacing w:after="0"/>
              <w:jc w:val="center"/>
              <w:rPr>
                <w:rFonts w:cstheme="minorHAnsi"/>
                <w:sz w:val="20"/>
                <w:szCs w:val="20"/>
              </w:rPr>
            </w:pPr>
            <w:r w:rsidRPr="006A755F">
              <w:rPr>
                <w:rFonts w:cstheme="minorHAnsi"/>
                <w:sz w:val="20"/>
                <w:szCs w:val="20"/>
              </w:rPr>
              <w:t>1</w:t>
            </w:r>
          </w:p>
        </w:tc>
        <w:tc>
          <w:tcPr>
            <w:tcW w:w="1134" w:type="dxa"/>
            <w:tcBorders>
              <w:top w:val="single" w:sz="4" w:space="0" w:color="auto"/>
              <w:left w:val="single" w:sz="4" w:space="0" w:color="auto"/>
              <w:bottom w:val="single" w:sz="4" w:space="0" w:color="auto"/>
              <w:right w:val="single" w:sz="4" w:space="0" w:color="auto"/>
            </w:tcBorders>
          </w:tcPr>
          <w:p w14:paraId="201F118A" w14:textId="77777777" w:rsidR="00040F39" w:rsidRPr="006A755F" w:rsidRDefault="00040F39" w:rsidP="00190991">
            <w:pPr>
              <w:spacing w:after="0"/>
              <w:jc w:val="center"/>
              <w:rPr>
                <w:rFonts w:cstheme="minorHAnsi"/>
                <w:sz w:val="20"/>
                <w:szCs w:val="20"/>
              </w:rPr>
            </w:pPr>
            <w:r w:rsidRPr="006A755F">
              <w:rPr>
                <w:rFonts w:cstheme="minorHAnsi"/>
                <w:sz w:val="20"/>
                <w:szCs w:val="20"/>
              </w:rPr>
              <w:t>2</w:t>
            </w:r>
          </w:p>
        </w:tc>
        <w:tc>
          <w:tcPr>
            <w:tcW w:w="1249" w:type="dxa"/>
            <w:tcBorders>
              <w:top w:val="single" w:sz="4" w:space="0" w:color="auto"/>
              <w:left w:val="single" w:sz="4" w:space="0" w:color="auto"/>
              <w:bottom w:val="single" w:sz="4" w:space="0" w:color="auto"/>
              <w:right w:val="single" w:sz="4" w:space="0" w:color="auto"/>
            </w:tcBorders>
          </w:tcPr>
          <w:p w14:paraId="62F090DB" w14:textId="77777777" w:rsidR="00040F39" w:rsidRPr="006A755F" w:rsidRDefault="00040F39" w:rsidP="00190991">
            <w:pPr>
              <w:spacing w:after="0"/>
              <w:jc w:val="center"/>
              <w:rPr>
                <w:rFonts w:cstheme="minorHAnsi"/>
                <w:sz w:val="20"/>
                <w:szCs w:val="20"/>
              </w:rPr>
            </w:pPr>
            <w:r w:rsidRPr="006A755F">
              <w:rPr>
                <w:rFonts w:cstheme="minorHAnsi"/>
                <w:sz w:val="20"/>
                <w:szCs w:val="20"/>
              </w:rPr>
              <w:t>3</w:t>
            </w:r>
          </w:p>
        </w:tc>
        <w:tc>
          <w:tcPr>
            <w:tcW w:w="1161" w:type="dxa"/>
            <w:tcBorders>
              <w:top w:val="single" w:sz="4" w:space="0" w:color="auto"/>
              <w:left w:val="single" w:sz="4" w:space="0" w:color="auto"/>
              <w:bottom w:val="single" w:sz="4" w:space="0" w:color="auto"/>
              <w:right w:val="single" w:sz="4" w:space="0" w:color="auto"/>
            </w:tcBorders>
          </w:tcPr>
          <w:p w14:paraId="41F20477" w14:textId="77777777" w:rsidR="00040F39" w:rsidRPr="006A755F" w:rsidRDefault="00040F39" w:rsidP="00190991">
            <w:pPr>
              <w:spacing w:after="0"/>
              <w:jc w:val="center"/>
              <w:rPr>
                <w:rFonts w:cstheme="minorHAnsi"/>
                <w:sz w:val="20"/>
                <w:szCs w:val="20"/>
              </w:rPr>
            </w:pPr>
            <w:r w:rsidRPr="006A755F">
              <w:rPr>
                <w:rFonts w:cstheme="minorHAnsi"/>
                <w:sz w:val="20"/>
                <w:szCs w:val="20"/>
              </w:rPr>
              <w:t>4</w:t>
            </w:r>
          </w:p>
        </w:tc>
        <w:tc>
          <w:tcPr>
            <w:tcW w:w="1089" w:type="dxa"/>
            <w:tcBorders>
              <w:top w:val="single" w:sz="4" w:space="0" w:color="auto"/>
              <w:left w:val="single" w:sz="4" w:space="0" w:color="auto"/>
              <w:bottom w:val="single" w:sz="4" w:space="0" w:color="auto"/>
              <w:right w:val="single" w:sz="4" w:space="0" w:color="auto"/>
            </w:tcBorders>
          </w:tcPr>
          <w:p w14:paraId="7CA21A13" w14:textId="77777777" w:rsidR="00040F39" w:rsidRPr="006A755F" w:rsidRDefault="00040F39" w:rsidP="00190991">
            <w:pPr>
              <w:spacing w:after="0"/>
              <w:jc w:val="center"/>
              <w:rPr>
                <w:rFonts w:cstheme="minorHAnsi"/>
                <w:sz w:val="20"/>
                <w:szCs w:val="20"/>
              </w:rPr>
            </w:pPr>
            <w:r w:rsidRPr="006A755F">
              <w:rPr>
                <w:rFonts w:cstheme="minorHAnsi"/>
                <w:sz w:val="20"/>
                <w:szCs w:val="20"/>
              </w:rPr>
              <w:t>5</w:t>
            </w:r>
          </w:p>
        </w:tc>
        <w:tc>
          <w:tcPr>
            <w:tcW w:w="754" w:type="dxa"/>
            <w:tcBorders>
              <w:top w:val="single" w:sz="4" w:space="0" w:color="auto"/>
              <w:left w:val="single" w:sz="4" w:space="0" w:color="auto"/>
              <w:bottom w:val="single" w:sz="4" w:space="0" w:color="auto"/>
              <w:right w:val="single" w:sz="4" w:space="0" w:color="auto"/>
            </w:tcBorders>
          </w:tcPr>
          <w:p w14:paraId="71CF4ABA" w14:textId="77777777" w:rsidR="00040F39" w:rsidRPr="006A755F" w:rsidRDefault="00040F39" w:rsidP="00190991">
            <w:pPr>
              <w:spacing w:after="0"/>
              <w:jc w:val="center"/>
              <w:rPr>
                <w:rFonts w:cstheme="minorHAnsi"/>
                <w:sz w:val="20"/>
                <w:szCs w:val="20"/>
              </w:rPr>
            </w:pPr>
            <w:r w:rsidRPr="006A755F">
              <w:rPr>
                <w:rFonts w:cstheme="minorHAnsi"/>
                <w:sz w:val="20"/>
                <w:szCs w:val="20"/>
              </w:rPr>
              <w:t>5/1</w:t>
            </w:r>
          </w:p>
        </w:tc>
      </w:tr>
      <w:tr w:rsidR="00040F39" w:rsidRPr="00EE48FB" w14:paraId="38E8D2AB" w14:textId="77777777" w:rsidTr="00190991">
        <w:trPr>
          <w:trHeight w:val="388"/>
          <w:tblHeader/>
        </w:trPr>
        <w:tc>
          <w:tcPr>
            <w:tcW w:w="2760" w:type="dxa"/>
            <w:tcBorders>
              <w:top w:val="single" w:sz="4" w:space="0" w:color="auto"/>
              <w:left w:val="single" w:sz="4" w:space="0" w:color="auto"/>
              <w:bottom w:val="single" w:sz="4" w:space="0" w:color="auto"/>
              <w:right w:val="single" w:sz="4" w:space="0" w:color="auto"/>
            </w:tcBorders>
            <w:shd w:val="pct12" w:color="auto" w:fill="auto"/>
          </w:tcPr>
          <w:p w14:paraId="24D42270" w14:textId="77777777" w:rsidR="00040F39" w:rsidRPr="006A755F" w:rsidRDefault="00040F39" w:rsidP="00190991">
            <w:pPr>
              <w:pStyle w:val="Zkladntext"/>
              <w:spacing w:before="60" w:after="60"/>
              <w:rPr>
                <w:rFonts w:cstheme="minorHAnsi"/>
                <w:b/>
                <w:bCs/>
                <w:sz w:val="20"/>
                <w:szCs w:val="20"/>
              </w:rPr>
            </w:pPr>
            <w:r w:rsidRPr="006A755F">
              <w:rPr>
                <w:rFonts w:cstheme="minorHAnsi"/>
                <w:b/>
                <w:bCs/>
                <w:sz w:val="20"/>
                <w:szCs w:val="20"/>
              </w:rPr>
              <w:t xml:space="preserve">Výdaje RISPF celkem </w:t>
            </w:r>
            <w:r w:rsidRPr="006A755F">
              <w:rPr>
                <w:rFonts w:cstheme="minorHAnsi"/>
                <w:bCs/>
                <w:sz w:val="20"/>
                <w:szCs w:val="20"/>
              </w:rPr>
              <w:t>(v tom:)</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7939EDC3" w14:textId="77777777" w:rsidR="00040F39" w:rsidRPr="006A755F" w:rsidRDefault="00040F39" w:rsidP="00190991">
            <w:pPr>
              <w:spacing w:before="60" w:after="60"/>
              <w:jc w:val="right"/>
              <w:rPr>
                <w:rFonts w:cstheme="minorHAnsi"/>
                <w:b/>
                <w:bCs/>
                <w:sz w:val="20"/>
                <w:szCs w:val="20"/>
              </w:rPr>
            </w:pPr>
            <w:r w:rsidRPr="006A755F">
              <w:rPr>
                <w:rFonts w:cstheme="minorHAnsi"/>
                <w:b/>
                <w:bCs/>
                <w:sz w:val="20"/>
                <w:szCs w:val="20"/>
              </w:rPr>
              <w:t>98 800 504</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3E635231" w14:textId="77777777" w:rsidR="00040F39" w:rsidRPr="006A755F" w:rsidRDefault="00040F39" w:rsidP="00190991">
            <w:pPr>
              <w:spacing w:before="60" w:after="60"/>
              <w:jc w:val="right"/>
              <w:rPr>
                <w:rFonts w:cstheme="minorHAnsi"/>
                <w:b/>
                <w:bCs/>
                <w:sz w:val="20"/>
                <w:szCs w:val="20"/>
              </w:rPr>
            </w:pPr>
            <w:r>
              <w:rPr>
                <w:rFonts w:cstheme="minorHAnsi"/>
                <w:b/>
                <w:bCs/>
                <w:sz w:val="20"/>
                <w:szCs w:val="20"/>
              </w:rPr>
              <w:t>97 565 915</w:t>
            </w:r>
          </w:p>
        </w:tc>
        <w:tc>
          <w:tcPr>
            <w:tcW w:w="1249" w:type="dxa"/>
            <w:tcBorders>
              <w:top w:val="single" w:sz="4" w:space="0" w:color="auto"/>
              <w:left w:val="single" w:sz="4" w:space="0" w:color="auto"/>
              <w:bottom w:val="single" w:sz="4" w:space="0" w:color="auto"/>
              <w:right w:val="single" w:sz="4" w:space="0" w:color="auto"/>
            </w:tcBorders>
            <w:shd w:val="pct12" w:color="auto" w:fill="auto"/>
            <w:vAlign w:val="center"/>
          </w:tcPr>
          <w:p w14:paraId="0355017D" w14:textId="77777777" w:rsidR="00040F39" w:rsidRPr="006A755F" w:rsidRDefault="00040F39" w:rsidP="00190991">
            <w:pPr>
              <w:spacing w:before="60" w:after="60"/>
              <w:jc w:val="right"/>
              <w:rPr>
                <w:rFonts w:cstheme="minorHAnsi"/>
                <w:b/>
                <w:bCs/>
                <w:sz w:val="20"/>
                <w:szCs w:val="20"/>
              </w:rPr>
            </w:pPr>
            <w:r>
              <w:rPr>
                <w:rFonts w:cstheme="minorHAnsi"/>
                <w:b/>
                <w:bCs/>
                <w:sz w:val="20"/>
                <w:szCs w:val="20"/>
              </w:rPr>
              <w:t>96 679 253</w:t>
            </w:r>
          </w:p>
        </w:tc>
        <w:tc>
          <w:tcPr>
            <w:tcW w:w="1161" w:type="dxa"/>
            <w:tcBorders>
              <w:top w:val="single" w:sz="4" w:space="0" w:color="auto"/>
              <w:left w:val="single" w:sz="4" w:space="0" w:color="auto"/>
              <w:bottom w:val="single" w:sz="4" w:space="0" w:color="auto"/>
              <w:right w:val="single" w:sz="4" w:space="0" w:color="auto"/>
            </w:tcBorders>
            <w:shd w:val="pct12" w:color="auto" w:fill="auto"/>
          </w:tcPr>
          <w:p w14:paraId="6F26CA29" w14:textId="77777777" w:rsidR="00040F39" w:rsidRPr="006A755F" w:rsidRDefault="00040F39" w:rsidP="00190991">
            <w:pPr>
              <w:spacing w:before="60" w:after="60"/>
              <w:jc w:val="right"/>
              <w:rPr>
                <w:rFonts w:cstheme="minorHAnsi"/>
                <w:b/>
                <w:bCs/>
                <w:sz w:val="20"/>
                <w:szCs w:val="20"/>
              </w:rPr>
            </w:pPr>
            <w:r>
              <w:rPr>
                <w:rFonts w:cstheme="minorHAnsi"/>
                <w:b/>
                <w:bCs/>
                <w:sz w:val="20"/>
                <w:szCs w:val="20"/>
              </w:rPr>
              <w:t>105 935 471</w:t>
            </w:r>
          </w:p>
        </w:tc>
        <w:tc>
          <w:tcPr>
            <w:tcW w:w="1089" w:type="dxa"/>
            <w:tcBorders>
              <w:top w:val="single" w:sz="4" w:space="0" w:color="auto"/>
              <w:left w:val="single" w:sz="4" w:space="0" w:color="auto"/>
              <w:bottom w:val="single" w:sz="4" w:space="0" w:color="auto"/>
              <w:right w:val="single" w:sz="4" w:space="0" w:color="auto"/>
            </w:tcBorders>
            <w:shd w:val="pct12" w:color="auto" w:fill="auto"/>
            <w:vAlign w:val="center"/>
          </w:tcPr>
          <w:p w14:paraId="3E26781D" w14:textId="77777777" w:rsidR="00040F39" w:rsidRPr="006A755F" w:rsidRDefault="00040F39" w:rsidP="00190991">
            <w:pPr>
              <w:spacing w:before="60" w:after="60"/>
              <w:jc w:val="right"/>
              <w:rPr>
                <w:rFonts w:cstheme="minorHAnsi"/>
                <w:b/>
                <w:bCs/>
                <w:sz w:val="20"/>
                <w:szCs w:val="20"/>
              </w:rPr>
            </w:pPr>
            <w:r>
              <w:rPr>
                <w:rFonts w:cstheme="minorHAnsi"/>
                <w:b/>
                <w:bCs/>
                <w:sz w:val="20"/>
                <w:szCs w:val="20"/>
              </w:rPr>
              <w:t>96 726 613</w:t>
            </w:r>
          </w:p>
        </w:tc>
        <w:tc>
          <w:tcPr>
            <w:tcW w:w="754" w:type="dxa"/>
            <w:tcBorders>
              <w:top w:val="single" w:sz="4" w:space="0" w:color="auto"/>
              <w:left w:val="single" w:sz="4" w:space="0" w:color="auto"/>
              <w:bottom w:val="single" w:sz="4" w:space="0" w:color="auto"/>
              <w:right w:val="single" w:sz="4" w:space="0" w:color="auto"/>
            </w:tcBorders>
            <w:shd w:val="pct12" w:color="auto" w:fill="auto"/>
            <w:vAlign w:val="center"/>
          </w:tcPr>
          <w:p w14:paraId="64DACC9F" w14:textId="77777777" w:rsidR="00040F39" w:rsidRPr="00EE48FB" w:rsidRDefault="00040F39" w:rsidP="00190991">
            <w:pPr>
              <w:spacing w:before="60" w:after="60"/>
              <w:jc w:val="right"/>
              <w:rPr>
                <w:rFonts w:cstheme="minorHAnsi"/>
                <w:b/>
                <w:bCs/>
                <w:sz w:val="20"/>
                <w:szCs w:val="20"/>
              </w:rPr>
            </w:pPr>
            <w:r w:rsidRPr="00EE48FB">
              <w:rPr>
                <w:rFonts w:cstheme="minorHAnsi"/>
                <w:b/>
                <w:bCs/>
                <w:sz w:val="20"/>
                <w:szCs w:val="20"/>
              </w:rPr>
              <w:t>97,9</w:t>
            </w:r>
          </w:p>
        </w:tc>
      </w:tr>
      <w:tr w:rsidR="00040F39" w:rsidRPr="00EE48FB" w14:paraId="699EF354" w14:textId="77777777" w:rsidTr="00190991">
        <w:trPr>
          <w:trHeight w:val="388"/>
          <w:tblHeader/>
        </w:trPr>
        <w:tc>
          <w:tcPr>
            <w:tcW w:w="2760" w:type="dxa"/>
            <w:tcBorders>
              <w:top w:val="single" w:sz="4" w:space="0" w:color="auto"/>
              <w:left w:val="single" w:sz="4" w:space="0" w:color="auto"/>
              <w:bottom w:val="nil"/>
              <w:right w:val="single" w:sz="4" w:space="0" w:color="auto"/>
            </w:tcBorders>
          </w:tcPr>
          <w:p w14:paraId="56E6BAF8" w14:textId="77777777" w:rsidR="00040F39" w:rsidRPr="006A755F" w:rsidRDefault="00040F39" w:rsidP="00190991">
            <w:pPr>
              <w:pStyle w:val="Zkladntext"/>
              <w:spacing w:before="60" w:after="60"/>
              <w:rPr>
                <w:rFonts w:cstheme="minorHAnsi"/>
                <w:b/>
                <w:bCs/>
                <w:color w:val="2E74B5" w:themeColor="accent1" w:themeShade="BF"/>
                <w:sz w:val="20"/>
                <w:szCs w:val="20"/>
              </w:rPr>
            </w:pPr>
            <w:r w:rsidRPr="006A755F">
              <w:rPr>
                <w:rFonts w:cstheme="minorHAnsi"/>
                <w:b/>
                <w:bCs/>
                <w:color w:val="2E74B5" w:themeColor="accent1" w:themeShade="BF"/>
                <w:sz w:val="20"/>
                <w:szCs w:val="20"/>
              </w:rPr>
              <w:t xml:space="preserve">Běžné výdaje </w:t>
            </w:r>
            <w:r w:rsidRPr="006A755F">
              <w:rPr>
                <w:rFonts w:cstheme="minorHAnsi"/>
                <w:bCs/>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6C9F958E" w14:textId="77777777" w:rsidR="00040F39" w:rsidRPr="006A755F" w:rsidRDefault="00040F39" w:rsidP="00190991">
            <w:pPr>
              <w:spacing w:before="60" w:after="60"/>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21 111 341</w:t>
            </w:r>
          </w:p>
        </w:tc>
        <w:tc>
          <w:tcPr>
            <w:tcW w:w="1134" w:type="dxa"/>
            <w:tcBorders>
              <w:top w:val="single" w:sz="4" w:space="0" w:color="auto"/>
              <w:left w:val="single" w:sz="4" w:space="0" w:color="auto"/>
              <w:bottom w:val="nil"/>
              <w:right w:val="single" w:sz="4" w:space="0" w:color="auto"/>
            </w:tcBorders>
            <w:vAlign w:val="center"/>
          </w:tcPr>
          <w:p w14:paraId="41396425" w14:textId="77777777" w:rsidR="00040F39" w:rsidRPr="006A755F" w:rsidRDefault="00040F39"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20 889 651</w:t>
            </w:r>
          </w:p>
        </w:tc>
        <w:tc>
          <w:tcPr>
            <w:tcW w:w="1249" w:type="dxa"/>
            <w:tcBorders>
              <w:top w:val="single" w:sz="4" w:space="0" w:color="auto"/>
              <w:left w:val="single" w:sz="4" w:space="0" w:color="auto"/>
              <w:bottom w:val="nil"/>
              <w:right w:val="single" w:sz="4" w:space="0" w:color="auto"/>
            </w:tcBorders>
            <w:vAlign w:val="center"/>
          </w:tcPr>
          <w:p w14:paraId="51C3A726" w14:textId="77777777" w:rsidR="00040F39" w:rsidRPr="006A755F" w:rsidRDefault="00040F39"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25 328 267</w:t>
            </w:r>
          </w:p>
        </w:tc>
        <w:tc>
          <w:tcPr>
            <w:tcW w:w="1161" w:type="dxa"/>
            <w:tcBorders>
              <w:top w:val="single" w:sz="4" w:space="0" w:color="auto"/>
              <w:left w:val="single" w:sz="4" w:space="0" w:color="auto"/>
              <w:bottom w:val="nil"/>
              <w:right w:val="single" w:sz="4" w:space="0" w:color="auto"/>
            </w:tcBorders>
            <w:vAlign w:val="center"/>
          </w:tcPr>
          <w:p w14:paraId="59F03020" w14:textId="77777777" w:rsidR="00040F39" w:rsidRPr="006A755F" w:rsidRDefault="00040F39"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25 735 428</w:t>
            </w:r>
          </w:p>
        </w:tc>
        <w:tc>
          <w:tcPr>
            <w:tcW w:w="1089" w:type="dxa"/>
            <w:tcBorders>
              <w:top w:val="single" w:sz="4" w:space="0" w:color="auto"/>
              <w:left w:val="single" w:sz="4" w:space="0" w:color="auto"/>
              <w:bottom w:val="nil"/>
              <w:right w:val="single" w:sz="4" w:space="0" w:color="auto"/>
            </w:tcBorders>
            <w:vAlign w:val="center"/>
          </w:tcPr>
          <w:p w14:paraId="6E7314DD" w14:textId="77777777" w:rsidR="00040F39" w:rsidRPr="006A755F" w:rsidRDefault="00040F39"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25 434 061</w:t>
            </w:r>
          </w:p>
        </w:tc>
        <w:tc>
          <w:tcPr>
            <w:tcW w:w="754" w:type="dxa"/>
            <w:tcBorders>
              <w:top w:val="single" w:sz="4" w:space="0" w:color="auto"/>
              <w:left w:val="single" w:sz="4" w:space="0" w:color="auto"/>
              <w:bottom w:val="nil"/>
              <w:right w:val="single" w:sz="4" w:space="0" w:color="auto"/>
            </w:tcBorders>
            <w:vAlign w:val="center"/>
          </w:tcPr>
          <w:p w14:paraId="4FF448F0" w14:textId="77777777" w:rsidR="00040F39" w:rsidRPr="00EE48FB" w:rsidRDefault="00040F39" w:rsidP="00190991">
            <w:pPr>
              <w:spacing w:before="60" w:after="60"/>
              <w:jc w:val="right"/>
              <w:rPr>
                <w:rFonts w:cstheme="minorHAnsi"/>
                <w:b/>
                <w:bCs/>
                <w:sz w:val="20"/>
                <w:szCs w:val="20"/>
              </w:rPr>
            </w:pPr>
            <w:r w:rsidRPr="006B6D61">
              <w:rPr>
                <w:rFonts w:cstheme="minorHAnsi"/>
                <w:b/>
                <w:color w:val="2E74B5" w:themeColor="accent1" w:themeShade="BF"/>
                <w:sz w:val="20"/>
                <w:szCs w:val="20"/>
              </w:rPr>
              <w:t>120,5</w:t>
            </w:r>
          </w:p>
        </w:tc>
      </w:tr>
      <w:tr w:rsidR="00040F39" w:rsidRPr="00EE48FB" w14:paraId="2E00F110" w14:textId="77777777" w:rsidTr="00190991">
        <w:trPr>
          <w:tblHeader/>
        </w:trPr>
        <w:tc>
          <w:tcPr>
            <w:tcW w:w="2760" w:type="dxa"/>
            <w:tcBorders>
              <w:top w:val="nil"/>
              <w:left w:val="single" w:sz="4" w:space="0" w:color="auto"/>
              <w:bottom w:val="nil"/>
              <w:right w:val="single" w:sz="4" w:space="0" w:color="auto"/>
            </w:tcBorders>
          </w:tcPr>
          <w:p w14:paraId="11E9DD0C" w14:textId="77777777" w:rsidR="00040F39" w:rsidRPr="006A755F" w:rsidRDefault="00040F39" w:rsidP="00190991">
            <w:pPr>
              <w:spacing w:before="60" w:after="60"/>
              <w:jc w:val="both"/>
              <w:rPr>
                <w:rFonts w:cstheme="minorHAnsi"/>
                <w:sz w:val="20"/>
                <w:szCs w:val="20"/>
              </w:rPr>
            </w:pPr>
            <w:r w:rsidRPr="006A755F">
              <w:rPr>
                <w:rFonts w:cstheme="minorHAnsi"/>
                <w:sz w:val="20"/>
                <w:szCs w:val="20"/>
              </w:rPr>
              <w:t xml:space="preserve">prostředky EU </w:t>
            </w:r>
          </w:p>
        </w:tc>
        <w:tc>
          <w:tcPr>
            <w:tcW w:w="1134" w:type="dxa"/>
            <w:tcBorders>
              <w:top w:val="nil"/>
              <w:left w:val="single" w:sz="4" w:space="0" w:color="auto"/>
              <w:bottom w:val="nil"/>
              <w:right w:val="single" w:sz="4" w:space="0" w:color="auto"/>
            </w:tcBorders>
            <w:vAlign w:val="center"/>
          </w:tcPr>
          <w:p w14:paraId="53D1CEAE" w14:textId="7CD46B33" w:rsidR="00040F39" w:rsidRPr="006A755F" w:rsidRDefault="00040F39" w:rsidP="00190991">
            <w:pPr>
              <w:spacing w:before="60" w:after="60"/>
              <w:jc w:val="right"/>
              <w:rPr>
                <w:rFonts w:cstheme="minorHAnsi"/>
                <w:sz w:val="20"/>
                <w:szCs w:val="20"/>
              </w:rPr>
            </w:pPr>
            <w:r w:rsidRPr="006A755F">
              <w:rPr>
                <w:rFonts w:cstheme="minorHAnsi"/>
                <w:sz w:val="20"/>
                <w:szCs w:val="20"/>
              </w:rPr>
              <w:t>47 3</w:t>
            </w:r>
            <w:r w:rsidR="00AB09AB">
              <w:rPr>
                <w:rFonts w:cstheme="minorHAnsi"/>
                <w:sz w:val="20"/>
                <w:szCs w:val="20"/>
              </w:rPr>
              <w:t>6</w:t>
            </w:r>
            <w:r w:rsidRPr="006A755F">
              <w:rPr>
                <w:rFonts w:cstheme="minorHAnsi"/>
                <w:sz w:val="20"/>
                <w:szCs w:val="20"/>
              </w:rPr>
              <w:t>1</w:t>
            </w:r>
          </w:p>
        </w:tc>
        <w:tc>
          <w:tcPr>
            <w:tcW w:w="1134" w:type="dxa"/>
            <w:tcBorders>
              <w:top w:val="nil"/>
              <w:left w:val="single" w:sz="4" w:space="0" w:color="auto"/>
              <w:bottom w:val="nil"/>
              <w:right w:val="single" w:sz="4" w:space="0" w:color="auto"/>
            </w:tcBorders>
            <w:vAlign w:val="center"/>
          </w:tcPr>
          <w:p w14:paraId="32F2C154" w14:textId="77777777" w:rsidR="00040F39" w:rsidRPr="006A755F" w:rsidRDefault="00040F39" w:rsidP="00190991">
            <w:pPr>
              <w:spacing w:before="60" w:after="60"/>
              <w:jc w:val="right"/>
              <w:rPr>
                <w:rFonts w:cstheme="minorHAnsi"/>
                <w:sz w:val="20"/>
                <w:szCs w:val="20"/>
              </w:rPr>
            </w:pPr>
            <w:r>
              <w:rPr>
                <w:rFonts w:cstheme="minorHAnsi"/>
                <w:sz w:val="20"/>
                <w:szCs w:val="20"/>
              </w:rPr>
              <w:t>517 990</w:t>
            </w:r>
          </w:p>
        </w:tc>
        <w:tc>
          <w:tcPr>
            <w:tcW w:w="1249" w:type="dxa"/>
            <w:tcBorders>
              <w:top w:val="nil"/>
              <w:left w:val="single" w:sz="4" w:space="0" w:color="auto"/>
              <w:bottom w:val="nil"/>
              <w:right w:val="single" w:sz="4" w:space="0" w:color="auto"/>
            </w:tcBorders>
            <w:vAlign w:val="center"/>
          </w:tcPr>
          <w:p w14:paraId="25EF7E5F" w14:textId="77777777" w:rsidR="00040F39" w:rsidRPr="006A755F" w:rsidRDefault="00040F39" w:rsidP="00190991">
            <w:pPr>
              <w:spacing w:before="60" w:after="60"/>
              <w:jc w:val="right"/>
              <w:rPr>
                <w:rFonts w:cstheme="minorHAnsi"/>
                <w:sz w:val="20"/>
                <w:szCs w:val="20"/>
              </w:rPr>
            </w:pPr>
            <w:r>
              <w:rPr>
                <w:rFonts w:cstheme="minorHAnsi"/>
                <w:sz w:val="20"/>
                <w:szCs w:val="20"/>
              </w:rPr>
              <w:t>1 247</w:t>
            </w:r>
          </w:p>
        </w:tc>
        <w:tc>
          <w:tcPr>
            <w:tcW w:w="1161" w:type="dxa"/>
            <w:tcBorders>
              <w:top w:val="nil"/>
              <w:left w:val="single" w:sz="4" w:space="0" w:color="auto"/>
              <w:bottom w:val="nil"/>
              <w:right w:val="single" w:sz="4" w:space="0" w:color="auto"/>
            </w:tcBorders>
            <w:vAlign w:val="center"/>
          </w:tcPr>
          <w:p w14:paraId="6FCFC798" w14:textId="77777777" w:rsidR="00040F39" w:rsidRPr="006A755F" w:rsidRDefault="00040F39" w:rsidP="00190991">
            <w:pPr>
              <w:spacing w:before="60" w:after="60"/>
              <w:jc w:val="right"/>
              <w:rPr>
                <w:rFonts w:cstheme="minorHAnsi"/>
                <w:sz w:val="20"/>
                <w:szCs w:val="20"/>
              </w:rPr>
            </w:pPr>
            <w:r>
              <w:rPr>
                <w:rFonts w:cstheme="minorHAnsi"/>
                <w:sz w:val="20"/>
                <w:szCs w:val="20"/>
              </w:rPr>
              <w:t>116 084</w:t>
            </w:r>
          </w:p>
        </w:tc>
        <w:tc>
          <w:tcPr>
            <w:tcW w:w="1089" w:type="dxa"/>
            <w:tcBorders>
              <w:top w:val="nil"/>
              <w:left w:val="single" w:sz="4" w:space="0" w:color="auto"/>
              <w:bottom w:val="nil"/>
              <w:right w:val="single" w:sz="4" w:space="0" w:color="auto"/>
            </w:tcBorders>
            <w:vAlign w:val="center"/>
          </w:tcPr>
          <w:p w14:paraId="1128FE32" w14:textId="77777777" w:rsidR="00040F39" w:rsidRPr="006A755F" w:rsidRDefault="00040F39" w:rsidP="00190991">
            <w:pPr>
              <w:spacing w:before="60" w:after="60"/>
              <w:jc w:val="right"/>
              <w:rPr>
                <w:rFonts w:cstheme="minorHAnsi"/>
                <w:sz w:val="20"/>
                <w:szCs w:val="20"/>
              </w:rPr>
            </w:pPr>
            <w:r>
              <w:rPr>
                <w:rFonts w:cstheme="minorHAnsi"/>
                <w:sz w:val="20"/>
                <w:szCs w:val="20"/>
              </w:rPr>
              <w:t>52 084</w:t>
            </w:r>
          </w:p>
        </w:tc>
        <w:tc>
          <w:tcPr>
            <w:tcW w:w="754" w:type="dxa"/>
            <w:tcBorders>
              <w:top w:val="nil"/>
              <w:left w:val="single" w:sz="4" w:space="0" w:color="auto"/>
              <w:bottom w:val="nil"/>
              <w:right w:val="single" w:sz="4" w:space="0" w:color="auto"/>
            </w:tcBorders>
            <w:vAlign w:val="center"/>
          </w:tcPr>
          <w:p w14:paraId="6CAC6DE6" w14:textId="6F4F99E7" w:rsidR="00040F39" w:rsidRPr="00EE48FB" w:rsidRDefault="00AB09AB" w:rsidP="00190991">
            <w:pPr>
              <w:spacing w:before="60" w:after="60"/>
              <w:ind w:right="-70"/>
              <w:jc w:val="center"/>
              <w:rPr>
                <w:rFonts w:cstheme="minorHAnsi"/>
                <w:sz w:val="20"/>
                <w:szCs w:val="20"/>
              </w:rPr>
            </w:pPr>
            <w:r>
              <w:rPr>
                <w:rFonts w:cstheme="minorHAnsi"/>
                <w:sz w:val="20"/>
                <w:szCs w:val="20"/>
              </w:rPr>
              <w:t>110,0</w:t>
            </w:r>
          </w:p>
        </w:tc>
      </w:tr>
      <w:tr w:rsidR="00040F39" w:rsidRPr="00EE48FB" w14:paraId="6398CFD6" w14:textId="77777777" w:rsidTr="00190991">
        <w:trPr>
          <w:tblHeader/>
        </w:trPr>
        <w:tc>
          <w:tcPr>
            <w:tcW w:w="2760" w:type="dxa"/>
            <w:tcBorders>
              <w:top w:val="single" w:sz="4" w:space="0" w:color="auto"/>
              <w:left w:val="single" w:sz="4" w:space="0" w:color="auto"/>
              <w:bottom w:val="nil"/>
              <w:right w:val="single" w:sz="4" w:space="0" w:color="auto"/>
            </w:tcBorders>
          </w:tcPr>
          <w:p w14:paraId="752CCADA" w14:textId="77777777" w:rsidR="00040F39" w:rsidRPr="006A755F" w:rsidRDefault="00040F39" w:rsidP="00190991">
            <w:pPr>
              <w:spacing w:before="60" w:after="60"/>
              <w:jc w:val="both"/>
              <w:rPr>
                <w:rFonts w:cstheme="minorHAnsi"/>
                <w:b/>
                <w:color w:val="2E74B5" w:themeColor="accent1" w:themeShade="BF"/>
                <w:sz w:val="20"/>
                <w:szCs w:val="20"/>
              </w:rPr>
            </w:pPr>
            <w:r w:rsidRPr="006A755F">
              <w:rPr>
                <w:rFonts w:cstheme="minorHAnsi"/>
                <w:b/>
                <w:color w:val="2E74B5" w:themeColor="accent1" w:themeShade="BF"/>
                <w:sz w:val="20"/>
                <w:szCs w:val="20"/>
              </w:rPr>
              <w:t xml:space="preserve">Kapitálové výdaje </w:t>
            </w:r>
            <w:r w:rsidRPr="006A755F">
              <w:rPr>
                <w:rFonts w:cstheme="minorHAnsi"/>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526EF771" w14:textId="77777777" w:rsidR="00040F39" w:rsidRPr="006A755F" w:rsidRDefault="00040F39" w:rsidP="0019099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77 689 163</w:t>
            </w:r>
          </w:p>
        </w:tc>
        <w:tc>
          <w:tcPr>
            <w:tcW w:w="1134" w:type="dxa"/>
            <w:tcBorders>
              <w:top w:val="single" w:sz="4" w:space="0" w:color="auto"/>
              <w:left w:val="single" w:sz="4" w:space="0" w:color="auto"/>
              <w:bottom w:val="nil"/>
              <w:right w:val="single" w:sz="4" w:space="0" w:color="auto"/>
            </w:tcBorders>
            <w:vAlign w:val="center"/>
          </w:tcPr>
          <w:p w14:paraId="061799C6" w14:textId="77777777" w:rsidR="00040F39" w:rsidRPr="006A755F" w:rsidRDefault="00040F39"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76 616 264</w:t>
            </w:r>
          </w:p>
        </w:tc>
        <w:tc>
          <w:tcPr>
            <w:tcW w:w="1249" w:type="dxa"/>
            <w:tcBorders>
              <w:top w:val="single" w:sz="4" w:space="0" w:color="auto"/>
              <w:left w:val="single" w:sz="4" w:space="0" w:color="auto"/>
              <w:bottom w:val="nil"/>
              <w:right w:val="single" w:sz="4" w:space="0" w:color="auto"/>
            </w:tcBorders>
            <w:vAlign w:val="center"/>
          </w:tcPr>
          <w:p w14:paraId="5272EDBC" w14:textId="77777777" w:rsidR="00040F39" w:rsidRPr="006A755F" w:rsidRDefault="00040F39"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71 350 986</w:t>
            </w:r>
          </w:p>
        </w:tc>
        <w:tc>
          <w:tcPr>
            <w:tcW w:w="1161" w:type="dxa"/>
            <w:tcBorders>
              <w:top w:val="single" w:sz="4" w:space="0" w:color="auto"/>
              <w:left w:val="single" w:sz="4" w:space="0" w:color="auto"/>
              <w:bottom w:val="nil"/>
              <w:right w:val="single" w:sz="4" w:space="0" w:color="auto"/>
            </w:tcBorders>
            <w:vAlign w:val="center"/>
          </w:tcPr>
          <w:p w14:paraId="1E1736F7" w14:textId="77777777" w:rsidR="00040F39" w:rsidRPr="006A755F" w:rsidRDefault="00040F39"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80 200 043</w:t>
            </w:r>
          </w:p>
        </w:tc>
        <w:tc>
          <w:tcPr>
            <w:tcW w:w="1089" w:type="dxa"/>
            <w:tcBorders>
              <w:top w:val="single" w:sz="4" w:space="0" w:color="auto"/>
              <w:left w:val="single" w:sz="4" w:space="0" w:color="auto"/>
              <w:bottom w:val="nil"/>
              <w:right w:val="single" w:sz="4" w:space="0" w:color="auto"/>
            </w:tcBorders>
            <w:vAlign w:val="center"/>
          </w:tcPr>
          <w:p w14:paraId="7BA46A42" w14:textId="77777777" w:rsidR="00040F39" w:rsidRPr="006A755F" w:rsidRDefault="00040F39"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71 292 552</w:t>
            </w:r>
          </w:p>
        </w:tc>
        <w:tc>
          <w:tcPr>
            <w:tcW w:w="754" w:type="dxa"/>
            <w:tcBorders>
              <w:top w:val="single" w:sz="4" w:space="0" w:color="auto"/>
              <w:left w:val="single" w:sz="4" w:space="0" w:color="auto"/>
              <w:bottom w:val="nil"/>
              <w:right w:val="single" w:sz="4" w:space="0" w:color="auto"/>
            </w:tcBorders>
            <w:vAlign w:val="center"/>
          </w:tcPr>
          <w:p w14:paraId="6D8D5F95" w14:textId="77777777" w:rsidR="00040F39" w:rsidRPr="00EE48FB" w:rsidRDefault="00040F39" w:rsidP="00190991">
            <w:pPr>
              <w:spacing w:before="60" w:after="60"/>
              <w:jc w:val="right"/>
              <w:rPr>
                <w:rFonts w:cstheme="minorHAnsi"/>
                <w:b/>
                <w:sz w:val="20"/>
                <w:szCs w:val="20"/>
              </w:rPr>
            </w:pPr>
            <w:r w:rsidRPr="006B6D61">
              <w:rPr>
                <w:rFonts w:cstheme="minorHAnsi"/>
                <w:b/>
                <w:color w:val="2E74B5" w:themeColor="accent1" w:themeShade="BF"/>
                <w:sz w:val="20"/>
                <w:szCs w:val="20"/>
              </w:rPr>
              <w:t>91,8</w:t>
            </w:r>
          </w:p>
        </w:tc>
      </w:tr>
      <w:tr w:rsidR="00040F39" w:rsidRPr="00EE48FB" w14:paraId="05F957D7" w14:textId="77777777" w:rsidTr="00190991">
        <w:trPr>
          <w:tblHeader/>
        </w:trPr>
        <w:tc>
          <w:tcPr>
            <w:tcW w:w="2760" w:type="dxa"/>
            <w:tcBorders>
              <w:top w:val="nil"/>
              <w:left w:val="single" w:sz="4" w:space="0" w:color="auto"/>
              <w:bottom w:val="single" w:sz="4" w:space="0" w:color="auto"/>
              <w:right w:val="single" w:sz="4" w:space="0" w:color="auto"/>
            </w:tcBorders>
          </w:tcPr>
          <w:p w14:paraId="786A368E" w14:textId="77777777" w:rsidR="00040F39" w:rsidRPr="006A755F" w:rsidRDefault="00040F39" w:rsidP="00190991">
            <w:pPr>
              <w:spacing w:before="60" w:after="60"/>
              <w:ind w:hanging="6"/>
              <w:jc w:val="both"/>
              <w:rPr>
                <w:rFonts w:cstheme="minorHAnsi"/>
                <w:sz w:val="20"/>
                <w:szCs w:val="20"/>
              </w:rPr>
            </w:pPr>
            <w:r w:rsidRPr="006A755F">
              <w:rPr>
                <w:rFonts w:cstheme="minorHAnsi"/>
                <w:sz w:val="20"/>
                <w:szCs w:val="20"/>
              </w:rPr>
              <w:t>prostředky EU</w:t>
            </w:r>
          </w:p>
        </w:tc>
        <w:tc>
          <w:tcPr>
            <w:tcW w:w="1134" w:type="dxa"/>
            <w:tcBorders>
              <w:top w:val="nil"/>
              <w:left w:val="single" w:sz="4" w:space="0" w:color="auto"/>
              <w:bottom w:val="single" w:sz="4" w:space="0" w:color="auto"/>
              <w:right w:val="single" w:sz="4" w:space="0" w:color="auto"/>
            </w:tcBorders>
            <w:vAlign w:val="center"/>
          </w:tcPr>
          <w:p w14:paraId="1DBBE26B" w14:textId="77777777" w:rsidR="00040F39" w:rsidRPr="006A755F" w:rsidRDefault="00040F39" w:rsidP="00190991">
            <w:pPr>
              <w:spacing w:before="60" w:after="60"/>
              <w:jc w:val="right"/>
              <w:rPr>
                <w:rFonts w:cstheme="minorHAnsi"/>
                <w:sz w:val="20"/>
                <w:szCs w:val="20"/>
              </w:rPr>
            </w:pPr>
            <w:r w:rsidRPr="006A755F">
              <w:rPr>
                <w:rFonts w:cstheme="minorHAnsi"/>
                <w:sz w:val="20"/>
                <w:szCs w:val="20"/>
              </w:rPr>
              <w:t>43 709 97</w:t>
            </w:r>
            <w:r>
              <w:rPr>
                <w:rFonts w:cstheme="minorHAnsi"/>
                <w:sz w:val="20"/>
                <w:szCs w:val="20"/>
              </w:rPr>
              <w:t>7</w:t>
            </w:r>
          </w:p>
        </w:tc>
        <w:tc>
          <w:tcPr>
            <w:tcW w:w="1134" w:type="dxa"/>
            <w:tcBorders>
              <w:top w:val="nil"/>
              <w:left w:val="single" w:sz="4" w:space="0" w:color="auto"/>
              <w:bottom w:val="single" w:sz="4" w:space="0" w:color="auto"/>
              <w:right w:val="single" w:sz="4" w:space="0" w:color="auto"/>
            </w:tcBorders>
            <w:vAlign w:val="center"/>
          </w:tcPr>
          <w:p w14:paraId="4BE9EE06" w14:textId="77777777" w:rsidR="00040F39" w:rsidRPr="006A755F" w:rsidRDefault="00040F39" w:rsidP="00190991">
            <w:pPr>
              <w:spacing w:before="60" w:after="60"/>
              <w:jc w:val="right"/>
              <w:rPr>
                <w:rFonts w:cstheme="minorHAnsi"/>
                <w:sz w:val="20"/>
                <w:szCs w:val="20"/>
              </w:rPr>
            </w:pPr>
            <w:r>
              <w:rPr>
                <w:rFonts w:cstheme="minorHAnsi"/>
                <w:sz w:val="20"/>
                <w:szCs w:val="20"/>
              </w:rPr>
              <w:t>28 146 730</w:t>
            </w:r>
          </w:p>
        </w:tc>
        <w:tc>
          <w:tcPr>
            <w:tcW w:w="1249" w:type="dxa"/>
            <w:tcBorders>
              <w:top w:val="nil"/>
              <w:left w:val="single" w:sz="4" w:space="0" w:color="auto"/>
              <w:bottom w:val="single" w:sz="4" w:space="0" w:color="auto"/>
              <w:right w:val="single" w:sz="4" w:space="0" w:color="auto"/>
            </w:tcBorders>
            <w:vAlign w:val="center"/>
          </w:tcPr>
          <w:p w14:paraId="685D3D22" w14:textId="77777777" w:rsidR="00040F39" w:rsidRPr="006A755F" w:rsidRDefault="00040F39" w:rsidP="00190991">
            <w:pPr>
              <w:spacing w:before="60" w:after="60"/>
              <w:jc w:val="right"/>
              <w:rPr>
                <w:rFonts w:cstheme="minorHAnsi"/>
                <w:sz w:val="20"/>
                <w:szCs w:val="20"/>
              </w:rPr>
            </w:pPr>
            <w:r>
              <w:rPr>
                <w:rFonts w:cstheme="minorHAnsi"/>
                <w:sz w:val="20"/>
                <w:szCs w:val="20"/>
              </w:rPr>
              <w:t>28 663 473</w:t>
            </w:r>
          </w:p>
        </w:tc>
        <w:tc>
          <w:tcPr>
            <w:tcW w:w="1161" w:type="dxa"/>
            <w:tcBorders>
              <w:top w:val="nil"/>
              <w:left w:val="single" w:sz="4" w:space="0" w:color="auto"/>
              <w:bottom w:val="single" w:sz="4" w:space="0" w:color="auto"/>
              <w:right w:val="single" w:sz="4" w:space="0" w:color="auto"/>
            </w:tcBorders>
            <w:vAlign w:val="center"/>
          </w:tcPr>
          <w:p w14:paraId="5BFF4333" w14:textId="77777777" w:rsidR="00040F39" w:rsidRPr="006A755F" w:rsidRDefault="00040F39" w:rsidP="00190991">
            <w:pPr>
              <w:spacing w:before="60" w:after="60"/>
              <w:jc w:val="right"/>
              <w:rPr>
                <w:rFonts w:cstheme="minorHAnsi"/>
                <w:sz w:val="20"/>
                <w:szCs w:val="20"/>
              </w:rPr>
            </w:pPr>
            <w:r>
              <w:rPr>
                <w:rFonts w:cstheme="minorHAnsi"/>
                <w:sz w:val="20"/>
                <w:szCs w:val="20"/>
              </w:rPr>
              <w:t>36 861 928</w:t>
            </w:r>
          </w:p>
        </w:tc>
        <w:tc>
          <w:tcPr>
            <w:tcW w:w="1089" w:type="dxa"/>
            <w:tcBorders>
              <w:top w:val="nil"/>
              <w:left w:val="single" w:sz="4" w:space="0" w:color="auto"/>
              <w:bottom w:val="single" w:sz="4" w:space="0" w:color="auto"/>
              <w:right w:val="single" w:sz="4" w:space="0" w:color="auto"/>
            </w:tcBorders>
            <w:vAlign w:val="center"/>
          </w:tcPr>
          <w:p w14:paraId="6AC1F369" w14:textId="77777777" w:rsidR="00040F39" w:rsidRPr="006A755F" w:rsidRDefault="00040F39" w:rsidP="00190991">
            <w:pPr>
              <w:spacing w:before="60" w:after="60"/>
              <w:jc w:val="right"/>
              <w:rPr>
                <w:rFonts w:cstheme="minorHAnsi"/>
                <w:sz w:val="20"/>
                <w:szCs w:val="20"/>
              </w:rPr>
            </w:pPr>
            <w:r>
              <w:rPr>
                <w:rFonts w:cstheme="minorHAnsi"/>
                <w:sz w:val="20"/>
                <w:szCs w:val="20"/>
              </w:rPr>
              <w:t>28 172 432</w:t>
            </w:r>
          </w:p>
        </w:tc>
        <w:tc>
          <w:tcPr>
            <w:tcW w:w="754" w:type="dxa"/>
            <w:tcBorders>
              <w:top w:val="nil"/>
              <w:left w:val="single" w:sz="4" w:space="0" w:color="auto"/>
              <w:bottom w:val="single" w:sz="4" w:space="0" w:color="auto"/>
              <w:right w:val="single" w:sz="4" w:space="0" w:color="auto"/>
            </w:tcBorders>
            <w:vAlign w:val="center"/>
          </w:tcPr>
          <w:p w14:paraId="2DA3F4F6" w14:textId="77777777" w:rsidR="00040F39" w:rsidRPr="00EE48FB" w:rsidRDefault="00040F39" w:rsidP="00190991">
            <w:pPr>
              <w:spacing w:before="60" w:after="60"/>
              <w:jc w:val="right"/>
              <w:rPr>
                <w:rFonts w:cstheme="minorHAnsi"/>
                <w:sz w:val="20"/>
                <w:szCs w:val="20"/>
              </w:rPr>
            </w:pPr>
            <w:r w:rsidRPr="00EE48FB">
              <w:rPr>
                <w:rFonts w:cstheme="minorHAnsi"/>
                <w:sz w:val="20"/>
                <w:szCs w:val="20"/>
              </w:rPr>
              <w:t>64,5</w:t>
            </w:r>
          </w:p>
        </w:tc>
      </w:tr>
    </w:tbl>
    <w:p w14:paraId="4F175ACE" w14:textId="63AB709B" w:rsidR="00A17419" w:rsidRPr="006B6D61" w:rsidRDefault="00A17419" w:rsidP="00D40EFF">
      <w:pPr>
        <w:pStyle w:val="KOMtext"/>
        <w:rPr>
          <w:rFonts w:eastAsiaTheme="minorHAnsi"/>
        </w:rPr>
      </w:pPr>
      <w:r w:rsidRPr="006B6D61">
        <w:rPr>
          <w:rFonts w:eastAsiaTheme="minorHAnsi"/>
        </w:rPr>
        <w:lastRenderedPageBreak/>
        <w:t xml:space="preserve">Přehled jednotlivých programů modulu EDS/SMVS a ZED včetně stanovených objemů rozpočtu (schváleného, po změnách a konečného) a skutečnosti v členění na kapitálové </w:t>
      </w:r>
      <w:r w:rsidR="00EF56D1" w:rsidRPr="006B6D61">
        <w:rPr>
          <w:rFonts w:eastAsiaTheme="minorHAnsi"/>
        </w:rPr>
        <w:br/>
      </w:r>
      <w:r w:rsidRPr="006B6D61">
        <w:rPr>
          <w:rFonts w:eastAsiaTheme="minorHAnsi"/>
        </w:rPr>
        <w:t>a běžné výdaje</w:t>
      </w:r>
      <w:r w:rsidR="005E7A12" w:rsidRPr="006B6D61">
        <w:rPr>
          <w:rFonts w:eastAsiaTheme="minorHAnsi"/>
        </w:rPr>
        <w:t xml:space="preserve"> </w:t>
      </w:r>
      <w:r w:rsidRPr="006B6D61">
        <w:rPr>
          <w:rFonts w:eastAsiaTheme="minorHAnsi"/>
        </w:rPr>
        <w:t>je uveden v tabulce č. 5.</w:t>
      </w:r>
    </w:p>
    <w:p w14:paraId="78E62968" w14:textId="60BA9353" w:rsidR="00BA6E96" w:rsidRPr="006B6D61" w:rsidRDefault="00F00623" w:rsidP="00BA4E5A">
      <w:pPr>
        <w:pStyle w:val="KOMGrafy"/>
      </w:pPr>
      <w:bookmarkStart w:id="598" w:name="_Toc160457130"/>
      <w:r w:rsidRPr="006B6D61">
        <w:t xml:space="preserve">Graf č. </w:t>
      </w:r>
      <w:fldSimple w:instr=" SEQ Graf_č. \* ARABIC ">
        <w:r w:rsidR="00013820">
          <w:rPr>
            <w:noProof/>
          </w:rPr>
          <w:t>13</w:t>
        </w:r>
      </w:fldSimple>
      <w:r w:rsidRPr="006B6D61">
        <w:t>: Celkové výdaje vedené v RISPF (v mil. Kč)</w:t>
      </w:r>
      <w:bookmarkEnd w:id="598"/>
    </w:p>
    <w:p w14:paraId="52FE0A0B" w14:textId="7C4C567C" w:rsidR="00A17419" w:rsidRPr="002F1BE7" w:rsidRDefault="00BE3A84" w:rsidP="00A17419">
      <w:pPr>
        <w:keepLines/>
        <w:spacing w:before="120" w:after="120" w:line="276" w:lineRule="auto"/>
        <w:jc w:val="both"/>
        <w:rPr>
          <w:rFonts w:ascii="Times New Roman" w:eastAsia="Times New Roman" w:hAnsi="Times New Roman" w:cs="Times New Roman"/>
          <w:color w:val="FF0000"/>
          <w:sz w:val="24"/>
          <w:szCs w:val="20"/>
          <w:lang w:eastAsia="cs-CZ"/>
        </w:rPr>
      </w:pPr>
      <w:r w:rsidRPr="004A12C5">
        <w:rPr>
          <w:rFonts w:ascii="Times New Roman" w:eastAsia="Times New Roman" w:hAnsi="Times New Roman" w:cs="Times New Roman"/>
          <w:noProof/>
          <w:color w:val="FF0000"/>
          <w:sz w:val="24"/>
          <w:szCs w:val="20"/>
          <w:lang w:eastAsia="cs-CZ"/>
        </w:rPr>
        <w:drawing>
          <wp:inline distT="0" distB="0" distL="0" distR="0" wp14:anchorId="4C4D207D" wp14:editId="45E446A2">
            <wp:extent cx="5759450" cy="2712720"/>
            <wp:effectExtent l="0" t="0" r="12700" b="11430"/>
            <wp:docPr id="1704355603" name="Graf 170435560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F7D9288" w14:textId="561A7A24" w:rsidR="00A17419" w:rsidRPr="006B6D61" w:rsidRDefault="00A17419" w:rsidP="00E20BD6">
      <w:pPr>
        <w:pStyle w:val="KOMnadp3"/>
      </w:pPr>
      <w:bookmarkStart w:id="599" w:name="_Toc162269260"/>
      <w:r w:rsidRPr="006B6D61">
        <w:lastRenderedPageBreak/>
        <w:t>Modul EDS a SMVS</w:t>
      </w:r>
      <w:bookmarkEnd w:id="599"/>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0"/>
        <w:gridCol w:w="1134"/>
        <w:gridCol w:w="1134"/>
        <w:gridCol w:w="1249"/>
        <w:gridCol w:w="1125"/>
        <w:gridCol w:w="1125"/>
        <w:gridCol w:w="754"/>
      </w:tblGrid>
      <w:tr w:rsidR="002F1BE7" w:rsidRPr="002F1BE7" w14:paraId="1BA1B58B" w14:textId="77777777" w:rsidTr="00BA4E5A">
        <w:trPr>
          <w:tblHeader/>
        </w:trPr>
        <w:tc>
          <w:tcPr>
            <w:tcW w:w="9281" w:type="dxa"/>
            <w:gridSpan w:val="7"/>
            <w:tcBorders>
              <w:top w:val="nil"/>
              <w:left w:val="nil"/>
              <w:right w:val="nil"/>
            </w:tcBorders>
            <w:shd w:val="clear" w:color="auto" w:fill="auto"/>
            <w:vAlign w:val="center"/>
          </w:tcPr>
          <w:p w14:paraId="5FA36D37" w14:textId="5827E0A1" w:rsidR="00B25923" w:rsidRPr="006B6D61" w:rsidRDefault="00B25923" w:rsidP="00BA4E5A">
            <w:pPr>
              <w:spacing w:after="0"/>
              <w:jc w:val="right"/>
              <w:rPr>
                <w:rFonts w:cstheme="minorHAnsi"/>
                <w:sz w:val="20"/>
                <w:szCs w:val="20"/>
              </w:rPr>
            </w:pPr>
            <w:r w:rsidRPr="006B6D61">
              <w:rPr>
                <w:rFonts w:cstheme="minorHAnsi"/>
                <w:sz w:val="20"/>
                <w:szCs w:val="20"/>
              </w:rPr>
              <w:t>v tis. Kč</w:t>
            </w:r>
          </w:p>
        </w:tc>
      </w:tr>
      <w:tr w:rsidR="003562B8" w:rsidRPr="006A755F" w14:paraId="247566A8" w14:textId="77777777" w:rsidTr="00190991">
        <w:trPr>
          <w:trHeight w:val="436"/>
          <w:tblHeader/>
        </w:trPr>
        <w:tc>
          <w:tcPr>
            <w:tcW w:w="2760" w:type="dxa"/>
            <w:vMerge w:val="restart"/>
            <w:shd w:val="pct12" w:color="auto" w:fill="auto"/>
            <w:vAlign w:val="center"/>
          </w:tcPr>
          <w:p w14:paraId="6F48291E" w14:textId="77777777" w:rsidR="003562B8" w:rsidRPr="006A755F" w:rsidRDefault="003562B8" w:rsidP="00190991">
            <w:pPr>
              <w:spacing w:after="0"/>
              <w:jc w:val="center"/>
              <w:rPr>
                <w:rFonts w:cstheme="minorHAnsi"/>
                <w:b/>
                <w:sz w:val="20"/>
                <w:szCs w:val="20"/>
              </w:rPr>
            </w:pPr>
            <w:r w:rsidRPr="00290826">
              <w:rPr>
                <w:rFonts w:cstheme="minorHAnsi"/>
                <w:b/>
                <w:sz w:val="20"/>
                <w:szCs w:val="20"/>
              </w:rPr>
              <w:t>Ukazatel</w:t>
            </w:r>
          </w:p>
        </w:tc>
        <w:tc>
          <w:tcPr>
            <w:tcW w:w="1134" w:type="dxa"/>
            <w:vMerge w:val="restart"/>
            <w:tcBorders>
              <w:top w:val="single" w:sz="4" w:space="0" w:color="auto"/>
              <w:right w:val="single" w:sz="4" w:space="0" w:color="auto"/>
            </w:tcBorders>
            <w:shd w:val="pct12" w:color="auto" w:fill="auto"/>
            <w:vAlign w:val="center"/>
          </w:tcPr>
          <w:p w14:paraId="3E5E4502"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Skutečnost</w:t>
            </w:r>
          </w:p>
          <w:p w14:paraId="418A20CA"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202</w:t>
            </w:r>
            <w:r>
              <w:rPr>
                <w:rFonts w:cstheme="minorHAnsi"/>
                <w:b/>
                <w:sz w:val="20"/>
                <w:szCs w:val="20"/>
              </w:rPr>
              <w:t>2</w:t>
            </w:r>
          </w:p>
        </w:tc>
        <w:tc>
          <w:tcPr>
            <w:tcW w:w="3508" w:type="dxa"/>
            <w:gridSpan w:val="3"/>
            <w:tcBorders>
              <w:top w:val="single" w:sz="4" w:space="0" w:color="auto"/>
              <w:left w:val="single" w:sz="4" w:space="0" w:color="auto"/>
              <w:bottom w:val="single" w:sz="4" w:space="0" w:color="auto"/>
              <w:right w:val="single" w:sz="4" w:space="0" w:color="auto"/>
            </w:tcBorders>
            <w:shd w:val="pct12" w:color="auto" w:fill="auto"/>
            <w:vAlign w:val="center"/>
          </w:tcPr>
          <w:p w14:paraId="6B18AEA9"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Rozpočet 202</w:t>
            </w:r>
            <w:r>
              <w:rPr>
                <w:rFonts w:cstheme="minorHAnsi"/>
                <w:b/>
                <w:sz w:val="20"/>
                <w:szCs w:val="20"/>
              </w:rPr>
              <w:t>3</w:t>
            </w:r>
          </w:p>
        </w:tc>
        <w:tc>
          <w:tcPr>
            <w:tcW w:w="1125" w:type="dxa"/>
            <w:vMerge w:val="restart"/>
            <w:tcBorders>
              <w:top w:val="single" w:sz="4" w:space="0" w:color="auto"/>
              <w:left w:val="single" w:sz="4" w:space="0" w:color="auto"/>
              <w:right w:val="single" w:sz="4" w:space="0" w:color="auto"/>
            </w:tcBorders>
            <w:shd w:val="pct12" w:color="auto" w:fill="auto"/>
            <w:vAlign w:val="center"/>
          </w:tcPr>
          <w:p w14:paraId="2CF17BF6"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Skutečnost</w:t>
            </w:r>
          </w:p>
          <w:p w14:paraId="472D5BDE"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202</w:t>
            </w:r>
            <w:r>
              <w:rPr>
                <w:rFonts w:cstheme="minorHAnsi"/>
                <w:b/>
                <w:sz w:val="20"/>
                <w:szCs w:val="20"/>
              </w:rPr>
              <w:t>3</w:t>
            </w:r>
          </w:p>
        </w:tc>
        <w:tc>
          <w:tcPr>
            <w:tcW w:w="754" w:type="dxa"/>
            <w:vMerge w:val="restart"/>
            <w:tcBorders>
              <w:top w:val="single" w:sz="4" w:space="0" w:color="auto"/>
              <w:left w:val="single" w:sz="4" w:space="0" w:color="auto"/>
            </w:tcBorders>
            <w:shd w:val="pct12" w:color="auto" w:fill="auto"/>
            <w:vAlign w:val="center"/>
          </w:tcPr>
          <w:p w14:paraId="322A22C6"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Index</w:t>
            </w:r>
          </w:p>
          <w:p w14:paraId="1584D894" w14:textId="77777777" w:rsidR="003562B8" w:rsidRPr="006A755F" w:rsidRDefault="003562B8" w:rsidP="00190991">
            <w:pPr>
              <w:spacing w:after="0"/>
              <w:jc w:val="center"/>
              <w:rPr>
                <w:rFonts w:cstheme="minorHAnsi"/>
                <w:b/>
                <w:sz w:val="20"/>
                <w:szCs w:val="20"/>
              </w:rPr>
            </w:pPr>
            <w:r w:rsidRPr="006A755F">
              <w:rPr>
                <w:rFonts w:cstheme="minorHAnsi"/>
                <w:b/>
                <w:sz w:val="20"/>
                <w:szCs w:val="20"/>
              </w:rPr>
              <w:t>(v %)</w:t>
            </w:r>
          </w:p>
        </w:tc>
      </w:tr>
      <w:tr w:rsidR="003562B8" w:rsidRPr="006A755F" w14:paraId="7A9409CC" w14:textId="77777777" w:rsidTr="00190991">
        <w:trPr>
          <w:trHeight w:val="570"/>
          <w:tblHeader/>
        </w:trPr>
        <w:tc>
          <w:tcPr>
            <w:tcW w:w="2760" w:type="dxa"/>
            <w:vMerge/>
            <w:tcBorders>
              <w:bottom w:val="nil"/>
            </w:tcBorders>
          </w:tcPr>
          <w:p w14:paraId="46EFFA0C" w14:textId="77777777" w:rsidR="003562B8" w:rsidRPr="006A755F" w:rsidRDefault="003562B8" w:rsidP="00190991">
            <w:pPr>
              <w:jc w:val="center"/>
              <w:rPr>
                <w:rFonts w:cstheme="minorHAnsi"/>
                <w:sz w:val="20"/>
                <w:szCs w:val="20"/>
              </w:rPr>
            </w:pPr>
          </w:p>
        </w:tc>
        <w:tc>
          <w:tcPr>
            <w:tcW w:w="1134" w:type="dxa"/>
            <w:vMerge/>
            <w:tcBorders>
              <w:bottom w:val="nil"/>
              <w:right w:val="single" w:sz="4" w:space="0" w:color="auto"/>
            </w:tcBorders>
          </w:tcPr>
          <w:p w14:paraId="7F586EFB" w14:textId="77777777" w:rsidR="003562B8" w:rsidRPr="006A755F" w:rsidRDefault="003562B8" w:rsidP="00190991">
            <w:pPr>
              <w:jc w:val="center"/>
              <w:rPr>
                <w:rFonts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7EA67E1A" w14:textId="77777777" w:rsidR="003562B8" w:rsidRPr="006A755F" w:rsidRDefault="003562B8" w:rsidP="00190991">
            <w:pPr>
              <w:spacing w:before="60" w:after="60"/>
              <w:jc w:val="center"/>
              <w:rPr>
                <w:rFonts w:cstheme="minorHAnsi"/>
                <w:b/>
                <w:sz w:val="20"/>
                <w:szCs w:val="20"/>
              </w:rPr>
            </w:pPr>
            <w:r w:rsidRPr="006A755F">
              <w:rPr>
                <w:rFonts w:cstheme="minorHAnsi"/>
                <w:b/>
                <w:sz w:val="20"/>
                <w:szCs w:val="20"/>
              </w:rPr>
              <w:t>schválený</w:t>
            </w:r>
          </w:p>
        </w:tc>
        <w:tc>
          <w:tcPr>
            <w:tcW w:w="1249" w:type="dxa"/>
            <w:tcBorders>
              <w:top w:val="single" w:sz="4" w:space="0" w:color="auto"/>
              <w:left w:val="single" w:sz="4" w:space="0" w:color="auto"/>
              <w:bottom w:val="single" w:sz="4" w:space="0" w:color="auto"/>
              <w:right w:val="single" w:sz="4" w:space="0" w:color="auto"/>
            </w:tcBorders>
            <w:shd w:val="pct12" w:color="auto" w:fill="auto"/>
            <w:vAlign w:val="center"/>
          </w:tcPr>
          <w:p w14:paraId="5440B370" w14:textId="77777777" w:rsidR="003562B8" w:rsidRPr="006A755F" w:rsidRDefault="003562B8" w:rsidP="00190991">
            <w:pPr>
              <w:spacing w:before="60" w:after="60"/>
              <w:jc w:val="center"/>
              <w:rPr>
                <w:rFonts w:cstheme="minorHAnsi"/>
                <w:b/>
                <w:sz w:val="20"/>
                <w:szCs w:val="20"/>
              </w:rPr>
            </w:pPr>
            <w:r w:rsidRPr="006A755F">
              <w:rPr>
                <w:rFonts w:cstheme="minorHAnsi"/>
                <w:b/>
                <w:sz w:val="20"/>
                <w:szCs w:val="20"/>
              </w:rPr>
              <w:t>po změnách</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5130C39A" w14:textId="77777777" w:rsidR="003562B8" w:rsidRPr="006A755F" w:rsidRDefault="003562B8" w:rsidP="00190991">
            <w:pPr>
              <w:spacing w:before="60" w:after="60"/>
              <w:jc w:val="center"/>
              <w:rPr>
                <w:rFonts w:cstheme="minorHAnsi"/>
                <w:b/>
                <w:sz w:val="20"/>
                <w:szCs w:val="20"/>
              </w:rPr>
            </w:pPr>
            <w:r w:rsidRPr="006A755F">
              <w:rPr>
                <w:rFonts w:cstheme="minorHAnsi"/>
                <w:b/>
                <w:sz w:val="20"/>
                <w:szCs w:val="20"/>
              </w:rPr>
              <w:t>konečný</w:t>
            </w:r>
          </w:p>
        </w:tc>
        <w:tc>
          <w:tcPr>
            <w:tcW w:w="1125" w:type="dxa"/>
            <w:vMerge/>
            <w:tcBorders>
              <w:left w:val="single" w:sz="4" w:space="0" w:color="auto"/>
              <w:bottom w:val="nil"/>
              <w:right w:val="single" w:sz="4" w:space="0" w:color="auto"/>
            </w:tcBorders>
          </w:tcPr>
          <w:p w14:paraId="56CCC4B5" w14:textId="77777777" w:rsidR="003562B8" w:rsidRPr="006A755F" w:rsidRDefault="003562B8" w:rsidP="00190991">
            <w:pPr>
              <w:jc w:val="center"/>
              <w:rPr>
                <w:rFonts w:cstheme="minorHAnsi"/>
                <w:sz w:val="20"/>
                <w:szCs w:val="20"/>
              </w:rPr>
            </w:pPr>
          </w:p>
        </w:tc>
        <w:tc>
          <w:tcPr>
            <w:tcW w:w="754" w:type="dxa"/>
            <w:vMerge/>
            <w:tcBorders>
              <w:left w:val="single" w:sz="4" w:space="0" w:color="auto"/>
              <w:bottom w:val="nil"/>
            </w:tcBorders>
          </w:tcPr>
          <w:p w14:paraId="08A344D3" w14:textId="77777777" w:rsidR="003562B8" w:rsidRPr="006A755F" w:rsidRDefault="003562B8" w:rsidP="00190991">
            <w:pPr>
              <w:jc w:val="center"/>
              <w:rPr>
                <w:rFonts w:cstheme="minorHAnsi"/>
                <w:sz w:val="20"/>
                <w:szCs w:val="20"/>
              </w:rPr>
            </w:pPr>
          </w:p>
        </w:tc>
      </w:tr>
      <w:tr w:rsidR="003562B8" w:rsidRPr="006A755F" w14:paraId="2FA71360" w14:textId="77777777" w:rsidTr="00190991">
        <w:trPr>
          <w:trHeight w:val="100"/>
          <w:tblHeader/>
        </w:trPr>
        <w:tc>
          <w:tcPr>
            <w:tcW w:w="2760" w:type="dxa"/>
            <w:tcBorders>
              <w:top w:val="single" w:sz="4" w:space="0" w:color="auto"/>
              <w:left w:val="single" w:sz="4" w:space="0" w:color="auto"/>
              <w:bottom w:val="single" w:sz="4" w:space="0" w:color="auto"/>
              <w:right w:val="single" w:sz="4" w:space="0" w:color="auto"/>
            </w:tcBorders>
          </w:tcPr>
          <w:p w14:paraId="1C48CB53" w14:textId="77777777" w:rsidR="003562B8" w:rsidRPr="006A755F" w:rsidRDefault="003562B8" w:rsidP="00190991">
            <w:pPr>
              <w:spacing w:after="0"/>
              <w:jc w:val="center"/>
              <w:rPr>
                <w:rFonts w:cstheme="minorHAnsi"/>
                <w:sz w:val="20"/>
                <w:szCs w:val="20"/>
              </w:rPr>
            </w:pPr>
            <w:r w:rsidRPr="006A755F">
              <w:rPr>
                <w:rFonts w:cstheme="minorHAnsi"/>
                <w:sz w:val="20"/>
                <w:szCs w:val="20"/>
              </w:rPr>
              <w:t>a</w:t>
            </w:r>
          </w:p>
        </w:tc>
        <w:tc>
          <w:tcPr>
            <w:tcW w:w="1134" w:type="dxa"/>
            <w:tcBorders>
              <w:top w:val="single" w:sz="4" w:space="0" w:color="auto"/>
              <w:left w:val="single" w:sz="4" w:space="0" w:color="auto"/>
              <w:bottom w:val="single" w:sz="4" w:space="0" w:color="auto"/>
              <w:right w:val="single" w:sz="4" w:space="0" w:color="auto"/>
            </w:tcBorders>
          </w:tcPr>
          <w:p w14:paraId="2FACFE81" w14:textId="77777777" w:rsidR="003562B8" w:rsidRPr="006A755F" w:rsidRDefault="003562B8" w:rsidP="00190991">
            <w:pPr>
              <w:spacing w:after="0"/>
              <w:jc w:val="center"/>
              <w:rPr>
                <w:rFonts w:cstheme="minorHAnsi"/>
                <w:sz w:val="20"/>
                <w:szCs w:val="20"/>
              </w:rPr>
            </w:pPr>
            <w:r w:rsidRPr="006A755F">
              <w:rPr>
                <w:rFonts w:cstheme="minorHAnsi"/>
                <w:sz w:val="20"/>
                <w:szCs w:val="20"/>
              </w:rPr>
              <w:t>1</w:t>
            </w:r>
          </w:p>
        </w:tc>
        <w:tc>
          <w:tcPr>
            <w:tcW w:w="1134" w:type="dxa"/>
            <w:tcBorders>
              <w:top w:val="single" w:sz="4" w:space="0" w:color="auto"/>
              <w:left w:val="single" w:sz="4" w:space="0" w:color="auto"/>
              <w:bottom w:val="single" w:sz="4" w:space="0" w:color="auto"/>
              <w:right w:val="single" w:sz="4" w:space="0" w:color="auto"/>
            </w:tcBorders>
          </w:tcPr>
          <w:p w14:paraId="1AAC5C0E" w14:textId="77777777" w:rsidR="003562B8" w:rsidRPr="006A755F" w:rsidRDefault="003562B8" w:rsidP="00190991">
            <w:pPr>
              <w:spacing w:after="0"/>
              <w:jc w:val="center"/>
              <w:rPr>
                <w:rFonts w:cstheme="minorHAnsi"/>
                <w:sz w:val="20"/>
                <w:szCs w:val="20"/>
              </w:rPr>
            </w:pPr>
            <w:r w:rsidRPr="006A755F">
              <w:rPr>
                <w:rFonts w:cstheme="minorHAnsi"/>
                <w:sz w:val="20"/>
                <w:szCs w:val="20"/>
              </w:rPr>
              <w:t>2</w:t>
            </w:r>
          </w:p>
        </w:tc>
        <w:tc>
          <w:tcPr>
            <w:tcW w:w="1249" w:type="dxa"/>
            <w:tcBorders>
              <w:top w:val="single" w:sz="4" w:space="0" w:color="auto"/>
              <w:left w:val="single" w:sz="4" w:space="0" w:color="auto"/>
              <w:bottom w:val="single" w:sz="4" w:space="0" w:color="auto"/>
              <w:right w:val="single" w:sz="4" w:space="0" w:color="auto"/>
            </w:tcBorders>
          </w:tcPr>
          <w:p w14:paraId="6154399C" w14:textId="77777777" w:rsidR="003562B8" w:rsidRPr="006A755F" w:rsidRDefault="003562B8" w:rsidP="00190991">
            <w:pPr>
              <w:spacing w:after="0"/>
              <w:jc w:val="center"/>
              <w:rPr>
                <w:rFonts w:cstheme="minorHAnsi"/>
                <w:sz w:val="20"/>
                <w:szCs w:val="20"/>
              </w:rPr>
            </w:pPr>
            <w:r w:rsidRPr="006A755F">
              <w:rPr>
                <w:rFonts w:cstheme="minorHAnsi"/>
                <w:sz w:val="20"/>
                <w:szCs w:val="20"/>
              </w:rPr>
              <w:t>3</w:t>
            </w:r>
          </w:p>
        </w:tc>
        <w:tc>
          <w:tcPr>
            <w:tcW w:w="1125" w:type="dxa"/>
            <w:tcBorders>
              <w:top w:val="single" w:sz="4" w:space="0" w:color="auto"/>
              <w:left w:val="single" w:sz="4" w:space="0" w:color="auto"/>
              <w:bottom w:val="single" w:sz="4" w:space="0" w:color="auto"/>
              <w:right w:val="single" w:sz="4" w:space="0" w:color="auto"/>
            </w:tcBorders>
          </w:tcPr>
          <w:p w14:paraId="7732FC2C" w14:textId="77777777" w:rsidR="003562B8" w:rsidRPr="006A755F" w:rsidRDefault="003562B8" w:rsidP="00190991">
            <w:pPr>
              <w:spacing w:after="0"/>
              <w:jc w:val="center"/>
              <w:rPr>
                <w:rFonts w:cstheme="minorHAnsi"/>
                <w:sz w:val="20"/>
                <w:szCs w:val="20"/>
              </w:rPr>
            </w:pPr>
            <w:r w:rsidRPr="006A755F">
              <w:rPr>
                <w:rFonts w:cstheme="minorHAnsi"/>
                <w:sz w:val="20"/>
                <w:szCs w:val="20"/>
              </w:rPr>
              <w:t>4</w:t>
            </w:r>
          </w:p>
        </w:tc>
        <w:tc>
          <w:tcPr>
            <w:tcW w:w="1125" w:type="dxa"/>
            <w:tcBorders>
              <w:top w:val="single" w:sz="4" w:space="0" w:color="auto"/>
              <w:left w:val="single" w:sz="4" w:space="0" w:color="auto"/>
              <w:bottom w:val="single" w:sz="4" w:space="0" w:color="auto"/>
              <w:right w:val="single" w:sz="4" w:space="0" w:color="auto"/>
            </w:tcBorders>
          </w:tcPr>
          <w:p w14:paraId="7A011067" w14:textId="77777777" w:rsidR="003562B8" w:rsidRPr="006A755F" w:rsidRDefault="003562B8" w:rsidP="00190991">
            <w:pPr>
              <w:spacing w:after="0"/>
              <w:jc w:val="center"/>
              <w:rPr>
                <w:rFonts w:cstheme="minorHAnsi"/>
                <w:sz w:val="20"/>
                <w:szCs w:val="20"/>
              </w:rPr>
            </w:pPr>
            <w:r w:rsidRPr="006A755F">
              <w:rPr>
                <w:rFonts w:cstheme="minorHAnsi"/>
                <w:sz w:val="20"/>
                <w:szCs w:val="20"/>
              </w:rPr>
              <w:t>5</w:t>
            </w:r>
          </w:p>
        </w:tc>
        <w:tc>
          <w:tcPr>
            <w:tcW w:w="754" w:type="dxa"/>
            <w:tcBorders>
              <w:top w:val="single" w:sz="4" w:space="0" w:color="auto"/>
              <w:left w:val="single" w:sz="4" w:space="0" w:color="auto"/>
              <w:bottom w:val="single" w:sz="4" w:space="0" w:color="auto"/>
              <w:right w:val="single" w:sz="4" w:space="0" w:color="auto"/>
            </w:tcBorders>
          </w:tcPr>
          <w:p w14:paraId="15DF3954" w14:textId="77777777" w:rsidR="003562B8" w:rsidRPr="006A755F" w:rsidRDefault="003562B8" w:rsidP="00190991">
            <w:pPr>
              <w:spacing w:after="0"/>
              <w:jc w:val="center"/>
              <w:rPr>
                <w:rFonts w:cstheme="minorHAnsi"/>
                <w:sz w:val="20"/>
                <w:szCs w:val="20"/>
              </w:rPr>
            </w:pPr>
            <w:r w:rsidRPr="006A755F">
              <w:rPr>
                <w:rFonts w:cstheme="minorHAnsi"/>
                <w:sz w:val="20"/>
                <w:szCs w:val="20"/>
              </w:rPr>
              <w:t>5/1</w:t>
            </w:r>
          </w:p>
        </w:tc>
      </w:tr>
      <w:tr w:rsidR="003562B8" w:rsidRPr="006A755F" w14:paraId="74C66EF4" w14:textId="77777777" w:rsidTr="00190991">
        <w:trPr>
          <w:trHeight w:val="388"/>
          <w:tblHeader/>
        </w:trPr>
        <w:tc>
          <w:tcPr>
            <w:tcW w:w="2760" w:type="dxa"/>
            <w:tcBorders>
              <w:top w:val="single" w:sz="4" w:space="0" w:color="auto"/>
              <w:left w:val="single" w:sz="4" w:space="0" w:color="auto"/>
              <w:bottom w:val="single" w:sz="4" w:space="0" w:color="auto"/>
              <w:right w:val="single" w:sz="4" w:space="0" w:color="auto"/>
            </w:tcBorders>
            <w:shd w:val="pct12" w:color="auto" w:fill="auto"/>
          </w:tcPr>
          <w:p w14:paraId="379F04C5" w14:textId="77777777" w:rsidR="003562B8" w:rsidRPr="006A755F" w:rsidRDefault="003562B8" w:rsidP="00190991">
            <w:pPr>
              <w:spacing w:before="60" w:after="60"/>
              <w:rPr>
                <w:rFonts w:cstheme="minorHAnsi"/>
                <w:b/>
                <w:bCs/>
                <w:sz w:val="20"/>
                <w:szCs w:val="20"/>
              </w:rPr>
            </w:pPr>
            <w:r w:rsidRPr="006A755F">
              <w:rPr>
                <w:rFonts w:cstheme="minorHAnsi"/>
                <w:b/>
                <w:bCs/>
                <w:sz w:val="20"/>
                <w:szCs w:val="20"/>
              </w:rPr>
              <w:t xml:space="preserve">Výdaje EDS/SMVS celkem </w:t>
            </w:r>
            <w:r w:rsidRPr="006A755F">
              <w:rPr>
                <w:rFonts w:cstheme="minorHAnsi"/>
                <w:b/>
                <w:bCs/>
                <w:sz w:val="20"/>
                <w:szCs w:val="20"/>
              </w:rPr>
              <w:br/>
            </w:r>
            <w:r w:rsidRPr="006A755F">
              <w:rPr>
                <w:rFonts w:cstheme="minorHAnsi"/>
                <w:bCs/>
                <w:sz w:val="20"/>
                <w:szCs w:val="20"/>
              </w:rPr>
              <w:t>(v tom:)</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6A86CA90" w14:textId="77777777" w:rsidR="003562B8" w:rsidRPr="006A755F" w:rsidRDefault="003562B8" w:rsidP="00190991">
            <w:pPr>
              <w:spacing w:before="60" w:after="60"/>
              <w:jc w:val="right"/>
              <w:rPr>
                <w:rFonts w:cstheme="minorHAnsi"/>
                <w:b/>
                <w:bCs/>
                <w:sz w:val="20"/>
                <w:szCs w:val="20"/>
              </w:rPr>
            </w:pPr>
            <w:r w:rsidRPr="006A755F">
              <w:rPr>
                <w:rFonts w:cstheme="minorHAnsi"/>
                <w:b/>
                <w:bCs/>
                <w:sz w:val="20"/>
                <w:szCs w:val="20"/>
              </w:rPr>
              <w:t>71 682 024</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5015DDB6"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69 570 915</w:t>
            </w:r>
          </w:p>
        </w:tc>
        <w:tc>
          <w:tcPr>
            <w:tcW w:w="1249" w:type="dxa"/>
            <w:tcBorders>
              <w:top w:val="single" w:sz="4" w:space="0" w:color="auto"/>
              <w:left w:val="single" w:sz="4" w:space="0" w:color="auto"/>
              <w:bottom w:val="single" w:sz="4" w:space="0" w:color="auto"/>
              <w:right w:val="single" w:sz="4" w:space="0" w:color="auto"/>
            </w:tcBorders>
            <w:shd w:val="pct12" w:color="auto" w:fill="auto"/>
            <w:vAlign w:val="center"/>
          </w:tcPr>
          <w:p w14:paraId="71E7826E"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68 708 753</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5983A4B4"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76 353 094</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2A527937"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 xml:space="preserve">74 517 751 </w:t>
            </w:r>
          </w:p>
        </w:tc>
        <w:tc>
          <w:tcPr>
            <w:tcW w:w="754" w:type="dxa"/>
            <w:tcBorders>
              <w:top w:val="single" w:sz="4" w:space="0" w:color="auto"/>
              <w:left w:val="single" w:sz="4" w:space="0" w:color="auto"/>
              <w:bottom w:val="single" w:sz="4" w:space="0" w:color="auto"/>
              <w:right w:val="single" w:sz="4" w:space="0" w:color="auto"/>
            </w:tcBorders>
            <w:shd w:val="pct12" w:color="auto" w:fill="auto"/>
            <w:vAlign w:val="center"/>
          </w:tcPr>
          <w:p w14:paraId="3900F511"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104,0</w:t>
            </w:r>
          </w:p>
        </w:tc>
      </w:tr>
      <w:tr w:rsidR="003562B8" w:rsidRPr="006A755F" w14:paraId="70FE577D" w14:textId="77777777" w:rsidTr="00190991">
        <w:trPr>
          <w:trHeight w:val="388"/>
          <w:tblHeader/>
        </w:trPr>
        <w:tc>
          <w:tcPr>
            <w:tcW w:w="2760" w:type="dxa"/>
            <w:tcBorders>
              <w:top w:val="single" w:sz="4" w:space="0" w:color="auto"/>
              <w:left w:val="single" w:sz="4" w:space="0" w:color="auto"/>
              <w:bottom w:val="nil"/>
              <w:right w:val="single" w:sz="4" w:space="0" w:color="auto"/>
            </w:tcBorders>
          </w:tcPr>
          <w:p w14:paraId="7B9B886A" w14:textId="77777777" w:rsidR="003562B8" w:rsidRPr="006A755F" w:rsidRDefault="003562B8" w:rsidP="00190991">
            <w:pPr>
              <w:spacing w:before="60" w:after="60"/>
              <w:rPr>
                <w:rFonts w:cstheme="minorHAnsi"/>
                <w:b/>
                <w:bCs/>
                <w:color w:val="2E74B5" w:themeColor="accent1" w:themeShade="BF"/>
                <w:sz w:val="20"/>
                <w:szCs w:val="20"/>
              </w:rPr>
            </w:pPr>
            <w:r w:rsidRPr="006A755F">
              <w:rPr>
                <w:rFonts w:cstheme="minorHAnsi"/>
                <w:b/>
                <w:bCs/>
                <w:color w:val="2E74B5" w:themeColor="accent1" w:themeShade="BF"/>
                <w:sz w:val="20"/>
                <w:szCs w:val="20"/>
              </w:rPr>
              <w:t xml:space="preserve">Běžné výdaje </w:t>
            </w:r>
            <w:r w:rsidRPr="006A755F">
              <w:rPr>
                <w:rFonts w:cstheme="minorHAnsi"/>
                <w:bCs/>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18CD3B6D" w14:textId="77777777" w:rsidR="003562B8" w:rsidRPr="006A755F" w:rsidRDefault="003562B8" w:rsidP="00190991">
            <w:pPr>
              <w:spacing w:before="60" w:after="60"/>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17 171 190</w:t>
            </w:r>
          </w:p>
        </w:tc>
        <w:tc>
          <w:tcPr>
            <w:tcW w:w="1134" w:type="dxa"/>
            <w:tcBorders>
              <w:top w:val="single" w:sz="4" w:space="0" w:color="auto"/>
              <w:left w:val="single" w:sz="4" w:space="0" w:color="auto"/>
              <w:bottom w:val="nil"/>
              <w:right w:val="single" w:sz="4" w:space="0" w:color="auto"/>
            </w:tcBorders>
            <w:vAlign w:val="center"/>
          </w:tcPr>
          <w:p w14:paraId="146D9440"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16 528 344</w:t>
            </w:r>
          </w:p>
        </w:tc>
        <w:tc>
          <w:tcPr>
            <w:tcW w:w="1249" w:type="dxa"/>
            <w:tcBorders>
              <w:top w:val="single" w:sz="4" w:space="0" w:color="auto"/>
              <w:left w:val="single" w:sz="4" w:space="0" w:color="auto"/>
              <w:bottom w:val="nil"/>
              <w:right w:val="single" w:sz="4" w:space="0" w:color="auto"/>
            </w:tcBorders>
            <w:vAlign w:val="center"/>
          </w:tcPr>
          <w:p w14:paraId="4ADD11F3"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21 486 797</w:t>
            </w:r>
          </w:p>
        </w:tc>
        <w:tc>
          <w:tcPr>
            <w:tcW w:w="1125" w:type="dxa"/>
            <w:tcBorders>
              <w:top w:val="single" w:sz="4" w:space="0" w:color="auto"/>
              <w:left w:val="single" w:sz="4" w:space="0" w:color="auto"/>
              <w:bottom w:val="nil"/>
              <w:right w:val="single" w:sz="4" w:space="0" w:color="auto"/>
            </w:tcBorders>
            <w:vAlign w:val="center"/>
          </w:tcPr>
          <w:p w14:paraId="1E0661AF"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21 556 454</w:t>
            </w:r>
          </w:p>
        </w:tc>
        <w:tc>
          <w:tcPr>
            <w:tcW w:w="1125" w:type="dxa"/>
            <w:tcBorders>
              <w:top w:val="single" w:sz="4" w:space="0" w:color="auto"/>
              <w:left w:val="single" w:sz="4" w:space="0" w:color="auto"/>
              <w:bottom w:val="nil"/>
              <w:right w:val="single" w:sz="4" w:space="0" w:color="auto"/>
            </w:tcBorders>
            <w:vAlign w:val="center"/>
          </w:tcPr>
          <w:p w14:paraId="75DE3835"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21 538 537</w:t>
            </w:r>
          </w:p>
        </w:tc>
        <w:tc>
          <w:tcPr>
            <w:tcW w:w="754" w:type="dxa"/>
            <w:tcBorders>
              <w:top w:val="single" w:sz="4" w:space="0" w:color="auto"/>
              <w:left w:val="single" w:sz="4" w:space="0" w:color="auto"/>
              <w:bottom w:val="nil"/>
              <w:right w:val="single" w:sz="4" w:space="0" w:color="auto"/>
            </w:tcBorders>
            <w:vAlign w:val="center"/>
          </w:tcPr>
          <w:p w14:paraId="691F4DF3"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125,4</w:t>
            </w:r>
          </w:p>
        </w:tc>
      </w:tr>
      <w:tr w:rsidR="003562B8" w:rsidRPr="006A755F" w14:paraId="5C204DA3" w14:textId="77777777" w:rsidTr="00190991">
        <w:trPr>
          <w:tblHeader/>
        </w:trPr>
        <w:tc>
          <w:tcPr>
            <w:tcW w:w="2760" w:type="dxa"/>
            <w:tcBorders>
              <w:top w:val="nil"/>
              <w:left w:val="single" w:sz="4" w:space="0" w:color="auto"/>
              <w:bottom w:val="nil"/>
              <w:right w:val="single" w:sz="4" w:space="0" w:color="auto"/>
            </w:tcBorders>
          </w:tcPr>
          <w:p w14:paraId="686F4C0C" w14:textId="77777777" w:rsidR="003562B8" w:rsidRPr="006A755F" w:rsidRDefault="003562B8" w:rsidP="00190991">
            <w:pPr>
              <w:spacing w:before="60" w:after="60"/>
              <w:jc w:val="both"/>
              <w:rPr>
                <w:rFonts w:cstheme="minorHAnsi"/>
                <w:sz w:val="20"/>
                <w:szCs w:val="20"/>
              </w:rPr>
            </w:pPr>
            <w:r w:rsidRPr="006A755F">
              <w:rPr>
                <w:rFonts w:cstheme="minorHAnsi"/>
                <w:sz w:val="20"/>
                <w:szCs w:val="20"/>
              </w:rPr>
              <w:t xml:space="preserve">prostředky EU </w:t>
            </w:r>
          </w:p>
        </w:tc>
        <w:tc>
          <w:tcPr>
            <w:tcW w:w="1134" w:type="dxa"/>
            <w:tcBorders>
              <w:top w:val="nil"/>
              <w:left w:val="single" w:sz="4" w:space="0" w:color="auto"/>
              <w:bottom w:val="nil"/>
              <w:right w:val="single" w:sz="4" w:space="0" w:color="auto"/>
            </w:tcBorders>
            <w:vAlign w:val="center"/>
          </w:tcPr>
          <w:p w14:paraId="10C54918" w14:textId="77777777" w:rsidR="003562B8" w:rsidRPr="006A755F" w:rsidRDefault="003562B8" w:rsidP="00190991">
            <w:pPr>
              <w:spacing w:before="60" w:after="60"/>
              <w:jc w:val="right"/>
              <w:rPr>
                <w:rFonts w:cstheme="minorHAnsi"/>
                <w:sz w:val="20"/>
                <w:szCs w:val="20"/>
              </w:rPr>
            </w:pPr>
            <w:r w:rsidRPr="006A755F">
              <w:rPr>
                <w:rFonts w:cstheme="minorHAnsi"/>
                <w:sz w:val="20"/>
                <w:szCs w:val="20"/>
              </w:rPr>
              <w:t>5 604</w:t>
            </w:r>
          </w:p>
        </w:tc>
        <w:tc>
          <w:tcPr>
            <w:tcW w:w="1134" w:type="dxa"/>
            <w:tcBorders>
              <w:top w:val="nil"/>
              <w:left w:val="single" w:sz="4" w:space="0" w:color="auto"/>
              <w:bottom w:val="nil"/>
              <w:right w:val="single" w:sz="4" w:space="0" w:color="auto"/>
            </w:tcBorders>
            <w:vAlign w:val="center"/>
          </w:tcPr>
          <w:p w14:paraId="7B91E44C" w14:textId="77777777" w:rsidR="003562B8" w:rsidRPr="006A755F" w:rsidRDefault="003562B8" w:rsidP="00190991">
            <w:pPr>
              <w:spacing w:before="60" w:after="60"/>
              <w:jc w:val="right"/>
              <w:rPr>
                <w:rFonts w:cstheme="minorHAnsi"/>
                <w:sz w:val="20"/>
                <w:szCs w:val="20"/>
              </w:rPr>
            </w:pPr>
            <w:r>
              <w:rPr>
                <w:rFonts w:cstheme="minorHAnsi"/>
                <w:sz w:val="20"/>
                <w:szCs w:val="20"/>
              </w:rPr>
              <w:t>480</w:t>
            </w:r>
          </w:p>
        </w:tc>
        <w:tc>
          <w:tcPr>
            <w:tcW w:w="1249" w:type="dxa"/>
            <w:tcBorders>
              <w:top w:val="nil"/>
              <w:left w:val="single" w:sz="4" w:space="0" w:color="auto"/>
              <w:bottom w:val="nil"/>
              <w:right w:val="single" w:sz="4" w:space="0" w:color="auto"/>
            </w:tcBorders>
            <w:vAlign w:val="center"/>
          </w:tcPr>
          <w:p w14:paraId="26F03BDC" w14:textId="77777777" w:rsidR="003562B8" w:rsidRPr="006A755F" w:rsidRDefault="003562B8" w:rsidP="00190991">
            <w:pPr>
              <w:spacing w:before="60" w:after="60"/>
              <w:jc w:val="right"/>
              <w:rPr>
                <w:rFonts w:cstheme="minorHAnsi"/>
                <w:sz w:val="20"/>
                <w:szCs w:val="20"/>
              </w:rPr>
            </w:pPr>
            <w:r>
              <w:rPr>
                <w:rFonts w:cstheme="minorHAnsi"/>
                <w:sz w:val="20"/>
                <w:szCs w:val="20"/>
              </w:rPr>
              <w:t>480</w:t>
            </w:r>
          </w:p>
        </w:tc>
        <w:tc>
          <w:tcPr>
            <w:tcW w:w="1125" w:type="dxa"/>
            <w:tcBorders>
              <w:top w:val="nil"/>
              <w:left w:val="single" w:sz="4" w:space="0" w:color="auto"/>
              <w:bottom w:val="nil"/>
              <w:right w:val="single" w:sz="4" w:space="0" w:color="auto"/>
            </w:tcBorders>
            <w:vAlign w:val="center"/>
          </w:tcPr>
          <w:p w14:paraId="69353153" w14:textId="77777777" w:rsidR="003562B8" w:rsidRPr="006A755F" w:rsidRDefault="003562B8" w:rsidP="00190991">
            <w:pPr>
              <w:spacing w:before="60" w:after="60"/>
              <w:jc w:val="right"/>
              <w:rPr>
                <w:rFonts w:cstheme="minorHAnsi"/>
                <w:sz w:val="20"/>
                <w:szCs w:val="20"/>
              </w:rPr>
            </w:pPr>
            <w:r>
              <w:rPr>
                <w:rFonts w:cstheme="minorHAnsi"/>
                <w:sz w:val="20"/>
                <w:szCs w:val="20"/>
              </w:rPr>
              <w:t>2 314</w:t>
            </w:r>
          </w:p>
        </w:tc>
        <w:tc>
          <w:tcPr>
            <w:tcW w:w="1125" w:type="dxa"/>
            <w:tcBorders>
              <w:top w:val="nil"/>
              <w:left w:val="single" w:sz="4" w:space="0" w:color="auto"/>
              <w:bottom w:val="nil"/>
              <w:right w:val="single" w:sz="4" w:space="0" w:color="auto"/>
            </w:tcBorders>
            <w:vAlign w:val="center"/>
          </w:tcPr>
          <w:p w14:paraId="38B22527" w14:textId="77777777" w:rsidR="003562B8" w:rsidRPr="006A755F" w:rsidRDefault="003562B8" w:rsidP="00190991">
            <w:pPr>
              <w:spacing w:before="60" w:after="60"/>
              <w:jc w:val="right"/>
              <w:rPr>
                <w:rFonts w:cstheme="minorHAnsi"/>
                <w:sz w:val="20"/>
                <w:szCs w:val="20"/>
              </w:rPr>
            </w:pPr>
            <w:r>
              <w:rPr>
                <w:rFonts w:cstheme="minorHAnsi"/>
                <w:sz w:val="20"/>
                <w:szCs w:val="20"/>
              </w:rPr>
              <w:t>1 269</w:t>
            </w:r>
          </w:p>
        </w:tc>
        <w:tc>
          <w:tcPr>
            <w:tcW w:w="754" w:type="dxa"/>
            <w:tcBorders>
              <w:top w:val="nil"/>
              <w:left w:val="single" w:sz="4" w:space="0" w:color="auto"/>
              <w:bottom w:val="nil"/>
              <w:right w:val="single" w:sz="4" w:space="0" w:color="auto"/>
            </w:tcBorders>
            <w:vAlign w:val="center"/>
          </w:tcPr>
          <w:p w14:paraId="25482781" w14:textId="77777777" w:rsidR="003562B8" w:rsidRPr="006A755F" w:rsidRDefault="003562B8" w:rsidP="00190991">
            <w:pPr>
              <w:spacing w:before="60" w:after="60"/>
              <w:jc w:val="right"/>
              <w:rPr>
                <w:rFonts w:cstheme="minorHAnsi"/>
                <w:sz w:val="20"/>
                <w:szCs w:val="20"/>
              </w:rPr>
            </w:pPr>
            <w:r>
              <w:rPr>
                <w:rFonts w:cstheme="minorHAnsi"/>
                <w:sz w:val="20"/>
                <w:szCs w:val="20"/>
              </w:rPr>
              <w:t>22,6</w:t>
            </w:r>
          </w:p>
        </w:tc>
      </w:tr>
      <w:tr w:rsidR="003562B8" w:rsidRPr="006A755F" w14:paraId="533A892D" w14:textId="77777777" w:rsidTr="00190991">
        <w:trPr>
          <w:tblHeader/>
        </w:trPr>
        <w:tc>
          <w:tcPr>
            <w:tcW w:w="2760" w:type="dxa"/>
            <w:tcBorders>
              <w:top w:val="single" w:sz="4" w:space="0" w:color="auto"/>
              <w:left w:val="single" w:sz="4" w:space="0" w:color="auto"/>
              <w:bottom w:val="nil"/>
              <w:right w:val="single" w:sz="4" w:space="0" w:color="auto"/>
            </w:tcBorders>
          </w:tcPr>
          <w:p w14:paraId="5E4F54E2" w14:textId="77777777" w:rsidR="003562B8" w:rsidRPr="006A755F" w:rsidRDefault="003562B8" w:rsidP="00190991">
            <w:pPr>
              <w:spacing w:before="60" w:after="60"/>
              <w:jc w:val="both"/>
              <w:rPr>
                <w:rFonts w:cstheme="minorHAnsi"/>
                <w:b/>
                <w:color w:val="2E74B5" w:themeColor="accent1" w:themeShade="BF"/>
                <w:sz w:val="20"/>
                <w:szCs w:val="20"/>
              </w:rPr>
            </w:pPr>
            <w:r w:rsidRPr="006A755F">
              <w:rPr>
                <w:rFonts w:cstheme="minorHAnsi"/>
                <w:b/>
                <w:color w:val="2E74B5" w:themeColor="accent1" w:themeShade="BF"/>
                <w:sz w:val="20"/>
                <w:szCs w:val="20"/>
              </w:rPr>
              <w:t xml:space="preserve">Kapitálové výdaje </w:t>
            </w:r>
            <w:r w:rsidRPr="006A755F">
              <w:rPr>
                <w:rFonts w:cstheme="minorHAnsi"/>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247846CF" w14:textId="77777777" w:rsidR="003562B8" w:rsidRPr="006A755F" w:rsidRDefault="003562B8" w:rsidP="0019099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54 510 834</w:t>
            </w:r>
          </w:p>
        </w:tc>
        <w:tc>
          <w:tcPr>
            <w:tcW w:w="1134" w:type="dxa"/>
            <w:tcBorders>
              <w:top w:val="single" w:sz="4" w:space="0" w:color="auto"/>
              <w:left w:val="single" w:sz="4" w:space="0" w:color="auto"/>
              <w:bottom w:val="nil"/>
              <w:right w:val="single" w:sz="4" w:space="0" w:color="auto"/>
            </w:tcBorders>
            <w:vAlign w:val="center"/>
          </w:tcPr>
          <w:p w14:paraId="35412B79"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53 042 571</w:t>
            </w:r>
          </w:p>
        </w:tc>
        <w:tc>
          <w:tcPr>
            <w:tcW w:w="1249" w:type="dxa"/>
            <w:tcBorders>
              <w:top w:val="single" w:sz="4" w:space="0" w:color="auto"/>
              <w:left w:val="single" w:sz="4" w:space="0" w:color="auto"/>
              <w:bottom w:val="nil"/>
              <w:right w:val="single" w:sz="4" w:space="0" w:color="auto"/>
            </w:tcBorders>
            <w:vAlign w:val="center"/>
          </w:tcPr>
          <w:p w14:paraId="202D843F"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47 221 956</w:t>
            </w:r>
          </w:p>
        </w:tc>
        <w:tc>
          <w:tcPr>
            <w:tcW w:w="1125" w:type="dxa"/>
            <w:tcBorders>
              <w:top w:val="single" w:sz="4" w:space="0" w:color="auto"/>
              <w:left w:val="single" w:sz="4" w:space="0" w:color="auto"/>
              <w:bottom w:val="nil"/>
              <w:right w:val="single" w:sz="4" w:space="0" w:color="auto"/>
            </w:tcBorders>
            <w:vAlign w:val="center"/>
          </w:tcPr>
          <w:p w14:paraId="0D371CB6"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54 796 640</w:t>
            </w:r>
          </w:p>
        </w:tc>
        <w:tc>
          <w:tcPr>
            <w:tcW w:w="1125" w:type="dxa"/>
            <w:tcBorders>
              <w:top w:val="single" w:sz="4" w:space="0" w:color="auto"/>
              <w:left w:val="single" w:sz="4" w:space="0" w:color="auto"/>
              <w:bottom w:val="nil"/>
              <w:right w:val="single" w:sz="4" w:space="0" w:color="auto"/>
            </w:tcBorders>
            <w:vAlign w:val="center"/>
          </w:tcPr>
          <w:p w14:paraId="165531F5"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52 979 214</w:t>
            </w:r>
          </w:p>
        </w:tc>
        <w:tc>
          <w:tcPr>
            <w:tcW w:w="754" w:type="dxa"/>
            <w:tcBorders>
              <w:top w:val="single" w:sz="4" w:space="0" w:color="auto"/>
              <w:left w:val="single" w:sz="4" w:space="0" w:color="auto"/>
              <w:bottom w:val="nil"/>
              <w:right w:val="single" w:sz="4" w:space="0" w:color="auto"/>
            </w:tcBorders>
            <w:vAlign w:val="center"/>
          </w:tcPr>
          <w:p w14:paraId="5D6A548D"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97,2</w:t>
            </w:r>
          </w:p>
        </w:tc>
      </w:tr>
      <w:tr w:rsidR="003562B8" w:rsidRPr="006A755F" w14:paraId="16975C45" w14:textId="77777777" w:rsidTr="00190991">
        <w:trPr>
          <w:tblHeader/>
        </w:trPr>
        <w:tc>
          <w:tcPr>
            <w:tcW w:w="2760" w:type="dxa"/>
            <w:tcBorders>
              <w:top w:val="nil"/>
              <w:left w:val="single" w:sz="4" w:space="0" w:color="auto"/>
              <w:bottom w:val="nil"/>
              <w:right w:val="single" w:sz="4" w:space="0" w:color="auto"/>
            </w:tcBorders>
          </w:tcPr>
          <w:p w14:paraId="07AD6907" w14:textId="77777777" w:rsidR="003562B8" w:rsidRPr="006A755F" w:rsidRDefault="003562B8" w:rsidP="00190991">
            <w:pPr>
              <w:spacing w:before="60" w:after="60"/>
              <w:ind w:hanging="6"/>
              <w:jc w:val="both"/>
              <w:rPr>
                <w:rFonts w:cstheme="minorHAnsi"/>
                <w:sz w:val="20"/>
                <w:szCs w:val="20"/>
              </w:rPr>
            </w:pPr>
            <w:r w:rsidRPr="006A755F">
              <w:rPr>
                <w:rFonts w:cstheme="minorHAnsi"/>
                <w:sz w:val="20"/>
                <w:szCs w:val="20"/>
              </w:rPr>
              <w:t>prostředky EU</w:t>
            </w:r>
          </w:p>
        </w:tc>
        <w:tc>
          <w:tcPr>
            <w:tcW w:w="1134" w:type="dxa"/>
            <w:tcBorders>
              <w:top w:val="nil"/>
              <w:left w:val="single" w:sz="4" w:space="0" w:color="auto"/>
              <w:bottom w:val="nil"/>
              <w:right w:val="single" w:sz="4" w:space="0" w:color="auto"/>
            </w:tcBorders>
            <w:vAlign w:val="center"/>
          </w:tcPr>
          <w:p w14:paraId="22A2F7AE" w14:textId="77777777" w:rsidR="003562B8" w:rsidRPr="006A755F" w:rsidRDefault="003562B8" w:rsidP="00190991">
            <w:pPr>
              <w:spacing w:before="60" w:after="60"/>
              <w:jc w:val="right"/>
              <w:rPr>
                <w:rFonts w:cstheme="minorHAnsi"/>
                <w:sz w:val="20"/>
                <w:szCs w:val="20"/>
              </w:rPr>
            </w:pPr>
            <w:r w:rsidRPr="006A755F">
              <w:rPr>
                <w:rFonts w:cstheme="minorHAnsi"/>
                <w:sz w:val="20"/>
                <w:szCs w:val="20"/>
              </w:rPr>
              <w:t>20 561 648</w:t>
            </w:r>
          </w:p>
        </w:tc>
        <w:tc>
          <w:tcPr>
            <w:tcW w:w="1134" w:type="dxa"/>
            <w:tcBorders>
              <w:top w:val="nil"/>
              <w:left w:val="single" w:sz="4" w:space="0" w:color="auto"/>
              <w:bottom w:val="nil"/>
              <w:right w:val="single" w:sz="4" w:space="0" w:color="auto"/>
            </w:tcBorders>
            <w:vAlign w:val="center"/>
          </w:tcPr>
          <w:p w14:paraId="61048249" w14:textId="77777777" w:rsidR="003562B8" w:rsidRPr="006A755F" w:rsidRDefault="003562B8" w:rsidP="00190991">
            <w:pPr>
              <w:spacing w:before="60" w:after="60"/>
              <w:jc w:val="right"/>
              <w:rPr>
                <w:rFonts w:cstheme="minorHAnsi"/>
                <w:sz w:val="20"/>
                <w:szCs w:val="20"/>
              </w:rPr>
            </w:pPr>
            <w:r>
              <w:rPr>
                <w:rFonts w:cstheme="minorHAnsi"/>
                <w:sz w:val="20"/>
                <w:szCs w:val="20"/>
              </w:rPr>
              <w:t>4 543 037</w:t>
            </w:r>
          </w:p>
        </w:tc>
        <w:tc>
          <w:tcPr>
            <w:tcW w:w="1249" w:type="dxa"/>
            <w:tcBorders>
              <w:top w:val="nil"/>
              <w:left w:val="single" w:sz="4" w:space="0" w:color="auto"/>
              <w:bottom w:val="nil"/>
              <w:right w:val="single" w:sz="4" w:space="0" w:color="auto"/>
            </w:tcBorders>
            <w:vAlign w:val="center"/>
          </w:tcPr>
          <w:p w14:paraId="05070D94" w14:textId="77777777" w:rsidR="003562B8" w:rsidRPr="006A755F" w:rsidRDefault="003562B8" w:rsidP="00190991">
            <w:pPr>
              <w:spacing w:before="60" w:after="60"/>
              <w:jc w:val="right"/>
              <w:rPr>
                <w:rFonts w:cstheme="minorHAnsi"/>
                <w:sz w:val="20"/>
                <w:szCs w:val="20"/>
              </w:rPr>
            </w:pPr>
            <w:r>
              <w:rPr>
                <w:rFonts w:cstheme="minorHAnsi"/>
                <w:sz w:val="20"/>
                <w:szCs w:val="20"/>
              </w:rPr>
              <w:t>4 543 037</w:t>
            </w:r>
          </w:p>
        </w:tc>
        <w:tc>
          <w:tcPr>
            <w:tcW w:w="1125" w:type="dxa"/>
            <w:tcBorders>
              <w:top w:val="nil"/>
              <w:left w:val="single" w:sz="4" w:space="0" w:color="auto"/>
              <w:bottom w:val="nil"/>
              <w:right w:val="single" w:sz="4" w:space="0" w:color="auto"/>
            </w:tcBorders>
            <w:vAlign w:val="center"/>
          </w:tcPr>
          <w:p w14:paraId="7AA09F2F" w14:textId="77777777" w:rsidR="003562B8" w:rsidRPr="006A755F" w:rsidRDefault="003562B8" w:rsidP="00190991">
            <w:pPr>
              <w:spacing w:before="60" w:after="60"/>
              <w:jc w:val="right"/>
              <w:rPr>
                <w:rFonts w:cstheme="minorHAnsi"/>
                <w:sz w:val="20"/>
                <w:szCs w:val="20"/>
              </w:rPr>
            </w:pPr>
            <w:r>
              <w:rPr>
                <w:rFonts w:cstheme="minorHAnsi"/>
                <w:sz w:val="20"/>
                <w:szCs w:val="20"/>
              </w:rPr>
              <w:t>11 467 118</w:t>
            </w:r>
          </w:p>
        </w:tc>
        <w:tc>
          <w:tcPr>
            <w:tcW w:w="1125" w:type="dxa"/>
            <w:tcBorders>
              <w:top w:val="nil"/>
              <w:left w:val="single" w:sz="4" w:space="0" w:color="auto"/>
              <w:bottom w:val="nil"/>
              <w:right w:val="single" w:sz="4" w:space="0" w:color="auto"/>
            </w:tcBorders>
            <w:vAlign w:val="center"/>
          </w:tcPr>
          <w:p w14:paraId="7F07C5A8" w14:textId="77777777" w:rsidR="003562B8" w:rsidRPr="006A755F" w:rsidRDefault="003562B8" w:rsidP="00190991">
            <w:pPr>
              <w:spacing w:before="60" w:after="60"/>
              <w:jc w:val="right"/>
              <w:rPr>
                <w:rFonts w:cstheme="minorHAnsi"/>
                <w:sz w:val="20"/>
                <w:szCs w:val="20"/>
              </w:rPr>
            </w:pPr>
            <w:r>
              <w:rPr>
                <w:rFonts w:cstheme="minorHAnsi"/>
                <w:sz w:val="20"/>
                <w:szCs w:val="20"/>
              </w:rPr>
              <w:t>9 867 688</w:t>
            </w:r>
          </w:p>
        </w:tc>
        <w:tc>
          <w:tcPr>
            <w:tcW w:w="754" w:type="dxa"/>
            <w:tcBorders>
              <w:top w:val="nil"/>
              <w:left w:val="single" w:sz="4" w:space="0" w:color="auto"/>
              <w:bottom w:val="nil"/>
              <w:right w:val="single" w:sz="4" w:space="0" w:color="auto"/>
            </w:tcBorders>
            <w:vAlign w:val="center"/>
          </w:tcPr>
          <w:p w14:paraId="6836BA56" w14:textId="77777777" w:rsidR="003562B8" w:rsidRPr="006A755F" w:rsidRDefault="003562B8" w:rsidP="00190991">
            <w:pPr>
              <w:spacing w:before="60" w:after="60"/>
              <w:jc w:val="right"/>
              <w:rPr>
                <w:rFonts w:cstheme="minorHAnsi"/>
                <w:sz w:val="20"/>
                <w:szCs w:val="20"/>
              </w:rPr>
            </w:pPr>
            <w:r>
              <w:rPr>
                <w:rFonts w:cstheme="minorHAnsi"/>
                <w:sz w:val="20"/>
                <w:szCs w:val="20"/>
              </w:rPr>
              <w:t>48,0</w:t>
            </w:r>
          </w:p>
        </w:tc>
      </w:tr>
      <w:tr w:rsidR="003562B8" w:rsidRPr="006A755F" w14:paraId="0B9C634D" w14:textId="77777777" w:rsidTr="00190991">
        <w:trPr>
          <w:tblHeader/>
        </w:trPr>
        <w:tc>
          <w:tcPr>
            <w:tcW w:w="2760"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47BB938A" w14:textId="77777777" w:rsidR="003562B8" w:rsidRPr="006A755F" w:rsidRDefault="003562B8" w:rsidP="00190991">
            <w:pPr>
              <w:spacing w:before="60" w:after="60"/>
              <w:rPr>
                <w:rFonts w:cstheme="minorHAnsi"/>
                <w:b/>
                <w:bCs/>
                <w:sz w:val="20"/>
                <w:szCs w:val="20"/>
              </w:rPr>
            </w:pPr>
            <w:r w:rsidRPr="006A755F">
              <w:rPr>
                <w:rFonts w:cstheme="minorHAnsi"/>
                <w:b/>
                <w:bCs/>
                <w:sz w:val="20"/>
                <w:szCs w:val="20"/>
              </w:rPr>
              <w:t xml:space="preserve">Výdaje EDS celkem </w:t>
            </w:r>
            <w:r w:rsidRPr="006A755F">
              <w:rPr>
                <w:rFonts w:cstheme="minorHAnsi"/>
                <w:bCs/>
                <w:sz w:val="20"/>
                <w:szCs w:val="20"/>
              </w:rPr>
              <w:t>(v tom:)</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217F21F" w14:textId="77777777" w:rsidR="003562B8" w:rsidRPr="006A755F" w:rsidRDefault="003562B8" w:rsidP="00190991">
            <w:pPr>
              <w:spacing w:before="60" w:after="60"/>
              <w:jc w:val="right"/>
              <w:rPr>
                <w:rFonts w:cstheme="minorHAnsi"/>
                <w:b/>
                <w:bCs/>
                <w:sz w:val="20"/>
                <w:szCs w:val="20"/>
              </w:rPr>
            </w:pPr>
            <w:r w:rsidRPr="006A755F">
              <w:rPr>
                <w:rFonts w:cstheme="minorHAnsi"/>
                <w:b/>
                <w:bCs/>
                <w:sz w:val="20"/>
                <w:szCs w:val="20"/>
              </w:rPr>
              <w:t>71 470 421</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BB052B2"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69 080 796</w:t>
            </w:r>
          </w:p>
        </w:tc>
        <w:tc>
          <w:tcPr>
            <w:tcW w:w="124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66162C9"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68 180 796</w:t>
            </w:r>
          </w:p>
        </w:tc>
        <w:tc>
          <w:tcPr>
            <w:tcW w:w="1125"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4117ADFC"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75 318 742</w:t>
            </w:r>
          </w:p>
        </w:tc>
        <w:tc>
          <w:tcPr>
            <w:tcW w:w="112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47A64C7"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73 791 742</w:t>
            </w:r>
          </w:p>
        </w:tc>
        <w:tc>
          <w:tcPr>
            <w:tcW w:w="75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6790408"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103,2</w:t>
            </w:r>
          </w:p>
        </w:tc>
      </w:tr>
      <w:tr w:rsidR="003562B8" w:rsidRPr="006A755F" w14:paraId="4B83F55E" w14:textId="77777777" w:rsidTr="00190991">
        <w:trPr>
          <w:tblHeader/>
        </w:trPr>
        <w:tc>
          <w:tcPr>
            <w:tcW w:w="2760" w:type="dxa"/>
            <w:tcBorders>
              <w:top w:val="single" w:sz="4" w:space="0" w:color="auto"/>
              <w:left w:val="single" w:sz="4" w:space="0" w:color="auto"/>
              <w:bottom w:val="nil"/>
              <w:right w:val="single" w:sz="4" w:space="0" w:color="auto"/>
            </w:tcBorders>
          </w:tcPr>
          <w:p w14:paraId="099A43E3" w14:textId="77777777" w:rsidR="003562B8" w:rsidRPr="006A755F" w:rsidRDefault="003562B8" w:rsidP="00190991">
            <w:pPr>
              <w:spacing w:before="60" w:after="60"/>
              <w:rPr>
                <w:rFonts w:cstheme="minorHAnsi"/>
                <w:b/>
                <w:bCs/>
                <w:color w:val="2E74B5" w:themeColor="accent1" w:themeShade="BF"/>
                <w:sz w:val="20"/>
                <w:szCs w:val="20"/>
              </w:rPr>
            </w:pPr>
            <w:r w:rsidRPr="006A755F">
              <w:rPr>
                <w:rFonts w:cstheme="minorHAnsi"/>
                <w:b/>
                <w:bCs/>
                <w:color w:val="2E74B5" w:themeColor="accent1" w:themeShade="BF"/>
                <w:sz w:val="20"/>
                <w:szCs w:val="20"/>
              </w:rPr>
              <w:t xml:space="preserve">Běžné výdaje </w:t>
            </w:r>
            <w:r w:rsidRPr="006A755F">
              <w:rPr>
                <w:rFonts w:cstheme="minorHAnsi"/>
                <w:bCs/>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7E2B16CE" w14:textId="77777777" w:rsidR="003562B8" w:rsidRPr="006A755F" w:rsidRDefault="003562B8" w:rsidP="00190991">
            <w:pPr>
              <w:spacing w:before="60" w:after="60"/>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17 069 086</w:t>
            </w:r>
          </w:p>
        </w:tc>
        <w:tc>
          <w:tcPr>
            <w:tcW w:w="1134" w:type="dxa"/>
            <w:tcBorders>
              <w:top w:val="single" w:sz="4" w:space="0" w:color="auto"/>
              <w:left w:val="single" w:sz="4" w:space="0" w:color="auto"/>
              <w:bottom w:val="nil"/>
              <w:right w:val="single" w:sz="4" w:space="0" w:color="auto"/>
            </w:tcBorders>
            <w:vAlign w:val="center"/>
          </w:tcPr>
          <w:p w14:paraId="5616D7A4"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16 428 000</w:t>
            </w:r>
          </w:p>
        </w:tc>
        <w:tc>
          <w:tcPr>
            <w:tcW w:w="1249" w:type="dxa"/>
            <w:tcBorders>
              <w:top w:val="single" w:sz="4" w:space="0" w:color="auto"/>
              <w:left w:val="single" w:sz="4" w:space="0" w:color="auto"/>
              <w:bottom w:val="nil"/>
              <w:right w:val="single" w:sz="4" w:space="0" w:color="auto"/>
            </w:tcBorders>
            <w:vAlign w:val="center"/>
          </w:tcPr>
          <w:p w14:paraId="455BA3B1"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21 382 594</w:t>
            </w:r>
          </w:p>
        </w:tc>
        <w:tc>
          <w:tcPr>
            <w:tcW w:w="1125" w:type="dxa"/>
            <w:tcBorders>
              <w:top w:val="single" w:sz="4" w:space="0" w:color="auto"/>
              <w:left w:val="single" w:sz="4" w:space="0" w:color="auto"/>
              <w:bottom w:val="nil"/>
              <w:right w:val="single" w:sz="4" w:space="0" w:color="auto"/>
            </w:tcBorders>
            <w:vAlign w:val="center"/>
          </w:tcPr>
          <w:p w14:paraId="67A39377"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21 384 730</w:t>
            </w:r>
          </w:p>
        </w:tc>
        <w:tc>
          <w:tcPr>
            <w:tcW w:w="1125" w:type="dxa"/>
            <w:tcBorders>
              <w:top w:val="single" w:sz="4" w:space="0" w:color="auto"/>
              <w:left w:val="single" w:sz="4" w:space="0" w:color="auto"/>
              <w:bottom w:val="nil"/>
              <w:right w:val="single" w:sz="4" w:space="0" w:color="auto"/>
            </w:tcBorders>
            <w:vAlign w:val="center"/>
          </w:tcPr>
          <w:p w14:paraId="095D3817"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21 384 724</w:t>
            </w:r>
          </w:p>
        </w:tc>
        <w:tc>
          <w:tcPr>
            <w:tcW w:w="754" w:type="dxa"/>
            <w:tcBorders>
              <w:top w:val="single" w:sz="4" w:space="0" w:color="auto"/>
              <w:left w:val="single" w:sz="4" w:space="0" w:color="auto"/>
              <w:bottom w:val="nil"/>
              <w:right w:val="single" w:sz="4" w:space="0" w:color="auto"/>
            </w:tcBorders>
            <w:vAlign w:val="center"/>
          </w:tcPr>
          <w:p w14:paraId="583D877F"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125,3</w:t>
            </w:r>
          </w:p>
        </w:tc>
      </w:tr>
      <w:tr w:rsidR="003562B8" w:rsidRPr="006A755F" w14:paraId="0D844703" w14:textId="77777777" w:rsidTr="00190991">
        <w:trPr>
          <w:tblHeader/>
        </w:trPr>
        <w:tc>
          <w:tcPr>
            <w:tcW w:w="2760" w:type="dxa"/>
            <w:tcBorders>
              <w:top w:val="nil"/>
              <w:left w:val="single" w:sz="4" w:space="0" w:color="auto"/>
              <w:bottom w:val="nil"/>
              <w:right w:val="single" w:sz="4" w:space="0" w:color="auto"/>
            </w:tcBorders>
          </w:tcPr>
          <w:p w14:paraId="2068F603" w14:textId="77777777" w:rsidR="003562B8" w:rsidRPr="006A755F" w:rsidRDefault="003562B8" w:rsidP="00190991">
            <w:pPr>
              <w:spacing w:before="60" w:after="60"/>
              <w:jc w:val="both"/>
              <w:rPr>
                <w:rFonts w:cstheme="minorHAnsi"/>
                <w:sz w:val="20"/>
                <w:szCs w:val="20"/>
              </w:rPr>
            </w:pPr>
            <w:r w:rsidRPr="006A755F">
              <w:rPr>
                <w:rFonts w:cstheme="minorHAnsi"/>
                <w:sz w:val="20"/>
                <w:szCs w:val="20"/>
              </w:rPr>
              <w:t xml:space="preserve">prostředky EU </w:t>
            </w:r>
          </w:p>
        </w:tc>
        <w:tc>
          <w:tcPr>
            <w:tcW w:w="1134" w:type="dxa"/>
            <w:tcBorders>
              <w:top w:val="nil"/>
              <w:left w:val="single" w:sz="4" w:space="0" w:color="auto"/>
              <w:bottom w:val="nil"/>
              <w:right w:val="single" w:sz="4" w:space="0" w:color="auto"/>
            </w:tcBorders>
            <w:vAlign w:val="center"/>
          </w:tcPr>
          <w:p w14:paraId="75B282EA" w14:textId="77777777" w:rsidR="003562B8" w:rsidRPr="006A755F" w:rsidRDefault="003562B8" w:rsidP="00190991">
            <w:pPr>
              <w:spacing w:before="60" w:after="60"/>
              <w:jc w:val="right"/>
              <w:rPr>
                <w:rFonts w:cstheme="minorHAnsi"/>
                <w:sz w:val="20"/>
                <w:szCs w:val="20"/>
              </w:rPr>
            </w:pPr>
            <w:r w:rsidRPr="006A755F">
              <w:rPr>
                <w:rFonts w:cstheme="minorHAnsi"/>
                <w:sz w:val="20"/>
                <w:szCs w:val="20"/>
              </w:rPr>
              <w:t>5 604</w:t>
            </w:r>
          </w:p>
        </w:tc>
        <w:tc>
          <w:tcPr>
            <w:tcW w:w="1134" w:type="dxa"/>
            <w:tcBorders>
              <w:top w:val="nil"/>
              <w:left w:val="single" w:sz="4" w:space="0" w:color="auto"/>
              <w:bottom w:val="nil"/>
              <w:right w:val="single" w:sz="4" w:space="0" w:color="auto"/>
            </w:tcBorders>
            <w:vAlign w:val="center"/>
          </w:tcPr>
          <w:p w14:paraId="5C554331" w14:textId="77777777" w:rsidR="003562B8" w:rsidRPr="006A755F" w:rsidRDefault="003562B8" w:rsidP="00190991">
            <w:pPr>
              <w:spacing w:before="60" w:after="60"/>
              <w:jc w:val="right"/>
              <w:rPr>
                <w:rFonts w:cstheme="minorHAnsi"/>
                <w:sz w:val="20"/>
                <w:szCs w:val="20"/>
              </w:rPr>
            </w:pPr>
            <w:r>
              <w:rPr>
                <w:rFonts w:cstheme="minorHAnsi"/>
                <w:sz w:val="20"/>
                <w:szCs w:val="20"/>
              </w:rPr>
              <w:t>0</w:t>
            </w:r>
          </w:p>
        </w:tc>
        <w:tc>
          <w:tcPr>
            <w:tcW w:w="1249" w:type="dxa"/>
            <w:tcBorders>
              <w:top w:val="nil"/>
              <w:left w:val="single" w:sz="4" w:space="0" w:color="auto"/>
              <w:bottom w:val="nil"/>
              <w:right w:val="single" w:sz="4" w:space="0" w:color="auto"/>
            </w:tcBorders>
            <w:vAlign w:val="center"/>
          </w:tcPr>
          <w:p w14:paraId="4DFF9620" w14:textId="77777777" w:rsidR="003562B8" w:rsidRPr="006A755F" w:rsidRDefault="003562B8" w:rsidP="00190991">
            <w:pPr>
              <w:spacing w:before="60" w:after="60"/>
              <w:jc w:val="right"/>
              <w:rPr>
                <w:rFonts w:cstheme="minorHAnsi"/>
                <w:sz w:val="20"/>
                <w:szCs w:val="20"/>
              </w:rPr>
            </w:pPr>
            <w:r>
              <w:rPr>
                <w:rFonts w:cstheme="minorHAnsi"/>
                <w:sz w:val="20"/>
                <w:szCs w:val="20"/>
              </w:rPr>
              <w:t>0</w:t>
            </w:r>
          </w:p>
        </w:tc>
        <w:tc>
          <w:tcPr>
            <w:tcW w:w="1125" w:type="dxa"/>
            <w:tcBorders>
              <w:top w:val="nil"/>
              <w:left w:val="single" w:sz="4" w:space="0" w:color="auto"/>
              <w:bottom w:val="nil"/>
              <w:right w:val="single" w:sz="4" w:space="0" w:color="auto"/>
            </w:tcBorders>
            <w:vAlign w:val="center"/>
          </w:tcPr>
          <w:p w14:paraId="612F35F8" w14:textId="77777777" w:rsidR="003562B8" w:rsidRPr="006A755F" w:rsidRDefault="003562B8" w:rsidP="00190991">
            <w:pPr>
              <w:spacing w:before="60" w:after="60"/>
              <w:jc w:val="right"/>
              <w:rPr>
                <w:rFonts w:cstheme="minorHAnsi"/>
                <w:sz w:val="20"/>
                <w:szCs w:val="20"/>
              </w:rPr>
            </w:pPr>
            <w:r>
              <w:rPr>
                <w:rFonts w:cstheme="minorHAnsi"/>
                <w:sz w:val="20"/>
                <w:szCs w:val="20"/>
              </w:rPr>
              <w:t>530</w:t>
            </w:r>
          </w:p>
        </w:tc>
        <w:tc>
          <w:tcPr>
            <w:tcW w:w="1125" w:type="dxa"/>
            <w:tcBorders>
              <w:top w:val="nil"/>
              <w:left w:val="single" w:sz="4" w:space="0" w:color="auto"/>
              <w:bottom w:val="nil"/>
              <w:right w:val="single" w:sz="4" w:space="0" w:color="auto"/>
            </w:tcBorders>
            <w:vAlign w:val="center"/>
          </w:tcPr>
          <w:p w14:paraId="6B365DF5" w14:textId="77777777" w:rsidR="003562B8" w:rsidRPr="006A755F" w:rsidRDefault="003562B8" w:rsidP="00190991">
            <w:pPr>
              <w:spacing w:before="60" w:after="60"/>
              <w:jc w:val="right"/>
              <w:rPr>
                <w:rFonts w:cstheme="minorHAnsi"/>
                <w:sz w:val="20"/>
                <w:szCs w:val="20"/>
              </w:rPr>
            </w:pPr>
            <w:r>
              <w:rPr>
                <w:rFonts w:cstheme="minorHAnsi"/>
                <w:sz w:val="20"/>
                <w:szCs w:val="20"/>
              </w:rPr>
              <w:t>530</w:t>
            </w:r>
          </w:p>
        </w:tc>
        <w:tc>
          <w:tcPr>
            <w:tcW w:w="754" w:type="dxa"/>
            <w:tcBorders>
              <w:top w:val="nil"/>
              <w:left w:val="single" w:sz="4" w:space="0" w:color="auto"/>
              <w:bottom w:val="nil"/>
              <w:right w:val="single" w:sz="4" w:space="0" w:color="auto"/>
            </w:tcBorders>
            <w:vAlign w:val="center"/>
          </w:tcPr>
          <w:p w14:paraId="1FBF6B4E" w14:textId="77777777" w:rsidR="003562B8" w:rsidRPr="006A755F" w:rsidRDefault="003562B8" w:rsidP="00190991">
            <w:pPr>
              <w:spacing w:before="60" w:after="60"/>
              <w:jc w:val="right"/>
              <w:rPr>
                <w:rFonts w:cstheme="minorHAnsi"/>
                <w:sz w:val="20"/>
                <w:szCs w:val="20"/>
              </w:rPr>
            </w:pPr>
            <w:r>
              <w:rPr>
                <w:rFonts w:cstheme="minorHAnsi"/>
                <w:sz w:val="20"/>
                <w:szCs w:val="20"/>
              </w:rPr>
              <w:t>9,5</w:t>
            </w:r>
          </w:p>
        </w:tc>
      </w:tr>
      <w:tr w:rsidR="003562B8" w:rsidRPr="006A755F" w14:paraId="4886DE1E" w14:textId="77777777" w:rsidTr="00190991">
        <w:trPr>
          <w:tblHeader/>
        </w:trPr>
        <w:tc>
          <w:tcPr>
            <w:tcW w:w="2760" w:type="dxa"/>
            <w:tcBorders>
              <w:top w:val="single" w:sz="4" w:space="0" w:color="auto"/>
              <w:left w:val="single" w:sz="4" w:space="0" w:color="auto"/>
              <w:bottom w:val="nil"/>
              <w:right w:val="single" w:sz="4" w:space="0" w:color="auto"/>
            </w:tcBorders>
          </w:tcPr>
          <w:p w14:paraId="26A4EFFE" w14:textId="77777777" w:rsidR="003562B8" w:rsidRPr="006A755F" w:rsidRDefault="003562B8" w:rsidP="00190991">
            <w:pPr>
              <w:spacing w:before="60" w:after="60"/>
              <w:jc w:val="both"/>
              <w:rPr>
                <w:rFonts w:cstheme="minorHAnsi"/>
                <w:b/>
                <w:color w:val="2E74B5" w:themeColor="accent1" w:themeShade="BF"/>
                <w:sz w:val="20"/>
                <w:szCs w:val="20"/>
              </w:rPr>
            </w:pPr>
            <w:r w:rsidRPr="006A755F">
              <w:rPr>
                <w:rFonts w:cstheme="minorHAnsi"/>
                <w:b/>
                <w:color w:val="2E74B5" w:themeColor="accent1" w:themeShade="BF"/>
                <w:sz w:val="20"/>
                <w:szCs w:val="20"/>
              </w:rPr>
              <w:t xml:space="preserve">Kapitálové výdaje </w:t>
            </w:r>
            <w:r w:rsidRPr="006A755F">
              <w:rPr>
                <w:rFonts w:cstheme="minorHAnsi"/>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2097BC11" w14:textId="77777777" w:rsidR="003562B8" w:rsidRPr="006A755F" w:rsidRDefault="003562B8" w:rsidP="0019099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54 401 335</w:t>
            </w:r>
          </w:p>
        </w:tc>
        <w:tc>
          <w:tcPr>
            <w:tcW w:w="1134" w:type="dxa"/>
            <w:tcBorders>
              <w:top w:val="single" w:sz="4" w:space="0" w:color="auto"/>
              <w:left w:val="single" w:sz="4" w:space="0" w:color="auto"/>
              <w:bottom w:val="nil"/>
              <w:right w:val="single" w:sz="4" w:space="0" w:color="auto"/>
            </w:tcBorders>
            <w:vAlign w:val="center"/>
          </w:tcPr>
          <w:p w14:paraId="78169504"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52 652 796</w:t>
            </w:r>
          </w:p>
        </w:tc>
        <w:tc>
          <w:tcPr>
            <w:tcW w:w="1249" w:type="dxa"/>
            <w:tcBorders>
              <w:top w:val="single" w:sz="4" w:space="0" w:color="auto"/>
              <w:left w:val="single" w:sz="4" w:space="0" w:color="auto"/>
              <w:bottom w:val="nil"/>
              <w:right w:val="single" w:sz="4" w:space="0" w:color="auto"/>
            </w:tcBorders>
            <w:vAlign w:val="center"/>
          </w:tcPr>
          <w:p w14:paraId="155FA72D"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46 798 202</w:t>
            </w:r>
          </w:p>
        </w:tc>
        <w:tc>
          <w:tcPr>
            <w:tcW w:w="1125" w:type="dxa"/>
            <w:tcBorders>
              <w:top w:val="single" w:sz="4" w:space="0" w:color="auto"/>
              <w:left w:val="single" w:sz="4" w:space="0" w:color="auto"/>
              <w:bottom w:val="nil"/>
              <w:right w:val="single" w:sz="4" w:space="0" w:color="auto"/>
            </w:tcBorders>
            <w:vAlign w:val="center"/>
          </w:tcPr>
          <w:p w14:paraId="119D3268"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53 934 012</w:t>
            </w:r>
          </w:p>
        </w:tc>
        <w:tc>
          <w:tcPr>
            <w:tcW w:w="1125" w:type="dxa"/>
            <w:tcBorders>
              <w:top w:val="single" w:sz="4" w:space="0" w:color="auto"/>
              <w:left w:val="single" w:sz="4" w:space="0" w:color="auto"/>
              <w:bottom w:val="nil"/>
              <w:right w:val="single" w:sz="4" w:space="0" w:color="auto"/>
            </w:tcBorders>
            <w:vAlign w:val="center"/>
          </w:tcPr>
          <w:p w14:paraId="56A37714"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52 407 018</w:t>
            </w:r>
          </w:p>
        </w:tc>
        <w:tc>
          <w:tcPr>
            <w:tcW w:w="754" w:type="dxa"/>
            <w:tcBorders>
              <w:top w:val="single" w:sz="4" w:space="0" w:color="auto"/>
              <w:left w:val="single" w:sz="4" w:space="0" w:color="auto"/>
              <w:bottom w:val="nil"/>
              <w:right w:val="single" w:sz="4" w:space="0" w:color="auto"/>
            </w:tcBorders>
            <w:vAlign w:val="center"/>
          </w:tcPr>
          <w:p w14:paraId="581C160D"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96,3</w:t>
            </w:r>
          </w:p>
        </w:tc>
      </w:tr>
      <w:tr w:rsidR="003562B8" w:rsidRPr="006A755F" w14:paraId="7792E1EC" w14:textId="77777777" w:rsidTr="00190991">
        <w:trPr>
          <w:tblHeader/>
        </w:trPr>
        <w:tc>
          <w:tcPr>
            <w:tcW w:w="2760" w:type="dxa"/>
            <w:tcBorders>
              <w:top w:val="nil"/>
              <w:left w:val="single" w:sz="4" w:space="0" w:color="auto"/>
              <w:bottom w:val="nil"/>
              <w:right w:val="single" w:sz="4" w:space="0" w:color="auto"/>
            </w:tcBorders>
          </w:tcPr>
          <w:p w14:paraId="7904063A" w14:textId="77777777" w:rsidR="003562B8" w:rsidRPr="006A755F" w:rsidRDefault="003562B8" w:rsidP="00190991">
            <w:pPr>
              <w:spacing w:before="60" w:after="60"/>
              <w:ind w:hanging="6"/>
              <w:jc w:val="both"/>
              <w:rPr>
                <w:rFonts w:cstheme="minorHAnsi"/>
                <w:sz w:val="20"/>
                <w:szCs w:val="20"/>
              </w:rPr>
            </w:pPr>
            <w:r w:rsidRPr="006A755F">
              <w:rPr>
                <w:rFonts w:cstheme="minorHAnsi"/>
                <w:sz w:val="20"/>
                <w:szCs w:val="20"/>
              </w:rPr>
              <w:t>prostředky EU</w:t>
            </w:r>
          </w:p>
        </w:tc>
        <w:tc>
          <w:tcPr>
            <w:tcW w:w="1134" w:type="dxa"/>
            <w:tcBorders>
              <w:top w:val="nil"/>
              <w:left w:val="single" w:sz="4" w:space="0" w:color="auto"/>
              <w:bottom w:val="nil"/>
              <w:right w:val="single" w:sz="4" w:space="0" w:color="auto"/>
            </w:tcBorders>
            <w:vAlign w:val="center"/>
          </w:tcPr>
          <w:p w14:paraId="2A6FDD67" w14:textId="77777777" w:rsidR="003562B8" w:rsidRPr="006A755F" w:rsidRDefault="003562B8" w:rsidP="00190991">
            <w:pPr>
              <w:spacing w:before="60" w:after="60"/>
              <w:jc w:val="right"/>
              <w:rPr>
                <w:rFonts w:cstheme="minorHAnsi"/>
                <w:sz w:val="20"/>
                <w:szCs w:val="20"/>
              </w:rPr>
            </w:pPr>
            <w:r w:rsidRPr="006A755F">
              <w:rPr>
                <w:rFonts w:cstheme="minorHAnsi"/>
                <w:sz w:val="20"/>
                <w:szCs w:val="20"/>
              </w:rPr>
              <w:t>20 561 648</w:t>
            </w:r>
          </w:p>
        </w:tc>
        <w:tc>
          <w:tcPr>
            <w:tcW w:w="1134" w:type="dxa"/>
            <w:tcBorders>
              <w:top w:val="nil"/>
              <w:left w:val="single" w:sz="4" w:space="0" w:color="auto"/>
              <w:bottom w:val="nil"/>
              <w:right w:val="single" w:sz="4" w:space="0" w:color="auto"/>
            </w:tcBorders>
            <w:vAlign w:val="center"/>
          </w:tcPr>
          <w:p w14:paraId="208D757D" w14:textId="77777777" w:rsidR="003562B8" w:rsidRPr="006A755F" w:rsidRDefault="003562B8" w:rsidP="00190991">
            <w:pPr>
              <w:spacing w:before="60" w:after="60"/>
              <w:jc w:val="right"/>
              <w:rPr>
                <w:rFonts w:cstheme="minorHAnsi"/>
                <w:sz w:val="20"/>
                <w:szCs w:val="20"/>
              </w:rPr>
            </w:pPr>
            <w:r>
              <w:rPr>
                <w:rFonts w:cstheme="minorHAnsi"/>
                <w:sz w:val="20"/>
                <w:szCs w:val="20"/>
              </w:rPr>
              <w:t>4 250 796</w:t>
            </w:r>
          </w:p>
        </w:tc>
        <w:tc>
          <w:tcPr>
            <w:tcW w:w="1249" w:type="dxa"/>
            <w:tcBorders>
              <w:top w:val="nil"/>
              <w:left w:val="single" w:sz="4" w:space="0" w:color="auto"/>
              <w:bottom w:val="nil"/>
              <w:right w:val="single" w:sz="4" w:space="0" w:color="auto"/>
            </w:tcBorders>
            <w:vAlign w:val="center"/>
          </w:tcPr>
          <w:p w14:paraId="6DE0F14F" w14:textId="77777777" w:rsidR="003562B8" w:rsidRPr="006A755F" w:rsidRDefault="003562B8" w:rsidP="00190991">
            <w:pPr>
              <w:spacing w:before="60" w:after="60"/>
              <w:jc w:val="right"/>
              <w:rPr>
                <w:rFonts w:cstheme="minorHAnsi"/>
                <w:sz w:val="20"/>
                <w:szCs w:val="20"/>
              </w:rPr>
            </w:pPr>
            <w:r>
              <w:rPr>
                <w:rFonts w:cstheme="minorHAnsi"/>
                <w:sz w:val="20"/>
                <w:szCs w:val="20"/>
              </w:rPr>
              <w:t>4 250 796</w:t>
            </w:r>
          </w:p>
        </w:tc>
        <w:tc>
          <w:tcPr>
            <w:tcW w:w="1125" w:type="dxa"/>
            <w:tcBorders>
              <w:top w:val="nil"/>
              <w:left w:val="single" w:sz="4" w:space="0" w:color="auto"/>
              <w:bottom w:val="nil"/>
              <w:right w:val="single" w:sz="4" w:space="0" w:color="auto"/>
            </w:tcBorders>
            <w:vAlign w:val="center"/>
          </w:tcPr>
          <w:p w14:paraId="699646AD" w14:textId="77777777" w:rsidR="003562B8" w:rsidRPr="006A755F" w:rsidRDefault="003562B8" w:rsidP="00190991">
            <w:pPr>
              <w:spacing w:before="60" w:after="60"/>
              <w:jc w:val="right"/>
              <w:rPr>
                <w:rFonts w:cstheme="minorHAnsi"/>
                <w:sz w:val="20"/>
                <w:szCs w:val="20"/>
              </w:rPr>
            </w:pPr>
            <w:r>
              <w:rPr>
                <w:rFonts w:cstheme="minorHAnsi"/>
                <w:sz w:val="20"/>
                <w:szCs w:val="20"/>
              </w:rPr>
              <w:t>10 956 657</w:t>
            </w:r>
          </w:p>
        </w:tc>
        <w:tc>
          <w:tcPr>
            <w:tcW w:w="1125" w:type="dxa"/>
            <w:tcBorders>
              <w:top w:val="nil"/>
              <w:left w:val="single" w:sz="4" w:space="0" w:color="auto"/>
              <w:bottom w:val="nil"/>
              <w:right w:val="single" w:sz="4" w:space="0" w:color="auto"/>
            </w:tcBorders>
            <w:vAlign w:val="center"/>
          </w:tcPr>
          <w:p w14:paraId="4522591A" w14:textId="77777777" w:rsidR="003562B8" w:rsidRPr="006A755F" w:rsidRDefault="003562B8" w:rsidP="00190991">
            <w:pPr>
              <w:spacing w:before="60" w:after="60"/>
              <w:jc w:val="right"/>
              <w:rPr>
                <w:rFonts w:cstheme="minorHAnsi"/>
                <w:sz w:val="20"/>
                <w:szCs w:val="20"/>
              </w:rPr>
            </w:pPr>
            <w:r>
              <w:rPr>
                <w:rFonts w:cstheme="minorHAnsi"/>
                <w:sz w:val="20"/>
                <w:szCs w:val="20"/>
              </w:rPr>
              <w:t>9 431 607</w:t>
            </w:r>
          </w:p>
        </w:tc>
        <w:tc>
          <w:tcPr>
            <w:tcW w:w="754" w:type="dxa"/>
            <w:tcBorders>
              <w:top w:val="nil"/>
              <w:left w:val="single" w:sz="4" w:space="0" w:color="auto"/>
              <w:bottom w:val="nil"/>
              <w:right w:val="single" w:sz="4" w:space="0" w:color="auto"/>
            </w:tcBorders>
            <w:vAlign w:val="center"/>
          </w:tcPr>
          <w:p w14:paraId="51C116C2" w14:textId="77777777" w:rsidR="003562B8" w:rsidRPr="006A755F" w:rsidRDefault="003562B8" w:rsidP="00190991">
            <w:pPr>
              <w:spacing w:before="60" w:after="60"/>
              <w:jc w:val="right"/>
              <w:rPr>
                <w:rFonts w:cstheme="minorHAnsi"/>
                <w:sz w:val="20"/>
                <w:szCs w:val="20"/>
              </w:rPr>
            </w:pPr>
            <w:r>
              <w:rPr>
                <w:rFonts w:cstheme="minorHAnsi"/>
                <w:sz w:val="20"/>
                <w:szCs w:val="20"/>
              </w:rPr>
              <w:t>45,9</w:t>
            </w:r>
          </w:p>
        </w:tc>
      </w:tr>
      <w:tr w:rsidR="003562B8" w:rsidRPr="006A755F" w14:paraId="2D1EC086" w14:textId="77777777" w:rsidTr="00190991">
        <w:trPr>
          <w:tblHeader/>
        </w:trPr>
        <w:tc>
          <w:tcPr>
            <w:tcW w:w="2760"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58F20595" w14:textId="77777777" w:rsidR="003562B8" w:rsidRPr="006A755F" w:rsidRDefault="003562B8" w:rsidP="00190991">
            <w:pPr>
              <w:spacing w:before="60" w:after="60"/>
              <w:rPr>
                <w:rFonts w:cstheme="minorHAnsi"/>
                <w:b/>
                <w:bCs/>
                <w:sz w:val="20"/>
                <w:szCs w:val="20"/>
              </w:rPr>
            </w:pPr>
            <w:r w:rsidRPr="006A755F">
              <w:rPr>
                <w:rFonts w:cstheme="minorHAnsi"/>
                <w:b/>
                <w:bCs/>
                <w:sz w:val="20"/>
                <w:szCs w:val="20"/>
              </w:rPr>
              <w:t xml:space="preserve">Výdaje SMVS celkem </w:t>
            </w:r>
            <w:r w:rsidRPr="006A755F">
              <w:rPr>
                <w:rFonts w:cstheme="minorHAnsi"/>
                <w:bCs/>
                <w:sz w:val="20"/>
                <w:szCs w:val="20"/>
              </w:rPr>
              <w:t>(v tom:)</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7CCFFDE" w14:textId="77777777" w:rsidR="003562B8" w:rsidRPr="006A755F" w:rsidRDefault="003562B8" w:rsidP="00190991">
            <w:pPr>
              <w:spacing w:before="60" w:after="60"/>
              <w:jc w:val="right"/>
              <w:rPr>
                <w:rFonts w:cstheme="minorHAnsi"/>
                <w:b/>
                <w:bCs/>
                <w:sz w:val="20"/>
                <w:szCs w:val="20"/>
              </w:rPr>
            </w:pPr>
            <w:r w:rsidRPr="006A755F">
              <w:rPr>
                <w:rFonts w:cstheme="minorHAnsi"/>
                <w:b/>
                <w:bCs/>
                <w:sz w:val="20"/>
                <w:szCs w:val="20"/>
              </w:rPr>
              <w:t>211 603</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E80C036"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490 119</w:t>
            </w:r>
          </w:p>
        </w:tc>
        <w:tc>
          <w:tcPr>
            <w:tcW w:w="124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C5ACC47"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527 957</w:t>
            </w:r>
          </w:p>
        </w:tc>
        <w:tc>
          <w:tcPr>
            <w:tcW w:w="1125"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25BB8F4"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1 034 352</w:t>
            </w:r>
          </w:p>
        </w:tc>
        <w:tc>
          <w:tcPr>
            <w:tcW w:w="112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3D33777"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726 009</w:t>
            </w:r>
          </w:p>
        </w:tc>
        <w:tc>
          <w:tcPr>
            <w:tcW w:w="75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903AD5E" w14:textId="77777777" w:rsidR="003562B8" w:rsidRPr="006A755F" w:rsidRDefault="003562B8" w:rsidP="00190991">
            <w:pPr>
              <w:spacing w:before="60" w:after="60"/>
              <w:jc w:val="right"/>
              <w:rPr>
                <w:rFonts w:cstheme="minorHAnsi"/>
                <w:b/>
                <w:bCs/>
                <w:sz w:val="20"/>
                <w:szCs w:val="20"/>
              </w:rPr>
            </w:pPr>
            <w:r>
              <w:rPr>
                <w:rFonts w:cstheme="minorHAnsi"/>
                <w:b/>
                <w:bCs/>
                <w:sz w:val="20"/>
                <w:szCs w:val="20"/>
              </w:rPr>
              <w:t>343,1</w:t>
            </w:r>
          </w:p>
        </w:tc>
      </w:tr>
      <w:tr w:rsidR="003562B8" w:rsidRPr="006A755F" w14:paraId="09F03463" w14:textId="77777777" w:rsidTr="00190991">
        <w:trPr>
          <w:tblHeader/>
        </w:trPr>
        <w:tc>
          <w:tcPr>
            <w:tcW w:w="2760" w:type="dxa"/>
            <w:tcBorders>
              <w:top w:val="single" w:sz="4" w:space="0" w:color="auto"/>
              <w:left w:val="single" w:sz="4" w:space="0" w:color="auto"/>
              <w:bottom w:val="nil"/>
              <w:right w:val="single" w:sz="4" w:space="0" w:color="auto"/>
            </w:tcBorders>
          </w:tcPr>
          <w:p w14:paraId="0FCC9233" w14:textId="77777777" w:rsidR="003562B8" w:rsidRPr="006A755F" w:rsidRDefault="003562B8" w:rsidP="00190991">
            <w:pPr>
              <w:spacing w:before="60" w:after="60"/>
              <w:rPr>
                <w:rFonts w:cstheme="minorHAnsi"/>
                <w:b/>
                <w:bCs/>
                <w:color w:val="2E74B5" w:themeColor="accent1" w:themeShade="BF"/>
                <w:sz w:val="20"/>
                <w:szCs w:val="20"/>
              </w:rPr>
            </w:pPr>
            <w:r w:rsidRPr="006A755F">
              <w:rPr>
                <w:rFonts w:cstheme="minorHAnsi"/>
                <w:b/>
                <w:bCs/>
                <w:color w:val="2E74B5" w:themeColor="accent1" w:themeShade="BF"/>
                <w:sz w:val="20"/>
                <w:szCs w:val="20"/>
              </w:rPr>
              <w:t xml:space="preserve">Běžné výdaje </w:t>
            </w:r>
            <w:r w:rsidRPr="006A755F">
              <w:rPr>
                <w:rFonts w:cstheme="minorHAnsi"/>
                <w:bCs/>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361166E0" w14:textId="77777777" w:rsidR="003562B8" w:rsidRPr="006A755F" w:rsidRDefault="003562B8" w:rsidP="00190991">
            <w:pPr>
              <w:spacing w:before="60" w:after="60"/>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102 104</w:t>
            </w:r>
          </w:p>
        </w:tc>
        <w:tc>
          <w:tcPr>
            <w:tcW w:w="1134" w:type="dxa"/>
            <w:tcBorders>
              <w:top w:val="single" w:sz="4" w:space="0" w:color="auto"/>
              <w:left w:val="single" w:sz="4" w:space="0" w:color="auto"/>
              <w:bottom w:val="nil"/>
              <w:right w:val="single" w:sz="4" w:space="0" w:color="auto"/>
            </w:tcBorders>
            <w:vAlign w:val="center"/>
          </w:tcPr>
          <w:p w14:paraId="54A469A1"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100 344</w:t>
            </w:r>
          </w:p>
        </w:tc>
        <w:tc>
          <w:tcPr>
            <w:tcW w:w="1249" w:type="dxa"/>
            <w:tcBorders>
              <w:top w:val="single" w:sz="4" w:space="0" w:color="auto"/>
              <w:left w:val="single" w:sz="4" w:space="0" w:color="auto"/>
              <w:bottom w:val="nil"/>
              <w:right w:val="single" w:sz="4" w:space="0" w:color="auto"/>
            </w:tcBorders>
            <w:vAlign w:val="center"/>
          </w:tcPr>
          <w:p w14:paraId="42751F8D"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104 203</w:t>
            </w:r>
          </w:p>
        </w:tc>
        <w:tc>
          <w:tcPr>
            <w:tcW w:w="1125" w:type="dxa"/>
            <w:tcBorders>
              <w:top w:val="single" w:sz="4" w:space="0" w:color="auto"/>
              <w:left w:val="single" w:sz="4" w:space="0" w:color="auto"/>
              <w:bottom w:val="nil"/>
              <w:right w:val="single" w:sz="4" w:space="0" w:color="auto"/>
            </w:tcBorders>
            <w:vAlign w:val="center"/>
          </w:tcPr>
          <w:p w14:paraId="22484ACD"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171 724</w:t>
            </w:r>
          </w:p>
        </w:tc>
        <w:tc>
          <w:tcPr>
            <w:tcW w:w="1125" w:type="dxa"/>
            <w:tcBorders>
              <w:top w:val="single" w:sz="4" w:space="0" w:color="auto"/>
              <w:left w:val="single" w:sz="4" w:space="0" w:color="auto"/>
              <w:bottom w:val="nil"/>
              <w:right w:val="single" w:sz="4" w:space="0" w:color="auto"/>
            </w:tcBorders>
            <w:vAlign w:val="center"/>
          </w:tcPr>
          <w:p w14:paraId="4A6A6780"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153 813</w:t>
            </w:r>
          </w:p>
        </w:tc>
        <w:tc>
          <w:tcPr>
            <w:tcW w:w="754" w:type="dxa"/>
            <w:tcBorders>
              <w:top w:val="single" w:sz="4" w:space="0" w:color="auto"/>
              <w:left w:val="single" w:sz="4" w:space="0" w:color="auto"/>
              <w:bottom w:val="nil"/>
              <w:right w:val="single" w:sz="4" w:space="0" w:color="auto"/>
            </w:tcBorders>
            <w:vAlign w:val="center"/>
          </w:tcPr>
          <w:p w14:paraId="6F1168D9" w14:textId="77777777" w:rsidR="003562B8" w:rsidRPr="006A755F" w:rsidRDefault="003562B8" w:rsidP="00190991">
            <w:pPr>
              <w:spacing w:before="60" w:after="60"/>
              <w:jc w:val="right"/>
              <w:rPr>
                <w:rFonts w:cstheme="minorHAnsi"/>
                <w:b/>
                <w:bCs/>
                <w:color w:val="2E74B5" w:themeColor="accent1" w:themeShade="BF"/>
                <w:sz w:val="20"/>
                <w:szCs w:val="20"/>
              </w:rPr>
            </w:pPr>
            <w:r>
              <w:rPr>
                <w:rFonts w:cstheme="minorHAnsi"/>
                <w:b/>
                <w:bCs/>
                <w:color w:val="2E74B5" w:themeColor="accent1" w:themeShade="BF"/>
                <w:sz w:val="20"/>
                <w:szCs w:val="20"/>
              </w:rPr>
              <w:t>150,6</w:t>
            </w:r>
          </w:p>
        </w:tc>
      </w:tr>
      <w:tr w:rsidR="003562B8" w:rsidRPr="006A755F" w14:paraId="1BA8ACD1" w14:textId="77777777" w:rsidTr="00190991">
        <w:trPr>
          <w:tblHeader/>
        </w:trPr>
        <w:tc>
          <w:tcPr>
            <w:tcW w:w="2760" w:type="dxa"/>
            <w:tcBorders>
              <w:top w:val="nil"/>
              <w:left w:val="single" w:sz="4" w:space="0" w:color="auto"/>
              <w:bottom w:val="nil"/>
              <w:right w:val="single" w:sz="4" w:space="0" w:color="auto"/>
            </w:tcBorders>
          </w:tcPr>
          <w:p w14:paraId="5F166EA3" w14:textId="77777777" w:rsidR="003562B8" w:rsidRPr="006A755F" w:rsidRDefault="003562B8" w:rsidP="00190991">
            <w:pPr>
              <w:spacing w:before="60" w:after="60"/>
              <w:jc w:val="both"/>
              <w:rPr>
                <w:rFonts w:cstheme="minorHAnsi"/>
                <w:sz w:val="20"/>
                <w:szCs w:val="20"/>
              </w:rPr>
            </w:pPr>
            <w:r w:rsidRPr="006A755F">
              <w:rPr>
                <w:rFonts w:cstheme="minorHAnsi"/>
                <w:sz w:val="20"/>
                <w:szCs w:val="20"/>
              </w:rPr>
              <w:t xml:space="preserve">prostředky EU </w:t>
            </w:r>
          </w:p>
        </w:tc>
        <w:tc>
          <w:tcPr>
            <w:tcW w:w="1134" w:type="dxa"/>
            <w:tcBorders>
              <w:top w:val="nil"/>
              <w:left w:val="single" w:sz="4" w:space="0" w:color="auto"/>
              <w:bottom w:val="nil"/>
              <w:right w:val="single" w:sz="4" w:space="0" w:color="auto"/>
            </w:tcBorders>
            <w:vAlign w:val="center"/>
          </w:tcPr>
          <w:p w14:paraId="7A9F57A6" w14:textId="77777777" w:rsidR="003562B8" w:rsidRPr="006A755F" w:rsidRDefault="003562B8" w:rsidP="00190991">
            <w:pPr>
              <w:spacing w:before="60" w:after="60"/>
              <w:jc w:val="right"/>
              <w:rPr>
                <w:rFonts w:cstheme="minorHAnsi"/>
                <w:sz w:val="20"/>
                <w:szCs w:val="20"/>
              </w:rPr>
            </w:pPr>
            <w:r w:rsidRPr="006A755F">
              <w:rPr>
                <w:rFonts w:cstheme="minorHAnsi"/>
                <w:sz w:val="20"/>
                <w:szCs w:val="20"/>
              </w:rPr>
              <w:t>0</w:t>
            </w:r>
          </w:p>
        </w:tc>
        <w:tc>
          <w:tcPr>
            <w:tcW w:w="1134" w:type="dxa"/>
            <w:tcBorders>
              <w:top w:val="nil"/>
              <w:left w:val="single" w:sz="4" w:space="0" w:color="auto"/>
              <w:bottom w:val="nil"/>
              <w:right w:val="single" w:sz="4" w:space="0" w:color="auto"/>
            </w:tcBorders>
            <w:vAlign w:val="center"/>
          </w:tcPr>
          <w:p w14:paraId="4DF285D9" w14:textId="77777777" w:rsidR="003562B8" w:rsidRPr="006A755F" w:rsidRDefault="003562B8" w:rsidP="00190991">
            <w:pPr>
              <w:spacing w:before="60" w:after="60"/>
              <w:jc w:val="right"/>
              <w:rPr>
                <w:rFonts w:cstheme="minorHAnsi"/>
                <w:sz w:val="20"/>
                <w:szCs w:val="20"/>
              </w:rPr>
            </w:pPr>
            <w:r>
              <w:rPr>
                <w:rFonts w:cstheme="minorHAnsi"/>
                <w:sz w:val="20"/>
                <w:szCs w:val="20"/>
              </w:rPr>
              <w:t>480</w:t>
            </w:r>
          </w:p>
        </w:tc>
        <w:tc>
          <w:tcPr>
            <w:tcW w:w="1249" w:type="dxa"/>
            <w:tcBorders>
              <w:top w:val="nil"/>
              <w:left w:val="single" w:sz="4" w:space="0" w:color="auto"/>
              <w:bottom w:val="nil"/>
              <w:right w:val="single" w:sz="4" w:space="0" w:color="auto"/>
            </w:tcBorders>
            <w:vAlign w:val="center"/>
          </w:tcPr>
          <w:p w14:paraId="6C05AA20" w14:textId="77777777" w:rsidR="003562B8" w:rsidRPr="006A755F" w:rsidRDefault="003562B8" w:rsidP="00190991">
            <w:pPr>
              <w:spacing w:before="60" w:after="60"/>
              <w:jc w:val="right"/>
              <w:rPr>
                <w:rFonts w:cstheme="minorHAnsi"/>
                <w:sz w:val="20"/>
                <w:szCs w:val="20"/>
              </w:rPr>
            </w:pPr>
            <w:r>
              <w:rPr>
                <w:rFonts w:cstheme="minorHAnsi"/>
                <w:sz w:val="20"/>
                <w:szCs w:val="20"/>
              </w:rPr>
              <w:t>480</w:t>
            </w:r>
          </w:p>
        </w:tc>
        <w:tc>
          <w:tcPr>
            <w:tcW w:w="1125" w:type="dxa"/>
            <w:tcBorders>
              <w:top w:val="nil"/>
              <w:left w:val="single" w:sz="4" w:space="0" w:color="auto"/>
              <w:bottom w:val="nil"/>
              <w:right w:val="single" w:sz="4" w:space="0" w:color="auto"/>
            </w:tcBorders>
            <w:vAlign w:val="center"/>
          </w:tcPr>
          <w:p w14:paraId="305C74BA" w14:textId="77777777" w:rsidR="003562B8" w:rsidRPr="006A755F" w:rsidRDefault="003562B8" w:rsidP="00190991">
            <w:pPr>
              <w:spacing w:before="60" w:after="60"/>
              <w:jc w:val="right"/>
              <w:rPr>
                <w:rFonts w:cstheme="minorHAnsi"/>
                <w:sz w:val="20"/>
                <w:szCs w:val="20"/>
              </w:rPr>
            </w:pPr>
            <w:r>
              <w:rPr>
                <w:rFonts w:cstheme="minorHAnsi"/>
                <w:sz w:val="20"/>
                <w:szCs w:val="20"/>
              </w:rPr>
              <w:t>1 784</w:t>
            </w:r>
          </w:p>
        </w:tc>
        <w:tc>
          <w:tcPr>
            <w:tcW w:w="1125" w:type="dxa"/>
            <w:tcBorders>
              <w:top w:val="nil"/>
              <w:left w:val="single" w:sz="4" w:space="0" w:color="auto"/>
              <w:bottom w:val="nil"/>
              <w:right w:val="single" w:sz="4" w:space="0" w:color="auto"/>
            </w:tcBorders>
            <w:vAlign w:val="center"/>
          </w:tcPr>
          <w:p w14:paraId="65F6DB02" w14:textId="77777777" w:rsidR="003562B8" w:rsidRPr="006A755F" w:rsidRDefault="003562B8" w:rsidP="00190991">
            <w:pPr>
              <w:spacing w:before="60" w:after="60"/>
              <w:jc w:val="right"/>
              <w:rPr>
                <w:rFonts w:cstheme="minorHAnsi"/>
                <w:sz w:val="20"/>
                <w:szCs w:val="20"/>
              </w:rPr>
            </w:pPr>
            <w:r>
              <w:rPr>
                <w:rFonts w:cstheme="minorHAnsi"/>
                <w:sz w:val="20"/>
                <w:szCs w:val="20"/>
              </w:rPr>
              <w:t>739</w:t>
            </w:r>
          </w:p>
        </w:tc>
        <w:tc>
          <w:tcPr>
            <w:tcW w:w="754" w:type="dxa"/>
            <w:tcBorders>
              <w:top w:val="nil"/>
              <w:left w:val="single" w:sz="4" w:space="0" w:color="auto"/>
              <w:bottom w:val="nil"/>
              <w:right w:val="single" w:sz="4" w:space="0" w:color="auto"/>
            </w:tcBorders>
            <w:vAlign w:val="center"/>
          </w:tcPr>
          <w:p w14:paraId="4A3CDAF4" w14:textId="77777777" w:rsidR="003562B8" w:rsidRPr="006A755F" w:rsidRDefault="003562B8" w:rsidP="00190991">
            <w:pPr>
              <w:spacing w:before="60" w:after="60"/>
              <w:jc w:val="right"/>
              <w:rPr>
                <w:rFonts w:cstheme="minorHAnsi"/>
                <w:sz w:val="20"/>
                <w:szCs w:val="20"/>
              </w:rPr>
            </w:pPr>
            <w:r>
              <w:rPr>
                <w:rFonts w:cstheme="minorHAnsi"/>
                <w:sz w:val="20"/>
                <w:szCs w:val="20"/>
              </w:rPr>
              <w:t>x</w:t>
            </w:r>
          </w:p>
        </w:tc>
      </w:tr>
      <w:tr w:rsidR="003562B8" w:rsidRPr="006A755F" w14:paraId="21FBA5DC" w14:textId="77777777" w:rsidTr="00190991">
        <w:trPr>
          <w:tblHeader/>
        </w:trPr>
        <w:tc>
          <w:tcPr>
            <w:tcW w:w="2760" w:type="dxa"/>
            <w:tcBorders>
              <w:top w:val="single" w:sz="4" w:space="0" w:color="auto"/>
              <w:left w:val="single" w:sz="4" w:space="0" w:color="auto"/>
              <w:bottom w:val="nil"/>
              <w:right w:val="single" w:sz="4" w:space="0" w:color="auto"/>
            </w:tcBorders>
          </w:tcPr>
          <w:p w14:paraId="30FA902A" w14:textId="77777777" w:rsidR="003562B8" w:rsidRPr="006A755F" w:rsidRDefault="003562B8" w:rsidP="00190991">
            <w:pPr>
              <w:spacing w:before="60" w:after="60"/>
              <w:jc w:val="both"/>
              <w:rPr>
                <w:rFonts w:cstheme="minorHAnsi"/>
                <w:b/>
                <w:color w:val="2E74B5" w:themeColor="accent1" w:themeShade="BF"/>
                <w:sz w:val="20"/>
                <w:szCs w:val="20"/>
              </w:rPr>
            </w:pPr>
            <w:r w:rsidRPr="006A755F">
              <w:rPr>
                <w:rFonts w:cstheme="minorHAnsi"/>
                <w:b/>
                <w:color w:val="2E74B5" w:themeColor="accent1" w:themeShade="BF"/>
                <w:sz w:val="20"/>
                <w:szCs w:val="20"/>
              </w:rPr>
              <w:t xml:space="preserve">Kapitálové výdaje </w:t>
            </w:r>
            <w:r w:rsidRPr="006A755F">
              <w:rPr>
                <w:rFonts w:cstheme="minorHAnsi"/>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1779649E" w14:textId="77777777" w:rsidR="003562B8" w:rsidRPr="006A755F" w:rsidRDefault="003562B8" w:rsidP="00190991">
            <w:pPr>
              <w:spacing w:before="60" w:after="60"/>
              <w:jc w:val="right"/>
              <w:rPr>
                <w:rFonts w:cstheme="minorHAnsi"/>
                <w:b/>
                <w:color w:val="2E74B5" w:themeColor="accent1" w:themeShade="BF"/>
                <w:sz w:val="20"/>
                <w:szCs w:val="20"/>
              </w:rPr>
            </w:pPr>
            <w:r w:rsidRPr="006A755F">
              <w:rPr>
                <w:rFonts w:cstheme="minorHAnsi"/>
                <w:b/>
                <w:color w:val="2E74B5" w:themeColor="accent1" w:themeShade="BF"/>
                <w:sz w:val="20"/>
                <w:szCs w:val="20"/>
              </w:rPr>
              <w:t>109 499</w:t>
            </w:r>
          </w:p>
        </w:tc>
        <w:tc>
          <w:tcPr>
            <w:tcW w:w="1134" w:type="dxa"/>
            <w:tcBorders>
              <w:top w:val="single" w:sz="4" w:space="0" w:color="auto"/>
              <w:left w:val="single" w:sz="4" w:space="0" w:color="auto"/>
              <w:bottom w:val="nil"/>
              <w:right w:val="single" w:sz="4" w:space="0" w:color="auto"/>
            </w:tcBorders>
            <w:vAlign w:val="center"/>
          </w:tcPr>
          <w:p w14:paraId="2715AE35"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389 775</w:t>
            </w:r>
          </w:p>
        </w:tc>
        <w:tc>
          <w:tcPr>
            <w:tcW w:w="1249" w:type="dxa"/>
            <w:tcBorders>
              <w:top w:val="single" w:sz="4" w:space="0" w:color="auto"/>
              <w:left w:val="single" w:sz="4" w:space="0" w:color="auto"/>
              <w:bottom w:val="nil"/>
              <w:right w:val="single" w:sz="4" w:space="0" w:color="auto"/>
            </w:tcBorders>
            <w:vAlign w:val="center"/>
          </w:tcPr>
          <w:p w14:paraId="05C8F290"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423 754</w:t>
            </w:r>
          </w:p>
        </w:tc>
        <w:tc>
          <w:tcPr>
            <w:tcW w:w="1125" w:type="dxa"/>
            <w:tcBorders>
              <w:top w:val="single" w:sz="4" w:space="0" w:color="auto"/>
              <w:left w:val="single" w:sz="4" w:space="0" w:color="auto"/>
              <w:bottom w:val="nil"/>
              <w:right w:val="single" w:sz="4" w:space="0" w:color="auto"/>
            </w:tcBorders>
            <w:vAlign w:val="center"/>
          </w:tcPr>
          <w:p w14:paraId="090E207C"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862 628</w:t>
            </w:r>
          </w:p>
        </w:tc>
        <w:tc>
          <w:tcPr>
            <w:tcW w:w="1125" w:type="dxa"/>
            <w:tcBorders>
              <w:top w:val="single" w:sz="4" w:space="0" w:color="auto"/>
              <w:left w:val="single" w:sz="4" w:space="0" w:color="auto"/>
              <w:bottom w:val="nil"/>
              <w:right w:val="single" w:sz="4" w:space="0" w:color="auto"/>
            </w:tcBorders>
            <w:vAlign w:val="center"/>
          </w:tcPr>
          <w:p w14:paraId="7E00E1ED"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572 196</w:t>
            </w:r>
          </w:p>
        </w:tc>
        <w:tc>
          <w:tcPr>
            <w:tcW w:w="754" w:type="dxa"/>
            <w:tcBorders>
              <w:top w:val="single" w:sz="4" w:space="0" w:color="auto"/>
              <w:left w:val="single" w:sz="4" w:space="0" w:color="auto"/>
              <w:bottom w:val="nil"/>
              <w:right w:val="single" w:sz="4" w:space="0" w:color="auto"/>
            </w:tcBorders>
            <w:vAlign w:val="center"/>
          </w:tcPr>
          <w:p w14:paraId="02E839BC" w14:textId="77777777" w:rsidR="003562B8" w:rsidRPr="006A755F" w:rsidRDefault="003562B8" w:rsidP="0019099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522,6</w:t>
            </w:r>
          </w:p>
        </w:tc>
      </w:tr>
      <w:tr w:rsidR="003562B8" w:rsidRPr="006A755F" w14:paraId="123F7E46" w14:textId="77777777" w:rsidTr="00190991">
        <w:trPr>
          <w:tblHeader/>
        </w:trPr>
        <w:tc>
          <w:tcPr>
            <w:tcW w:w="2760" w:type="dxa"/>
            <w:tcBorders>
              <w:top w:val="nil"/>
              <w:left w:val="single" w:sz="4" w:space="0" w:color="auto"/>
              <w:bottom w:val="single" w:sz="4" w:space="0" w:color="auto"/>
              <w:right w:val="single" w:sz="4" w:space="0" w:color="auto"/>
            </w:tcBorders>
          </w:tcPr>
          <w:p w14:paraId="4E16A41E" w14:textId="77777777" w:rsidR="003562B8" w:rsidRPr="006A755F" w:rsidRDefault="003562B8" w:rsidP="00190991">
            <w:pPr>
              <w:widowControl w:val="0"/>
              <w:spacing w:before="60" w:after="60"/>
              <w:ind w:hanging="6"/>
              <w:jc w:val="both"/>
              <w:rPr>
                <w:rFonts w:cstheme="minorHAnsi"/>
                <w:sz w:val="20"/>
                <w:szCs w:val="20"/>
              </w:rPr>
            </w:pPr>
            <w:r w:rsidRPr="006A755F">
              <w:rPr>
                <w:rFonts w:cstheme="minorHAnsi"/>
                <w:sz w:val="20"/>
                <w:szCs w:val="20"/>
              </w:rPr>
              <w:t>prostředky EU</w:t>
            </w:r>
          </w:p>
        </w:tc>
        <w:tc>
          <w:tcPr>
            <w:tcW w:w="1134" w:type="dxa"/>
            <w:tcBorders>
              <w:top w:val="nil"/>
              <w:left w:val="single" w:sz="4" w:space="0" w:color="auto"/>
              <w:bottom w:val="single" w:sz="4" w:space="0" w:color="auto"/>
              <w:right w:val="single" w:sz="4" w:space="0" w:color="auto"/>
            </w:tcBorders>
            <w:vAlign w:val="center"/>
          </w:tcPr>
          <w:p w14:paraId="55A2F068" w14:textId="77777777" w:rsidR="003562B8" w:rsidRPr="006A755F" w:rsidRDefault="003562B8" w:rsidP="00190991">
            <w:pPr>
              <w:widowControl w:val="0"/>
              <w:spacing w:before="60" w:after="60"/>
              <w:jc w:val="right"/>
              <w:rPr>
                <w:rFonts w:cstheme="minorHAnsi"/>
                <w:sz w:val="20"/>
                <w:szCs w:val="20"/>
              </w:rPr>
            </w:pPr>
            <w:r w:rsidRPr="006A755F">
              <w:rPr>
                <w:rFonts w:cstheme="minorHAnsi"/>
                <w:sz w:val="20"/>
                <w:szCs w:val="20"/>
              </w:rPr>
              <w:t>0</w:t>
            </w:r>
          </w:p>
        </w:tc>
        <w:tc>
          <w:tcPr>
            <w:tcW w:w="1134" w:type="dxa"/>
            <w:tcBorders>
              <w:top w:val="nil"/>
              <w:left w:val="single" w:sz="4" w:space="0" w:color="auto"/>
              <w:bottom w:val="single" w:sz="4" w:space="0" w:color="auto"/>
              <w:right w:val="single" w:sz="4" w:space="0" w:color="auto"/>
            </w:tcBorders>
            <w:vAlign w:val="center"/>
          </w:tcPr>
          <w:p w14:paraId="66EDB9FE" w14:textId="77777777" w:rsidR="003562B8" w:rsidRPr="006A755F" w:rsidRDefault="003562B8" w:rsidP="00190991">
            <w:pPr>
              <w:widowControl w:val="0"/>
              <w:spacing w:before="60" w:after="60"/>
              <w:jc w:val="right"/>
              <w:rPr>
                <w:rFonts w:cstheme="minorHAnsi"/>
                <w:sz w:val="20"/>
                <w:szCs w:val="20"/>
              </w:rPr>
            </w:pPr>
            <w:r>
              <w:rPr>
                <w:rFonts w:cstheme="minorHAnsi"/>
                <w:sz w:val="20"/>
                <w:szCs w:val="20"/>
              </w:rPr>
              <w:t>292 241</w:t>
            </w:r>
          </w:p>
        </w:tc>
        <w:tc>
          <w:tcPr>
            <w:tcW w:w="1249" w:type="dxa"/>
            <w:tcBorders>
              <w:top w:val="nil"/>
              <w:left w:val="single" w:sz="4" w:space="0" w:color="auto"/>
              <w:bottom w:val="single" w:sz="4" w:space="0" w:color="auto"/>
              <w:right w:val="single" w:sz="4" w:space="0" w:color="auto"/>
            </w:tcBorders>
            <w:vAlign w:val="center"/>
          </w:tcPr>
          <w:p w14:paraId="49053AE9" w14:textId="77777777" w:rsidR="003562B8" w:rsidRPr="006A755F" w:rsidRDefault="003562B8" w:rsidP="00190991">
            <w:pPr>
              <w:widowControl w:val="0"/>
              <w:spacing w:before="60" w:after="60"/>
              <w:jc w:val="right"/>
              <w:rPr>
                <w:rFonts w:cstheme="minorHAnsi"/>
                <w:sz w:val="20"/>
                <w:szCs w:val="20"/>
              </w:rPr>
            </w:pPr>
            <w:r>
              <w:rPr>
                <w:rFonts w:cstheme="minorHAnsi"/>
                <w:sz w:val="20"/>
                <w:szCs w:val="20"/>
              </w:rPr>
              <w:t>292 241</w:t>
            </w:r>
          </w:p>
        </w:tc>
        <w:tc>
          <w:tcPr>
            <w:tcW w:w="1125" w:type="dxa"/>
            <w:tcBorders>
              <w:top w:val="nil"/>
              <w:left w:val="single" w:sz="4" w:space="0" w:color="auto"/>
              <w:bottom w:val="single" w:sz="4" w:space="0" w:color="auto"/>
              <w:right w:val="single" w:sz="4" w:space="0" w:color="auto"/>
            </w:tcBorders>
            <w:vAlign w:val="center"/>
          </w:tcPr>
          <w:p w14:paraId="68B1DD3A" w14:textId="77777777" w:rsidR="003562B8" w:rsidRPr="006A755F" w:rsidRDefault="003562B8" w:rsidP="00190991">
            <w:pPr>
              <w:widowControl w:val="0"/>
              <w:spacing w:before="60" w:after="60"/>
              <w:jc w:val="right"/>
              <w:rPr>
                <w:rFonts w:cstheme="minorHAnsi"/>
                <w:sz w:val="20"/>
                <w:szCs w:val="20"/>
              </w:rPr>
            </w:pPr>
            <w:r>
              <w:rPr>
                <w:rFonts w:cstheme="minorHAnsi"/>
                <w:sz w:val="20"/>
                <w:szCs w:val="20"/>
              </w:rPr>
              <w:t>510 461</w:t>
            </w:r>
          </w:p>
        </w:tc>
        <w:tc>
          <w:tcPr>
            <w:tcW w:w="1125" w:type="dxa"/>
            <w:tcBorders>
              <w:top w:val="nil"/>
              <w:left w:val="single" w:sz="4" w:space="0" w:color="auto"/>
              <w:bottom w:val="single" w:sz="4" w:space="0" w:color="auto"/>
              <w:right w:val="single" w:sz="4" w:space="0" w:color="auto"/>
            </w:tcBorders>
            <w:vAlign w:val="center"/>
          </w:tcPr>
          <w:p w14:paraId="0A80D915" w14:textId="77777777" w:rsidR="003562B8" w:rsidRPr="006A755F" w:rsidRDefault="003562B8" w:rsidP="00190991">
            <w:pPr>
              <w:widowControl w:val="0"/>
              <w:spacing w:before="60" w:after="60"/>
              <w:jc w:val="right"/>
              <w:rPr>
                <w:rFonts w:cstheme="minorHAnsi"/>
                <w:sz w:val="20"/>
                <w:szCs w:val="20"/>
              </w:rPr>
            </w:pPr>
            <w:r>
              <w:rPr>
                <w:rFonts w:cstheme="minorHAnsi"/>
                <w:sz w:val="20"/>
                <w:szCs w:val="20"/>
              </w:rPr>
              <w:t>436 081</w:t>
            </w:r>
          </w:p>
        </w:tc>
        <w:tc>
          <w:tcPr>
            <w:tcW w:w="754" w:type="dxa"/>
            <w:tcBorders>
              <w:top w:val="nil"/>
              <w:left w:val="single" w:sz="4" w:space="0" w:color="auto"/>
              <w:bottom w:val="single" w:sz="4" w:space="0" w:color="auto"/>
              <w:right w:val="single" w:sz="4" w:space="0" w:color="auto"/>
            </w:tcBorders>
            <w:vAlign w:val="center"/>
          </w:tcPr>
          <w:p w14:paraId="0C14BA65" w14:textId="77777777" w:rsidR="003562B8" w:rsidRPr="006A755F" w:rsidRDefault="003562B8" w:rsidP="00190991">
            <w:pPr>
              <w:widowControl w:val="0"/>
              <w:spacing w:before="60" w:after="60"/>
              <w:jc w:val="right"/>
              <w:rPr>
                <w:rFonts w:cstheme="minorHAnsi"/>
                <w:sz w:val="20"/>
                <w:szCs w:val="20"/>
              </w:rPr>
            </w:pPr>
            <w:r>
              <w:rPr>
                <w:rFonts w:cstheme="minorHAnsi"/>
                <w:sz w:val="20"/>
                <w:szCs w:val="20"/>
              </w:rPr>
              <w:t>x</w:t>
            </w:r>
          </w:p>
        </w:tc>
      </w:tr>
    </w:tbl>
    <w:p w14:paraId="65111F4C" w14:textId="19500F50" w:rsidR="007C646A" w:rsidRPr="007C646A" w:rsidRDefault="007C646A" w:rsidP="00D40EFF">
      <w:pPr>
        <w:keepNext/>
        <w:keepLines/>
        <w:spacing w:before="160" w:line="276" w:lineRule="auto"/>
        <w:jc w:val="both"/>
        <w:rPr>
          <w:rFonts w:eastAsia="Times New Roman" w:cs="Times New Roman"/>
          <w:sz w:val="24"/>
          <w:szCs w:val="20"/>
          <w:lang w:eastAsia="cs-CZ"/>
        </w:rPr>
      </w:pPr>
      <w:r w:rsidRPr="007C646A">
        <w:rPr>
          <w:rFonts w:eastAsia="Times New Roman" w:cs="Times New Roman"/>
          <w:sz w:val="24"/>
          <w:szCs w:val="20"/>
          <w:lang w:eastAsia="cs-CZ"/>
        </w:rPr>
        <w:t>Modul EDS obsahuje akce realizované v rámci programu:</w:t>
      </w:r>
    </w:p>
    <w:p w14:paraId="5CEA9AF9" w14:textId="77777777" w:rsidR="007C646A" w:rsidRPr="007C646A" w:rsidRDefault="007C646A" w:rsidP="007C646A">
      <w:pPr>
        <w:numPr>
          <w:ilvl w:val="0"/>
          <w:numId w:val="10"/>
        </w:numPr>
        <w:spacing w:before="120" w:after="120" w:line="276" w:lineRule="auto"/>
        <w:ind w:left="714" w:hanging="357"/>
        <w:jc w:val="both"/>
        <w:rPr>
          <w:sz w:val="24"/>
          <w:szCs w:val="24"/>
          <w:lang w:eastAsia="cs-CZ"/>
        </w:rPr>
      </w:pPr>
      <w:r w:rsidRPr="007C646A">
        <w:rPr>
          <w:sz w:val="24"/>
          <w:szCs w:val="24"/>
          <w:lang w:eastAsia="cs-CZ"/>
        </w:rPr>
        <w:t>127 65 Pořízení a modernizace železničních kolejových vozidel</w:t>
      </w:r>
    </w:p>
    <w:p w14:paraId="2F481FAB" w14:textId="1CF378BA" w:rsidR="007C646A" w:rsidRPr="007C646A" w:rsidRDefault="007C646A" w:rsidP="007C646A">
      <w:pPr>
        <w:numPr>
          <w:ilvl w:val="0"/>
          <w:numId w:val="10"/>
        </w:numPr>
        <w:spacing w:before="120" w:after="120" w:line="276" w:lineRule="auto"/>
        <w:ind w:left="714" w:hanging="357"/>
        <w:jc w:val="both"/>
        <w:rPr>
          <w:sz w:val="24"/>
          <w:szCs w:val="24"/>
          <w:lang w:eastAsia="cs-CZ"/>
        </w:rPr>
      </w:pPr>
      <w:r w:rsidRPr="007C646A">
        <w:rPr>
          <w:sz w:val="24"/>
          <w:szCs w:val="24"/>
          <w:lang w:eastAsia="cs-CZ"/>
        </w:rPr>
        <w:t xml:space="preserve">127 67 Podpora obnovy historických železničních kolejových vozidel v období </w:t>
      </w:r>
      <w:proofErr w:type="gramStart"/>
      <w:r w:rsidRPr="007C646A">
        <w:rPr>
          <w:sz w:val="24"/>
          <w:szCs w:val="24"/>
          <w:lang w:eastAsia="cs-CZ"/>
        </w:rPr>
        <w:t>2021 - 2023</w:t>
      </w:r>
      <w:proofErr w:type="gramEnd"/>
    </w:p>
    <w:p w14:paraId="7CF3BB75" w14:textId="77777777" w:rsidR="007C646A" w:rsidRPr="007C646A" w:rsidRDefault="007C646A" w:rsidP="007C646A">
      <w:pPr>
        <w:numPr>
          <w:ilvl w:val="0"/>
          <w:numId w:val="10"/>
        </w:numPr>
        <w:spacing w:before="120" w:after="120" w:line="276" w:lineRule="auto"/>
        <w:ind w:left="714" w:hanging="357"/>
        <w:jc w:val="both"/>
        <w:rPr>
          <w:sz w:val="24"/>
          <w:szCs w:val="24"/>
          <w:lang w:eastAsia="cs-CZ"/>
        </w:rPr>
      </w:pPr>
      <w:r w:rsidRPr="007C646A">
        <w:rPr>
          <w:sz w:val="24"/>
          <w:szCs w:val="24"/>
          <w:lang w:eastAsia="cs-CZ"/>
        </w:rPr>
        <w:t>127 77 Podpora financování dopravy</w:t>
      </w:r>
    </w:p>
    <w:p w14:paraId="2D6B7DA1" w14:textId="77777777" w:rsidR="007C646A" w:rsidRPr="007C646A" w:rsidRDefault="007C646A" w:rsidP="007C646A">
      <w:pPr>
        <w:keepLines/>
        <w:spacing w:before="160" w:line="276" w:lineRule="auto"/>
        <w:jc w:val="both"/>
        <w:rPr>
          <w:rFonts w:eastAsia="Times New Roman" w:cs="Times New Roman"/>
          <w:sz w:val="24"/>
          <w:szCs w:val="20"/>
          <w:lang w:eastAsia="cs-CZ"/>
        </w:rPr>
      </w:pPr>
      <w:r w:rsidRPr="007C646A">
        <w:rPr>
          <w:rFonts w:eastAsia="Times New Roman" w:cs="Times New Roman"/>
          <w:sz w:val="24"/>
          <w:szCs w:val="20"/>
          <w:lang w:eastAsia="cs-CZ"/>
        </w:rPr>
        <w:t>Modul SMVS obsahuje akce realizované v rámci programu:</w:t>
      </w:r>
    </w:p>
    <w:p w14:paraId="0FBF425D" w14:textId="77777777" w:rsidR="007C646A" w:rsidRPr="007C646A" w:rsidRDefault="007C646A" w:rsidP="007C646A">
      <w:pPr>
        <w:numPr>
          <w:ilvl w:val="0"/>
          <w:numId w:val="10"/>
        </w:numPr>
        <w:spacing w:before="120" w:after="120" w:line="276" w:lineRule="auto"/>
        <w:ind w:left="714" w:hanging="357"/>
        <w:jc w:val="both"/>
        <w:rPr>
          <w:sz w:val="24"/>
          <w:szCs w:val="24"/>
          <w:lang w:eastAsia="cs-CZ"/>
        </w:rPr>
      </w:pPr>
      <w:r w:rsidRPr="007C646A">
        <w:rPr>
          <w:sz w:val="24"/>
          <w:szCs w:val="24"/>
          <w:lang w:eastAsia="cs-CZ"/>
        </w:rPr>
        <w:t>127 03 Rozvoj a obnova materiálně technické základny systému řízení MD-OSS</w:t>
      </w:r>
    </w:p>
    <w:p w14:paraId="37619817" w14:textId="77777777" w:rsidR="007C646A" w:rsidRPr="007C646A" w:rsidRDefault="007C646A" w:rsidP="007C646A">
      <w:pPr>
        <w:numPr>
          <w:ilvl w:val="0"/>
          <w:numId w:val="10"/>
        </w:numPr>
        <w:spacing w:before="120" w:after="120" w:line="276" w:lineRule="auto"/>
        <w:ind w:left="714" w:hanging="357"/>
        <w:jc w:val="both"/>
        <w:rPr>
          <w:sz w:val="24"/>
          <w:szCs w:val="24"/>
          <w:lang w:eastAsia="cs-CZ"/>
        </w:rPr>
      </w:pPr>
      <w:r w:rsidRPr="007C646A">
        <w:rPr>
          <w:sz w:val="24"/>
          <w:szCs w:val="24"/>
          <w:lang w:eastAsia="cs-CZ"/>
        </w:rPr>
        <w:t>127 06 Rozvoj a obnova materiálně-technické základny systému řízení MD-PO, SFDI</w:t>
      </w:r>
    </w:p>
    <w:p w14:paraId="36148DF0" w14:textId="77777777" w:rsidR="007C646A" w:rsidRPr="007C646A" w:rsidRDefault="007C646A" w:rsidP="007C646A">
      <w:pPr>
        <w:numPr>
          <w:ilvl w:val="0"/>
          <w:numId w:val="10"/>
        </w:numPr>
        <w:spacing w:before="120" w:after="120" w:line="276" w:lineRule="auto"/>
        <w:ind w:left="714" w:hanging="357"/>
        <w:jc w:val="both"/>
        <w:rPr>
          <w:sz w:val="24"/>
          <w:szCs w:val="24"/>
          <w:lang w:eastAsia="cs-CZ"/>
        </w:rPr>
      </w:pPr>
      <w:r w:rsidRPr="007C646A">
        <w:rPr>
          <w:sz w:val="24"/>
          <w:szCs w:val="24"/>
          <w:lang w:eastAsia="cs-CZ"/>
        </w:rPr>
        <w:t>127 07 Rozvoj a obnova materiálně technické základny systému řízení MD-OSS</w:t>
      </w:r>
    </w:p>
    <w:p w14:paraId="0860B2A7" w14:textId="07D843EA" w:rsidR="00A17419" w:rsidRPr="006B6D61" w:rsidRDefault="00A17419" w:rsidP="008A0E44">
      <w:pPr>
        <w:pStyle w:val="KOMnadp4"/>
        <w:rPr>
          <w:lang w:eastAsia="ar-SA"/>
        </w:rPr>
      </w:pPr>
      <w:r w:rsidRPr="006B6D61">
        <w:rPr>
          <w:lang w:eastAsia="ar-SA"/>
        </w:rPr>
        <w:lastRenderedPageBreak/>
        <w:t>127 03 Rozvoj a obnova materiálně technické základny (MTZ) systému řízení MD – OSS</w:t>
      </w:r>
    </w:p>
    <w:p w14:paraId="70ACDFDD" w14:textId="30562114" w:rsidR="00097694" w:rsidRPr="006B6D61" w:rsidRDefault="00097694" w:rsidP="003F0A7C">
      <w:pPr>
        <w:pStyle w:val="KOMtext"/>
      </w:pPr>
      <w:r w:rsidRPr="006B6D61">
        <w:t xml:space="preserve">Cílem tohoto programu je zabezpečení obnovy dlouhodobého majetku Ministerstva dopravy </w:t>
      </w:r>
      <w:r w:rsidRPr="006B6D61">
        <w:br/>
        <w:t xml:space="preserve">a organizací systému řízení </w:t>
      </w:r>
      <w:proofErr w:type="gramStart"/>
      <w:r w:rsidRPr="006B6D61">
        <w:t>rezortu</w:t>
      </w:r>
      <w:proofErr w:type="gramEnd"/>
      <w:r w:rsidRPr="006B6D61">
        <w:t xml:space="preserve"> dopravy. Součástí programu jsou především investiční projekty na obnovu informačních technologií, výpočetní techniky, obnovu vozových parků, pořízení strojů, přístrojů či měřících zařízení, rozmnožovacích a kopírovacích strojů, a také neinvestiční prostředky určené na provozování ICT organizačních složek státu: ústřední orgán MD, Drážní úřad, Úřad pro civilní letectví, Státní plavební správa, Ředitelství vodních cest ČR, Drážní inspekce, Ústav pro odborné zjišťování příčin leteckých nehod.</w:t>
      </w:r>
    </w:p>
    <w:p w14:paraId="33150371" w14:textId="77777777" w:rsidR="00097694" w:rsidRPr="006B6D61" w:rsidRDefault="00097694" w:rsidP="003F0A7C">
      <w:pPr>
        <w:pStyle w:val="KOMtext"/>
      </w:pPr>
      <w:r w:rsidRPr="006B6D61">
        <w:t xml:space="preserve">Kancelářskou techniku, specifické stroje a zařízení nutné k zabezpečení jednotlivých činností </w:t>
      </w:r>
      <w:proofErr w:type="gramStart"/>
      <w:r w:rsidRPr="006B6D61">
        <w:t>rezortu</w:t>
      </w:r>
      <w:proofErr w:type="gramEnd"/>
      <w:r w:rsidRPr="006B6D61">
        <w:t xml:space="preserve"> Ministerstva dopravy je nezbytné obnovovat tak, aby se předcházelo jejich morálnímu zastarávání a následné četné poruchovosti. U stavebních akcí jde z hlediska věcného především o rekonstrukce, technické zhodnocení budov a zabezpečení objektů. </w:t>
      </w:r>
    </w:p>
    <w:p w14:paraId="4831DE17" w14:textId="1A2EB72B" w:rsidR="00097694" w:rsidRPr="006B6D61" w:rsidRDefault="00097694" w:rsidP="003F0A7C">
      <w:pPr>
        <w:pStyle w:val="KOMtext"/>
      </w:pPr>
      <w:r w:rsidRPr="006B6D61">
        <w:t>Program byl zahájen v roce 2016 a ukončení se předpokládá do konce roku 2026 (</w:t>
      </w:r>
      <w:proofErr w:type="spellStart"/>
      <w:r w:rsidRPr="006B6D61">
        <w:t>subtitul</w:t>
      </w:r>
      <w:proofErr w:type="spellEnd"/>
      <w:r w:rsidRPr="006B6D61">
        <w:t xml:space="preserve"> ICT 127V0310 „Pořizování, obnova a provozování ICT systému řízení MD-OSS“) a do konce roku 2024 (</w:t>
      </w:r>
      <w:proofErr w:type="spellStart"/>
      <w:r w:rsidRPr="006B6D61">
        <w:t>subtituly</w:t>
      </w:r>
      <w:proofErr w:type="spellEnd"/>
      <w:r w:rsidRPr="006B6D61">
        <w:t xml:space="preserve"> rozvoje a obnovy MTZ </w:t>
      </w:r>
      <w:proofErr w:type="gramStart"/>
      <w:r w:rsidRPr="006B6D61">
        <w:t>MD - 127V0320</w:t>
      </w:r>
      <w:proofErr w:type="gramEnd"/>
      <w:r w:rsidRPr="006B6D61">
        <w:t xml:space="preserve"> a OSS – 127V0330, 127V0340, 127V0350, 127V0360, 127V0370 a 127V0380). Od roku 2023 </w:t>
      </w:r>
      <w:r w:rsidR="002B4442" w:rsidRPr="006B6D61">
        <w:t>byla</w:t>
      </w:r>
      <w:r w:rsidRPr="006B6D61">
        <w:t xml:space="preserve"> realizace nových projektů v </w:t>
      </w:r>
      <w:proofErr w:type="spellStart"/>
      <w:r w:rsidRPr="006B6D61">
        <w:t>subtitulech</w:t>
      </w:r>
      <w:proofErr w:type="spellEnd"/>
      <w:r w:rsidRPr="006B6D61">
        <w:t xml:space="preserve"> MTZ zahájena v novém navazujícím programu 127 07 „Rozvoj a obnova materiálně technické základny (MTZ) systému řízení MD </w:t>
      </w:r>
      <w:r w:rsidR="00D835E5" w:rsidRPr="006B6D61">
        <w:t>–</w:t>
      </w:r>
      <w:r w:rsidRPr="006B6D61">
        <w:t xml:space="preserve"> OSS</w:t>
      </w:r>
      <w:r w:rsidR="00D835E5" w:rsidRPr="006B6D61">
        <w:t>“</w:t>
      </w:r>
      <w:r w:rsidRPr="006B6D61">
        <w:t xml:space="preserve">. </w:t>
      </w:r>
    </w:p>
    <w:p w14:paraId="3C22029B" w14:textId="12661728" w:rsidR="00097694" w:rsidRPr="006B6D61" w:rsidRDefault="00097694" w:rsidP="003F0A7C">
      <w:pPr>
        <w:pStyle w:val="KOMtext"/>
      </w:pPr>
      <w:r w:rsidRPr="006B6D61">
        <w:t xml:space="preserve">Dokumentace programu byla schválena dopisem Ministerstva financí </w:t>
      </w:r>
      <w:r w:rsidR="006F0813" w:rsidRPr="006B6D61">
        <w:br/>
      </w:r>
      <w:r w:rsidRPr="006B6D61">
        <w:t xml:space="preserve">č. j. MF-58492/2015/1903-3 ze dne 6. 1. 2016. Poslední aktualizace dokumentace programu byla schválena Ministerstvem financí dopisem č. j. MF-36597/2022/1903-3 ze dne </w:t>
      </w:r>
      <w:r w:rsidR="006F0813" w:rsidRPr="006B6D61">
        <w:br/>
      </w:r>
      <w:r w:rsidRPr="006B6D61">
        <w:t>27. 12. 2022.</w:t>
      </w:r>
    </w:p>
    <w:p w14:paraId="7FCABD83" w14:textId="54E3A369" w:rsidR="00097694" w:rsidRPr="006B6D61" w:rsidRDefault="00F00623" w:rsidP="00BA4E5A">
      <w:pPr>
        <w:pStyle w:val="KOMGrafy"/>
      </w:pPr>
      <w:bookmarkStart w:id="600" w:name="_Toc160457131"/>
      <w:r w:rsidRPr="006B6D61">
        <w:t xml:space="preserve">Graf č. </w:t>
      </w:r>
      <w:fldSimple w:instr=" SEQ Graf_č. \* ARABIC ">
        <w:r w:rsidR="00013820">
          <w:rPr>
            <w:noProof/>
          </w:rPr>
          <w:t>14</w:t>
        </w:r>
      </w:fldSimple>
      <w:r w:rsidRPr="006B6D61">
        <w:t>: Celkové schválené výdaje programu 127 03 (v tis. Kč)</w:t>
      </w:r>
      <w:bookmarkEnd w:id="600"/>
    </w:p>
    <w:p w14:paraId="1FD53630" w14:textId="77777777" w:rsidR="00097694" w:rsidRPr="0077128B" w:rsidRDefault="00097694" w:rsidP="00097694">
      <w:pPr>
        <w:keepLines/>
        <w:spacing w:before="120" w:after="120" w:line="276" w:lineRule="auto"/>
        <w:jc w:val="both"/>
        <w:rPr>
          <w:rFonts w:eastAsia="Times New Roman" w:cstheme="minorHAnsi"/>
          <w:color w:val="FF0000"/>
          <w:lang w:eastAsia="cs-CZ"/>
        </w:rPr>
      </w:pPr>
      <w:r w:rsidRPr="0077128B">
        <w:rPr>
          <w:noProof/>
          <w:color w:val="FF0000"/>
          <w:lang w:eastAsia="cs-CZ"/>
        </w:rPr>
        <w:drawing>
          <wp:inline distT="0" distB="0" distL="0" distR="0" wp14:anchorId="0EAEC5B1" wp14:editId="3F6E0F3D">
            <wp:extent cx="5760000" cy="2160000"/>
            <wp:effectExtent l="0" t="0" r="12700" b="12065"/>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13DF67AC" w14:textId="77777777" w:rsidR="00097694" w:rsidRPr="006B6D61" w:rsidRDefault="00097694" w:rsidP="00097694">
      <w:pPr>
        <w:keepNext/>
        <w:spacing w:before="200" w:after="120" w:line="240" w:lineRule="auto"/>
        <w:jc w:val="both"/>
        <w:outlineLvl w:val="5"/>
        <w:rPr>
          <w:rFonts w:eastAsia="Times New Roman" w:cstheme="minorHAnsi"/>
          <w:sz w:val="24"/>
          <w:szCs w:val="24"/>
          <w:lang w:eastAsia="ar-SA"/>
        </w:rPr>
      </w:pPr>
      <w:r w:rsidRPr="006B6D61">
        <w:rPr>
          <w:rFonts w:eastAsia="Times New Roman" w:cstheme="minorHAnsi"/>
          <w:sz w:val="24"/>
          <w:szCs w:val="24"/>
          <w:lang w:eastAsia="ar-SA"/>
        </w:rPr>
        <w:lastRenderedPageBreak/>
        <w:t xml:space="preserve">Program je rozdělen na 8 </w:t>
      </w:r>
      <w:proofErr w:type="spellStart"/>
      <w:r w:rsidRPr="006B6D61">
        <w:rPr>
          <w:rFonts w:eastAsia="Times New Roman" w:cstheme="minorHAnsi"/>
          <w:sz w:val="24"/>
          <w:szCs w:val="24"/>
          <w:lang w:eastAsia="ar-SA"/>
        </w:rPr>
        <w:t>subtitulů</w:t>
      </w:r>
      <w:proofErr w:type="spellEnd"/>
      <w:r w:rsidRPr="006B6D61">
        <w:rPr>
          <w:rFonts w:eastAsia="Times New Roman" w:cstheme="minorHAnsi"/>
          <w:sz w:val="24"/>
          <w:szCs w:val="24"/>
          <w:lang w:eastAsia="ar-SA"/>
        </w:rPr>
        <w:t>:</w:t>
      </w:r>
    </w:p>
    <w:p w14:paraId="7C98DB97" w14:textId="77777777" w:rsidR="00097694" w:rsidRPr="006B6D61" w:rsidRDefault="00097694" w:rsidP="00D05A89">
      <w:pPr>
        <w:keepNext/>
        <w:numPr>
          <w:ilvl w:val="0"/>
          <w:numId w:val="14"/>
        </w:numPr>
        <w:suppressAutoHyphens/>
        <w:spacing w:before="240" w:after="120" w:line="240" w:lineRule="auto"/>
        <w:ind w:left="709" w:hanging="425"/>
        <w:jc w:val="both"/>
        <w:rPr>
          <w:rFonts w:eastAsia="Times New Roman" w:cstheme="minorHAnsi"/>
          <w:sz w:val="24"/>
          <w:szCs w:val="24"/>
          <w:lang w:eastAsia="cs-CZ"/>
        </w:rPr>
      </w:pPr>
      <w:r w:rsidRPr="006B6D61">
        <w:rPr>
          <w:rFonts w:eastAsia="Times New Roman" w:cstheme="minorHAnsi"/>
          <w:i/>
          <w:sz w:val="24"/>
          <w:szCs w:val="24"/>
          <w:lang w:eastAsia="cs-CZ"/>
        </w:rPr>
        <w:t>127V0310 „Pořizování, obnova a provozování ICT systému řízení MD-OSS“</w:t>
      </w:r>
      <w:r w:rsidRPr="006B6D61">
        <w:rPr>
          <w:rFonts w:eastAsia="Times New Roman" w:cstheme="minorHAnsi"/>
          <w:sz w:val="24"/>
          <w:szCs w:val="24"/>
          <w:lang w:eastAsia="cs-CZ"/>
        </w:rPr>
        <w:t xml:space="preserve"> </w:t>
      </w:r>
    </w:p>
    <w:p w14:paraId="0F2D3335" w14:textId="7B5341B7" w:rsidR="00097694" w:rsidRPr="006B6D61" w:rsidRDefault="00097694" w:rsidP="003F0A7C">
      <w:pPr>
        <w:pStyle w:val="KOMtext"/>
      </w:pPr>
      <w:bookmarkStart w:id="601" w:name="_Hlk159778480"/>
      <w:r w:rsidRPr="006B6D61">
        <w:t xml:space="preserve">V rámci tohoto </w:t>
      </w:r>
      <w:proofErr w:type="spellStart"/>
      <w:r w:rsidRPr="006B6D61">
        <w:t>subtitulu</w:t>
      </w:r>
      <w:proofErr w:type="spellEnd"/>
      <w:r w:rsidRPr="006B6D61">
        <w:t xml:space="preserve"> byly použity prostředky státního rozpočtu ve výši </w:t>
      </w:r>
      <w:r w:rsidR="00C649C5">
        <w:t>148</w:t>
      </w:r>
      <w:r w:rsidR="001967F3">
        <w:t> </w:t>
      </w:r>
      <w:r w:rsidR="00C649C5">
        <w:t>72</w:t>
      </w:r>
      <w:r w:rsidR="003074B5">
        <w:t>6</w:t>
      </w:r>
      <w:r w:rsidR="009D1F05" w:rsidRPr="004A6CDD">
        <w:t xml:space="preserve"> tis. Kč</w:t>
      </w:r>
      <w:r w:rsidR="00CC70D1" w:rsidRPr="006B6D61">
        <w:t xml:space="preserve"> </w:t>
      </w:r>
      <w:r w:rsidRPr="006B6D61">
        <w:t>(</w:t>
      </w:r>
      <w:r w:rsidRPr="006B6D61">
        <w:rPr>
          <w:i/>
        </w:rPr>
        <w:t xml:space="preserve">investice </w:t>
      </w:r>
      <w:r w:rsidR="00652C0B">
        <w:rPr>
          <w:i/>
        </w:rPr>
        <w:t>84 976</w:t>
      </w:r>
      <w:r w:rsidR="009D1F05" w:rsidRPr="006B6D61">
        <w:rPr>
          <w:i/>
        </w:rPr>
        <w:t xml:space="preserve"> tis. Kč</w:t>
      </w:r>
      <w:r w:rsidRPr="006B6D61">
        <w:rPr>
          <w:i/>
        </w:rPr>
        <w:t xml:space="preserve">, </w:t>
      </w:r>
      <w:proofErr w:type="spellStart"/>
      <w:r w:rsidRPr="006B6D61">
        <w:rPr>
          <w:i/>
        </w:rPr>
        <w:t>neinvestice</w:t>
      </w:r>
      <w:proofErr w:type="spellEnd"/>
      <w:r w:rsidRPr="006B6D61">
        <w:rPr>
          <w:i/>
        </w:rPr>
        <w:t xml:space="preserve"> </w:t>
      </w:r>
      <w:r w:rsidR="007F5BD3">
        <w:rPr>
          <w:i/>
        </w:rPr>
        <w:t>63 7</w:t>
      </w:r>
      <w:r w:rsidR="003074B5">
        <w:rPr>
          <w:i/>
        </w:rPr>
        <w:t>50</w:t>
      </w:r>
      <w:r w:rsidR="009D1F05" w:rsidRPr="006B6D61">
        <w:rPr>
          <w:i/>
        </w:rPr>
        <w:t xml:space="preserve"> tis. Kč)</w:t>
      </w:r>
      <w:r w:rsidRPr="006B6D61">
        <w:rPr>
          <w:i/>
        </w:rPr>
        <w:t xml:space="preserve"> </w:t>
      </w:r>
      <w:r w:rsidRPr="006B6D61">
        <w:t xml:space="preserve">z toho nároky </w:t>
      </w:r>
      <w:r w:rsidR="00B219FB">
        <w:t xml:space="preserve">77 </w:t>
      </w:r>
      <w:r w:rsidR="00013820">
        <w:t>132</w:t>
      </w:r>
      <w:r w:rsidR="00A81255" w:rsidRPr="006B6D61">
        <w:t xml:space="preserve"> tis. Kč </w:t>
      </w:r>
      <w:r w:rsidRPr="006B6D61">
        <w:t>(</w:t>
      </w:r>
      <w:r w:rsidRPr="006B6D61">
        <w:rPr>
          <w:i/>
        </w:rPr>
        <w:t>investice</w:t>
      </w:r>
      <w:r w:rsidRPr="006B6D61">
        <w:t xml:space="preserve"> </w:t>
      </w:r>
      <w:r w:rsidRPr="006B6D61">
        <w:br/>
      </w:r>
      <w:r w:rsidR="00F43AA5">
        <w:t>72 </w:t>
      </w:r>
      <w:r w:rsidR="00013820">
        <w:t>577</w:t>
      </w:r>
      <w:r w:rsidR="004A6CDD" w:rsidRPr="006B6D61">
        <w:t xml:space="preserve"> tis. Kč, </w:t>
      </w:r>
      <w:proofErr w:type="spellStart"/>
      <w:r w:rsidR="004A6CDD" w:rsidRPr="006B6D61">
        <w:t>neinvestice</w:t>
      </w:r>
      <w:proofErr w:type="spellEnd"/>
      <w:r w:rsidR="004A6CDD" w:rsidRPr="006B6D61">
        <w:t xml:space="preserve"> </w:t>
      </w:r>
      <w:r w:rsidR="009C0E4F">
        <w:t>4</w:t>
      </w:r>
      <w:r w:rsidR="00F43AA5">
        <w:t> </w:t>
      </w:r>
      <w:r w:rsidR="009C0E4F">
        <w:t>55</w:t>
      </w:r>
      <w:r w:rsidR="00F43AA5">
        <w:t>5</w:t>
      </w:r>
      <w:r w:rsidR="004A6CDD" w:rsidRPr="006B6D61">
        <w:t xml:space="preserve"> tis. Kč). </w:t>
      </w:r>
      <w:r w:rsidR="00013820">
        <w:t>Investiční prostředky EU byly čerpány ve výši 564 tis. Kč (v plné výši nároky).</w:t>
      </w:r>
    </w:p>
    <w:p w14:paraId="2AF46A3B" w14:textId="649CF939" w:rsidR="003D7C2B" w:rsidRPr="006B6D61" w:rsidRDefault="00097694" w:rsidP="003F0A7C">
      <w:pPr>
        <w:pStyle w:val="KOMtext"/>
      </w:pPr>
      <w:r w:rsidRPr="006B6D61">
        <w:rPr>
          <w:b/>
        </w:rPr>
        <w:t xml:space="preserve">Ústřední orgán MD </w:t>
      </w:r>
      <w:r w:rsidRPr="006B6D61">
        <w:t xml:space="preserve">čerpal prostředky ve výši </w:t>
      </w:r>
      <w:r w:rsidR="00480615" w:rsidRPr="006B6D61">
        <w:t xml:space="preserve">127 632 tis. Kč (investice 64 250 tis. Kč, </w:t>
      </w:r>
      <w:proofErr w:type="spellStart"/>
      <w:r w:rsidR="00480615" w:rsidRPr="006B6D61">
        <w:t>neinvestice</w:t>
      </w:r>
      <w:proofErr w:type="spellEnd"/>
      <w:r w:rsidR="00480615" w:rsidRPr="006B6D61">
        <w:t xml:space="preserve"> 63 38</w:t>
      </w:r>
      <w:r w:rsidR="003074B5" w:rsidRPr="007F7D38">
        <w:t>2</w:t>
      </w:r>
      <w:r w:rsidR="00480615" w:rsidRPr="006B6D61">
        <w:t xml:space="preserve"> tis. Kč) </w:t>
      </w:r>
      <w:r w:rsidRPr="006B6D61">
        <w:t xml:space="preserve">z toho nároky </w:t>
      </w:r>
      <w:r w:rsidR="00480615" w:rsidRPr="006B6D61">
        <w:t>56 3</w:t>
      </w:r>
      <w:r w:rsidR="003074B5" w:rsidRPr="006B6D61">
        <w:t>60</w:t>
      </w:r>
      <w:r w:rsidR="00480615" w:rsidRPr="006B6D61">
        <w:t xml:space="preserve"> tis. Kč (investice </w:t>
      </w:r>
      <w:r w:rsidR="00E40878" w:rsidRPr="006B6D61">
        <w:t xml:space="preserve">52 172 tis. Kč, </w:t>
      </w:r>
      <w:proofErr w:type="spellStart"/>
      <w:r w:rsidR="00E40878" w:rsidRPr="006B6D61">
        <w:t>neinvestice</w:t>
      </w:r>
      <w:proofErr w:type="spellEnd"/>
      <w:r w:rsidR="00E40878" w:rsidRPr="006B6D61">
        <w:t xml:space="preserve"> 4 187 tis. Kč)</w:t>
      </w:r>
      <w:r w:rsidR="002A21A7" w:rsidRPr="006B6D61">
        <w:t>.</w:t>
      </w:r>
      <w:r w:rsidRPr="006B6D61">
        <w:t xml:space="preserve"> </w:t>
      </w:r>
    </w:p>
    <w:p w14:paraId="54123BC3" w14:textId="16252B22" w:rsidR="00097694" w:rsidRPr="006B6D61" w:rsidRDefault="00097694" w:rsidP="003F0A7C">
      <w:pPr>
        <w:pStyle w:val="KOMtext"/>
      </w:pPr>
      <w:bookmarkStart w:id="602" w:name="_Hlk159781345"/>
      <w:bookmarkEnd w:id="601"/>
      <w:r w:rsidRPr="006B6D61">
        <w:t xml:space="preserve">Z těch významných projektů jmenujme například: </w:t>
      </w:r>
    </w:p>
    <w:p w14:paraId="38C3764D" w14:textId="43E3781D" w:rsidR="00097694" w:rsidRPr="006B6D61" w:rsidRDefault="00097694">
      <w:pPr>
        <w:pStyle w:val="KOModrky"/>
      </w:pPr>
      <w:r w:rsidRPr="006B6D61">
        <w:t>Zajištění provozu a rozvoje Registru silničních vozidel (</w:t>
      </w:r>
      <w:r w:rsidRPr="006B6D61">
        <w:rPr>
          <w:i/>
        </w:rPr>
        <w:t xml:space="preserve">investice </w:t>
      </w:r>
      <w:r w:rsidR="00E35300" w:rsidRPr="006B6D61">
        <w:t>18 595</w:t>
      </w:r>
      <w:r w:rsidRPr="006B6D61">
        <w:t xml:space="preserve"> tis. Kč</w:t>
      </w:r>
      <w:r w:rsidRPr="006B6D61">
        <w:rPr>
          <w:i/>
        </w:rPr>
        <w:t xml:space="preserve">, </w:t>
      </w:r>
      <w:proofErr w:type="spellStart"/>
      <w:r w:rsidRPr="006B6D61">
        <w:rPr>
          <w:i/>
        </w:rPr>
        <w:t>neinvestice</w:t>
      </w:r>
      <w:proofErr w:type="spellEnd"/>
      <w:r w:rsidRPr="006B6D61">
        <w:rPr>
          <w:i/>
        </w:rPr>
        <w:t xml:space="preserve"> </w:t>
      </w:r>
      <w:r w:rsidR="00E35300" w:rsidRPr="006B6D61">
        <w:t>10 672</w:t>
      </w:r>
      <w:r w:rsidRPr="006B6D61">
        <w:t xml:space="preserve"> tis. Kč)</w:t>
      </w:r>
    </w:p>
    <w:p w14:paraId="3D9E39A5" w14:textId="403D15F9" w:rsidR="00097694" w:rsidRPr="006B6D61" w:rsidRDefault="00097694">
      <w:pPr>
        <w:pStyle w:val="KOModrky"/>
      </w:pPr>
      <w:r w:rsidRPr="006B6D61">
        <w:t>Informační systém národního tarifu (</w:t>
      </w:r>
      <w:r w:rsidRPr="006B6D61">
        <w:rPr>
          <w:i/>
        </w:rPr>
        <w:t xml:space="preserve">investice </w:t>
      </w:r>
      <w:r w:rsidR="00151980" w:rsidRPr="006B6D61">
        <w:rPr>
          <w:i/>
        </w:rPr>
        <w:t>7 998</w:t>
      </w:r>
      <w:r w:rsidRPr="006B6D61">
        <w:t xml:space="preserve"> tis. Kč, </w:t>
      </w:r>
      <w:proofErr w:type="spellStart"/>
      <w:r w:rsidRPr="006B6D61">
        <w:rPr>
          <w:i/>
        </w:rPr>
        <w:t>neinvestice</w:t>
      </w:r>
      <w:proofErr w:type="spellEnd"/>
      <w:r w:rsidRPr="006B6D61">
        <w:rPr>
          <w:i/>
        </w:rPr>
        <w:t xml:space="preserve"> </w:t>
      </w:r>
      <w:r w:rsidR="00151980" w:rsidRPr="006B6D61">
        <w:t>22 404</w:t>
      </w:r>
      <w:r w:rsidRPr="006B6D61">
        <w:t xml:space="preserve"> tis. Kč)</w:t>
      </w:r>
    </w:p>
    <w:p w14:paraId="7A164854" w14:textId="228B0E34" w:rsidR="00097694" w:rsidRPr="006B6D61" w:rsidRDefault="00097694">
      <w:pPr>
        <w:pStyle w:val="KOModrky"/>
      </w:pPr>
      <w:r w:rsidRPr="006B6D61">
        <w:t>Zajištění provozu a rozvoje Informačního systému technických prohlídek (</w:t>
      </w:r>
      <w:r w:rsidRPr="006B6D61">
        <w:rPr>
          <w:i/>
        </w:rPr>
        <w:t xml:space="preserve">investice </w:t>
      </w:r>
      <w:r w:rsidR="006F0813" w:rsidRPr="006B6D61">
        <w:rPr>
          <w:i/>
        </w:rPr>
        <w:br/>
      </w:r>
      <w:r w:rsidR="00FF2160" w:rsidRPr="006B6D61">
        <w:t>8 485</w:t>
      </w:r>
      <w:r w:rsidRPr="006B6D61">
        <w:t xml:space="preserve"> tis. Kč, </w:t>
      </w:r>
      <w:proofErr w:type="spellStart"/>
      <w:r w:rsidRPr="006B6D61">
        <w:rPr>
          <w:i/>
        </w:rPr>
        <w:t>neinvestice</w:t>
      </w:r>
      <w:proofErr w:type="spellEnd"/>
      <w:r w:rsidRPr="006B6D61">
        <w:rPr>
          <w:i/>
        </w:rPr>
        <w:t xml:space="preserve"> </w:t>
      </w:r>
      <w:r w:rsidR="00FF2160" w:rsidRPr="006B6D61">
        <w:t>14 520</w:t>
      </w:r>
      <w:r w:rsidRPr="006B6D61">
        <w:t xml:space="preserve"> tis. Kč)</w:t>
      </w:r>
    </w:p>
    <w:p w14:paraId="050B6D04" w14:textId="315C6659" w:rsidR="00455FA6" w:rsidRPr="006B6D61" w:rsidRDefault="00455FA6">
      <w:pPr>
        <w:pStyle w:val="KOModrky"/>
      </w:pPr>
      <w:r w:rsidRPr="006B6D61">
        <w:t xml:space="preserve">Rozvoj aplikace Centrální registr </w:t>
      </w:r>
      <w:proofErr w:type="gramStart"/>
      <w:r w:rsidRPr="006B6D61">
        <w:t>řidičů - elektronické</w:t>
      </w:r>
      <w:proofErr w:type="gramEnd"/>
      <w:r w:rsidRPr="006B6D61">
        <w:t xml:space="preserve"> podání žádosti o řidičský průkaz: II. Fáze (</w:t>
      </w:r>
      <w:r w:rsidRPr="006B6D61">
        <w:rPr>
          <w:i/>
          <w:iCs/>
        </w:rPr>
        <w:t xml:space="preserve">investice </w:t>
      </w:r>
      <w:r w:rsidR="00C46AB0" w:rsidRPr="006B6D61">
        <w:t>3 146 tis. Kč)</w:t>
      </w:r>
    </w:p>
    <w:bookmarkEnd w:id="602"/>
    <w:p w14:paraId="781C8F74" w14:textId="7DCAFF43" w:rsidR="00B35C91" w:rsidRPr="006B6D61" w:rsidRDefault="00B35C91">
      <w:pPr>
        <w:pStyle w:val="KOModrky"/>
      </w:pPr>
      <w:r w:rsidRPr="006B6D61">
        <w:t xml:space="preserve">Vytvoření a provoz informačního systému pro evidenci provozovatelů vozidel </w:t>
      </w:r>
      <w:r w:rsidR="001762A2">
        <w:br/>
      </w:r>
      <w:r w:rsidRPr="006B6D61">
        <w:t>s ukrajinskou registrační značkou (</w:t>
      </w:r>
      <w:r w:rsidRPr="006B6D61">
        <w:rPr>
          <w:i/>
          <w:iCs/>
        </w:rPr>
        <w:t xml:space="preserve">investice </w:t>
      </w:r>
      <w:r w:rsidRPr="006B6D61">
        <w:t>7 029 tis. Kč</w:t>
      </w:r>
      <w:r w:rsidRPr="006B6D61">
        <w:rPr>
          <w:i/>
          <w:iCs/>
        </w:rPr>
        <w:t xml:space="preserve">, </w:t>
      </w:r>
      <w:proofErr w:type="spellStart"/>
      <w:r w:rsidRPr="006B6D61">
        <w:rPr>
          <w:i/>
          <w:iCs/>
        </w:rPr>
        <w:t>neinvestice</w:t>
      </w:r>
      <w:proofErr w:type="spellEnd"/>
      <w:r w:rsidRPr="006B6D61">
        <w:rPr>
          <w:i/>
          <w:iCs/>
        </w:rPr>
        <w:t xml:space="preserve"> </w:t>
      </w:r>
      <w:r w:rsidR="004225B1">
        <w:t>60</w:t>
      </w:r>
      <w:r w:rsidR="00190055" w:rsidRPr="006B6D61">
        <w:t> tis. Kč)</w:t>
      </w:r>
    </w:p>
    <w:p w14:paraId="4EFAA4B9" w14:textId="7C1C59F0" w:rsidR="00097694" w:rsidRDefault="00097694">
      <w:pPr>
        <w:pStyle w:val="KOModrky"/>
      </w:pPr>
      <w:r w:rsidRPr="006B6D61">
        <w:t>Zajištění provozu, podpory, údržby a rozvoje informačního systému Rejstřík podnikatelů v silniční dopravě (</w:t>
      </w:r>
      <w:r w:rsidRPr="006B6D61">
        <w:rPr>
          <w:i/>
        </w:rPr>
        <w:t>investice</w:t>
      </w:r>
      <w:r w:rsidRPr="006B6D61">
        <w:t xml:space="preserve"> </w:t>
      </w:r>
      <w:r w:rsidR="001F4954" w:rsidRPr="006B6D61">
        <w:t>12 748</w:t>
      </w:r>
      <w:r w:rsidRPr="006B6D61">
        <w:t xml:space="preserve"> tis. Kč, </w:t>
      </w:r>
      <w:proofErr w:type="spellStart"/>
      <w:r w:rsidRPr="006B6D61">
        <w:rPr>
          <w:i/>
        </w:rPr>
        <w:t>neinvestice</w:t>
      </w:r>
      <w:proofErr w:type="spellEnd"/>
      <w:r w:rsidRPr="006B6D61">
        <w:rPr>
          <w:i/>
        </w:rPr>
        <w:t xml:space="preserve"> </w:t>
      </w:r>
      <w:r w:rsidR="00616ECE" w:rsidRPr="006B6D61">
        <w:t>1 383</w:t>
      </w:r>
      <w:r w:rsidRPr="006B6D61">
        <w:t xml:space="preserve"> tis. Kč)</w:t>
      </w:r>
    </w:p>
    <w:p w14:paraId="140D91B7" w14:textId="46F54B5A" w:rsidR="009D115C" w:rsidRPr="006B6D61" w:rsidRDefault="009D115C">
      <w:pPr>
        <w:pStyle w:val="KOModrky"/>
      </w:pPr>
      <w:r w:rsidRPr="00437D31">
        <w:t>Podpora a rozvoj aplikace "Informační systém Námořní plavba (ISNP) 2022-2024</w:t>
      </w:r>
      <w:r w:rsidRPr="00AD0195">
        <w:t xml:space="preserve"> (</w:t>
      </w:r>
      <w:r w:rsidRPr="00AD0195">
        <w:rPr>
          <w:i/>
          <w:iCs/>
        </w:rPr>
        <w:t xml:space="preserve">investice </w:t>
      </w:r>
      <w:r w:rsidR="00437D31" w:rsidRPr="00AD0195">
        <w:t>1 079 tis. Kč</w:t>
      </w:r>
      <w:r w:rsidR="00013820">
        <w:t xml:space="preserve">, </w:t>
      </w:r>
      <w:proofErr w:type="spellStart"/>
      <w:r w:rsidR="00013820" w:rsidRPr="00013820">
        <w:rPr>
          <w:i/>
          <w:iCs/>
        </w:rPr>
        <w:t>neinvestice</w:t>
      </w:r>
      <w:proofErr w:type="spellEnd"/>
      <w:r w:rsidR="00013820">
        <w:t xml:space="preserve"> 490 tis. Kč</w:t>
      </w:r>
      <w:r w:rsidR="00437D31" w:rsidRPr="00AD0195">
        <w:t>)</w:t>
      </w:r>
    </w:p>
    <w:p w14:paraId="54A257A9" w14:textId="058D176C" w:rsidR="00013820" w:rsidRPr="006B6D61" w:rsidRDefault="00097694" w:rsidP="00013820">
      <w:pPr>
        <w:pStyle w:val="KOMtext"/>
      </w:pPr>
      <w:r w:rsidRPr="006B6D61">
        <w:t xml:space="preserve">Organizační složky státu čerpaly prostředky ve výši </w:t>
      </w:r>
      <w:r w:rsidR="00475599" w:rsidRPr="006B6D61">
        <w:t>21</w:t>
      </w:r>
      <w:r w:rsidR="008653E2" w:rsidRPr="006B6D61">
        <w:t> 09</w:t>
      </w:r>
      <w:r w:rsidR="003074B5" w:rsidRPr="00C46AB0">
        <w:t>4</w:t>
      </w:r>
      <w:r w:rsidR="008653E2" w:rsidRPr="006B6D61">
        <w:t xml:space="preserve"> </w:t>
      </w:r>
      <w:r w:rsidR="007238BC" w:rsidRPr="00C46AB0">
        <w:t>tis. Kč</w:t>
      </w:r>
      <w:r w:rsidR="00013820">
        <w:t xml:space="preserve"> (investice 20 726 tis. Kč, </w:t>
      </w:r>
      <w:proofErr w:type="spellStart"/>
      <w:r w:rsidR="00013820">
        <w:t>neinvestice</w:t>
      </w:r>
      <w:proofErr w:type="spellEnd"/>
      <w:r w:rsidR="00013820">
        <w:t xml:space="preserve"> 368 tis. Kč) </w:t>
      </w:r>
      <w:r w:rsidR="007238BC" w:rsidRPr="00C46AB0">
        <w:t>z toho nároky 20 77</w:t>
      </w:r>
      <w:r w:rsidR="003074B5" w:rsidRPr="009D115C">
        <w:t>3</w:t>
      </w:r>
      <w:r w:rsidR="007238BC" w:rsidRPr="00AD0195">
        <w:t xml:space="preserve"> tis. Kč</w:t>
      </w:r>
      <w:r w:rsidR="00013820">
        <w:t xml:space="preserve"> (investice 20 405 tis. Kč, </w:t>
      </w:r>
      <w:proofErr w:type="spellStart"/>
      <w:r w:rsidR="00013820">
        <w:t>neinvestice</w:t>
      </w:r>
      <w:proofErr w:type="spellEnd"/>
      <w:r w:rsidR="00013820">
        <w:t xml:space="preserve">                     36</w:t>
      </w:r>
      <w:r w:rsidR="00030ECC">
        <w:t>8</w:t>
      </w:r>
      <w:r w:rsidR="00013820">
        <w:t xml:space="preserve"> tis. Kč)</w:t>
      </w:r>
      <w:r w:rsidR="007238BC" w:rsidRPr="00AD0195">
        <w:t>.</w:t>
      </w:r>
      <w:r w:rsidR="008653E2" w:rsidRPr="006B6D61">
        <w:t xml:space="preserve"> </w:t>
      </w:r>
      <w:r w:rsidR="00013820">
        <w:t xml:space="preserve"> Investiční prostředky EU byly čerpány ve výši 564 tis. Kč (v plné výši nároky).</w:t>
      </w:r>
    </w:p>
    <w:p w14:paraId="242B6728" w14:textId="5E402EC9" w:rsidR="00030ECC" w:rsidRDefault="0078095B" w:rsidP="003F0A7C">
      <w:pPr>
        <w:pStyle w:val="KOMtext"/>
      </w:pPr>
      <w:r w:rsidRPr="006B6D61">
        <w:rPr>
          <w:b/>
          <w:bCs/>
        </w:rPr>
        <w:t>Úřad pro civilní letectví</w:t>
      </w:r>
      <w:r w:rsidRPr="006B6D61">
        <w:t xml:space="preserve"> čerpal investiční výdaje v celkové výši </w:t>
      </w:r>
      <w:r w:rsidRPr="006B6D61">
        <w:rPr>
          <w:b/>
          <w:bCs/>
        </w:rPr>
        <w:t>9</w:t>
      </w:r>
      <w:r w:rsidR="00D76B9B">
        <w:rPr>
          <w:b/>
          <w:bCs/>
        </w:rPr>
        <w:t> </w:t>
      </w:r>
      <w:r w:rsidRPr="006B6D61">
        <w:rPr>
          <w:b/>
          <w:bCs/>
        </w:rPr>
        <w:t>53</w:t>
      </w:r>
      <w:r w:rsidR="003074B5">
        <w:rPr>
          <w:b/>
          <w:bCs/>
        </w:rPr>
        <w:t>9</w:t>
      </w:r>
      <w:r w:rsidR="00D76B9B">
        <w:rPr>
          <w:b/>
          <w:bCs/>
        </w:rPr>
        <w:t xml:space="preserve"> tis. Kč</w:t>
      </w:r>
      <w:r w:rsidRPr="006B6D61">
        <w:t xml:space="preserve"> (investice</w:t>
      </w:r>
      <w:r w:rsidR="00030ECC">
        <w:t xml:space="preserve">                             </w:t>
      </w:r>
      <w:r w:rsidRPr="006B6D61">
        <w:t xml:space="preserve"> 9 17</w:t>
      </w:r>
      <w:r w:rsidR="003074B5">
        <w:t>1</w:t>
      </w:r>
      <w:r w:rsidRPr="006B6D61">
        <w:t xml:space="preserve"> tis. Kč, </w:t>
      </w:r>
      <w:proofErr w:type="spellStart"/>
      <w:r w:rsidRPr="006B6D61">
        <w:t>neinvestice</w:t>
      </w:r>
      <w:proofErr w:type="spellEnd"/>
      <w:r w:rsidRPr="006B6D61">
        <w:t xml:space="preserve"> 36</w:t>
      </w:r>
      <w:r w:rsidR="003074B5">
        <w:t>8</w:t>
      </w:r>
      <w:r w:rsidRPr="006B6D61">
        <w:t xml:space="preserve"> tis. Kč), </w:t>
      </w:r>
      <w:r w:rsidR="00030ECC">
        <w:t xml:space="preserve">jednalo se o nároky, </w:t>
      </w:r>
      <w:r w:rsidRPr="006B6D61">
        <w:t>které byly využity například na obnovu výpočetní techniky ve výši 4</w:t>
      </w:r>
      <w:r w:rsidR="003074B5">
        <w:t> </w:t>
      </w:r>
      <w:r w:rsidRPr="006B6D61">
        <w:t>81</w:t>
      </w:r>
      <w:r w:rsidR="003074B5">
        <w:t xml:space="preserve">4 </w:t>
      </w:r>
      <w:r w:rsidRPr="006B6D61">
        <w:t>tis. Kč. Další výdaje se čerpaly na obnovu programového vybavení ve výši</w:t>
      </w:r>
      <w:r w:rsidR="00030ECC">
        <w:t xml:space="preserve"> </w:t>
      </w:r>
      <w:r w:rsidRPr="006B6D61">
        <w:t>3 895 tis. Kč.</w:t>
      </w:r>
      <w:r w:rsidR="001762A2">
        <w:t xml:space="preserve"> </w:t>
      </w:r>
    </w:p>
    <w:p w14:paraId="6D847191" w14:textId="65AC3ED2" w:rsidR="00097694" w:rsidRPr="006B6D61" w:rsidRDefault="00097694" w:rsidP="003F0A7C">
      <w:pPr>
        <w:pStyle w:val="KOMtext"/>
      </w:pPr>
      <w:r w:rsidRPr="006B6D61">
        <w:rPr>
          <w:b/>
        </w:rPr>
        <w:t>Státní plavební správa</w:t>
      </w:r>
      <w:r w:rsidRPr="006B6D61">
        <w:t xml:space="preserve"> vynaložila investiční výdaje v celkové výši </w:t>
      </w:r>
      <w:r w:rsidR="009A536B" w:rsidRPr="006B6D61">
        <w:rPr>
          <w:b/>
        </w:rPr>
        <w:t>6 50</w:t>
      </w:r>
      <w:r w:rsidR="003074B5">
        <w:rPr>
          <w:b/>
        </w:rPr>
        <w:t>3</w:t>
      </w:r>
      <w:r w:rsidRPr="006B6D61">
        <w:rPr>
          <w:b/>
        </w:rPr>
        <w:t xml:space="preserve"> tis. Kč</w:t>
      </w:r>
      <w:r w:rsidR="00030ECC">
        <w:rPr>
          <w:b/>
        </w:rPr>
        <w:t xml:space="preserve"> </w:t>
      </w:r>
      <w:r w:rsidR="00030ECC" w:rsidRPr="00030ECC">
        <w:rPr>
          <w:bCs/>
        </w:rPr>
        <w:t>(v plné výši nároky)</w:t>
      </w:r>
      <w:r w:rsidRPr="00030ECC">
        <w:rPr>
          <w:bCs/>
        </w:rPr>
        <w:t>,</w:t>
      </w:r>
      <w:r w:rsidR="00030ECC">
        <w:rPr>
          <w:bCs/>
        </w:rPr>
        <w:t xml:space="preserve"> </w:t>
      </w:r>
      <w:r w:rsidRPr="00030ECC">
        <w:rPr>
          <w:bCs/>
        </w:rPr>
        <w:t xml:space="preserve">na rozšíření informačního systému organizace ve výši ve výši </w:t>
      </w:r>
      <w:r w:rsidR="006241CE" w:rsidRPr="00030ECC">
        <w:rPr>
          <w:bCs/>
        </w:rPr>
        <w:t>3 49</w:t>
      </w:r>
      <w:r w:rsidR="003074B5" w:rsidRPr="00030ECC">
        <w:rPr>
          <w:bCs/>
        </w:rPr>
        <w:t>6</w:t>
      </w:r>
      <w:r w:rsidR="001F3437" w:rsidRPr="00030ECC">
        <w:rPr>
          <w:bCs/>
        </w:rPr>
        <w:t xml:space="preserve"> tis. Kč.</w:t>
      </w:r>
      <w:r w:rsidRPr="00030ECC">
        <w:rPr>
          <w:bCs/>
        </w:rPr>
        <w:t xml:space="preserve"> Na upgrade</w:t>
      </w:r>
      <w:r w:rsidRPr="006B6D61">
        <w:t xml:space="preserve"> říčního informačního systému bylo vynaloženo </w:t>
      </w:r>
      <w:r w:rsidR="001F3437" w:rsidRPr="006B6D61">
        <w:t>490 tis. Kč, na rozvoj geo</w:t>
      </w:r>
      <w:r w:rsidR="00845470" w:rsidRPr="006B6D61">
        <w:t>grafického informačního systém</w:t>
      </w:r>
      <w:r w:rsidR="003C326E">
        <w:t>u</w:t>
      </w:r>
      <w:r w:rsidR="00845470" w:rsidRPr="006B6D61">
        <w:t xml:space="preserve"> 299 tis.</w:t>
      </w:r>
      <w:r w:rsidRPr="006B6D61">
        <w:t xml:space="preserve"> Kč a na obnovu výpočetní techniky </w:t>
      </w:r>
      <w:r w:rsidR="00213C8D" w:rsidRPr="006B6D61">
        <w:t>(např.</w:t>
      </w:r>
      <w:r w:rsidRPr="006B6D61">
        <w:t xml:space="preserve"> servery, switche, skenery, </w:t>
      </w:r>
      <w:r w:rsidR="00845470" w:rsidRPr="006B6D61">
        <w:t>routery</w:t>
      </w:r>
      <w:r w:rsidRPr="006B6D61">
        <w:t xml:space="preserve">) ve výši </w:t>
      </w:r>
      <w:r w:rsidR="00845470" w:rsidRPr="006B6D61">
        <w:t>2 21</w:t>
      </w:r>
      <w:r w:rsidR="003074B5">
        <w:t>8</w:t>
      </w:r>
      <w:r w:rsidR="00845470" w:rsidRPr="006B6D61">
        <w:t xml:space="preserve"> tis. Kč.</w:t>
      </w:r>
      <w:r w:rsidRPr="006B6D61">
        <w:t xml:space="preserve"> </w:t>
      </w:r>
    </w:p>
    <w:p w14:paraId="7002DA78" w14:textId="72817042" w:rsidR="00C25380" w:rsidRPr="006B6D61" w:rsidRDefault="00C25380" w:rsidP="00C25380">
      <w:pPr>
        <w:keepLines/>
        <w:spacing w:before="240" w:after="240" w:line="276" w:lineRule="auto"/>
        <w:jc w:val="both"/>
        <w:rPr>
          <w:rFonts w:ascii="Calibri" w:eastAsia="Times New Roman" w:hAnsi="Calibri" w:cs="Calibri"/>
          <w:sz w:val="24"/>
          <w:szCs w:val="20"/>
          <w:lang w:eastAsia="cs-CZ"/>
        </w:rPr>
      </w:pPr>
      <w:r w:rsidRPr="006B6D61">
        <w:rPr>
          <w:rFonts w:ascii="Calibri" w:eastAsia="Times New Roman" w:hAnsi="Calibri" w:cs="Calibri"/>
          <w:b/>
          <w:sz w:val="24"/>
          <w:szCs w:val="20"/>
          <w:lang w:eastAsia="cs-CZ"/>
        </w:rPr>
        <w:lastRenderedPageBreak/>
        <w:t>Drážní úřad</w:t>
      </w:r>
      <w:r w:rsidRPr="006B6D61">
        <w:rPr>
          <w:rFonts w:ascii="Calibri" w:eastAsia="Times New Roman" w:hAnsi="Calibri" w:cs="Calibri"/>
          <w:sz w:val="24"/>
          <w:szCs w:val="20"/>
          <w:lang w:eastAsia="cs-CZ"/>
        </w:rPr>
        <w:t xml:space="preserve"> čerpal investiční prostředky v celkové výši </w:t>
      </w:r>
      <w:r w:rsidRPr="00030ECC">
        <w:rPr>
          <w:rFonts w:ascii="Calibri" w:eastAsia="Times New Roman" w:hAnsi="Calibri" w:cs="Calibri"/>
          <w:b/>
          <w:bCs/>
          <w:sz w:val="24"/>
          <w:szCs w:val="20"/>
          <w:lang w:eastAsia="cs-CZ"/>
        </w:rPr>
        <w:t>3 933</w:t>
      </w:r>
      <w:r w:rsidRPr="006B6D61">
        <w:rPr>
          <w:rFonts w:ascii="Calibri" w:eastAsia="Times New Roman" w:hAnsi="Calibri" w:cs="Calibri"/>
          <w:sz w:val="24"/>
          <w:szCs w:val="20"/>
          <w:lang w:eastAsia="cs-CZ"/>
        </w:rPr>
        <w:t xml:space="preserve"> tis. </w:t>
      </w:r>
      <w:proofErr w:type="gramStart"/>
      <w:r w:rsidRPr="006B6D61">
        <w:rPr>
          <w:rFonts w:ascii="Calibri" w:eastAsia="Times New Roman" w:hAnsi="Calibri" w:cs="Calibri"/>
          <w:sz w:val="24"/>
          <w:szCs w:val="20"/>
          <w:lang w:eastAsia="cs-CZ"/>
        </w:rPr>
        <w:t xml:space="preserve">Kč </w:t>
      </w:r>
      <w:r w:rsidR="00030ECC">
        <w:rPr>
          <w:rFonts w:ascii="Calibri" w:eastAsia="Times New Roman" w:hAnsi="Calibri" w:cs="Calibri"/>
          <w:sz w:val="24"/>
          <w:szCs w:val="20"/>
          <w:lang w:eastAsia="cs-CZ"/>
        </w:rPr>
        <w:t xml:space="preserve"> (</w:t>
      </w:r>
      <w:proofErr w:type="gramEnd"/>
      <w:r w:rsidR="00030ECC">
        <w:rPr>
          <w:rFonts w:ascii="Calibri" w:eastAsia="Times New Roman" w:hAnsi="Calibri" w:cs="Calibri"/>
          <w:sz w:val="24"/>
          <w:szCs w:val="20"/>
          <w:lang w:eastAsia="cs-CZ"/>
        </w:rPr>
        <w:t xml:space="preserve">v plné výši nároky )  </w:t>
      </w:r>
      <w:r w:rsidRPr="006B6D61">
        <w:rPr>
          <w:rFonts w:ascii="Calibri" w:eastAsia="Times New Roman" w:hAnsi="Calibri" w:cs="Calibri"/>
          <w:sz w:val="24"/>
          <w:szCs w:val="20"/>
          <w:lang w:eastAsia="cs-CZ"/>
        </w:rPr>
        <w:t>na obnovu programového vybavení organizace ve výši 1 514 tis. Kč a na pořízení aktivních síťových prvků ve výši 2 419 tis. Kč.</w:t>
      </w:r>
    </w:p>
    <w:p w14:paraId="3059CABC" w14:textId="5F4FBB72" w:rsidR="00030ECC" w:rsidRDefault="00097694" w:rsidP="00030ECC">
      <w:pPr>
        <w:pStyle w:val="KOMtext"/>
      </w:pPr>
      <w:r w:rsidRPr="006B6D61">
        <w:rPr>
          <w:b/>
        </w:rPr>
        <w:t xml:space="preserve">ÚZPLN </w:t>
      </w:r>
      <w:r w:rsidRPr="006B6D61">
        <w:t xml:space="preserve">čerpalo </w:t>
      </w:r>
      <w:r w:rsidR="00030ECC">
        <w:t xml:space="preserve">investiční </w:t>
      </w:r>
      <w:r w:rsidRPr="006B6D61">
        <w:t xml:space="preserve">prostředky ve výši </w:t>
      </w:r>
      <w:r w:rsidR="00A94F75" w:rsidRPr="00030ECC">
        <w:rPr>
          <w:b/>
          <w:bCs/>
        </w:rPr>
        <w:t>42</w:t>
      </w:r>
      <w:r w:rsidR="00146DF1" w:rsidRPr="00030ECC">
        <w:rPr>
          <w:b/>
          <w:bCs/>
        </w:rPr>
        <w:t>2</w:t>
      </w:r>
      <w:r w:rsidR="00A94F75" w:rsidRPr="00030ECC">
        <w:rPr>
          <w:b/>
          <w:bCs/>
        </w:rPr>
        <w:t xml:space="preserve"> tis. Kč</w:t>
      </w:r>
      <w:r w:rsidR="00BA3981" w:rsidRPr="006B6D61">
        <w:t xml:space="preserve"> (z toho nároky 101 tis. Kč)</w:t>
      </w:r>
      <w:r w:rsidR="00A94F75" w:rsidRPr="006B6D61">
        <w:t xml:space="preserve"> </w:t>
      </w:r>
      <w:r w:rsidR="006D6B5C" w:rsidRPr="006B6D61">
        <w:t>na obnovu výpočetní techniky</w:t>
      </w:r>
      <w:r w:rsidR="00146DF1">
        <w:t>.</w:t>
      </w:r>
      <w:r w:rsidR="00030ECC">
        <w:t xml:space="preserve"> </w:t>
      </w:r>
    </w:p>
    <w:p w14:paraId="5C67EDE9" w14:textId="476693D4" w:rsidR="00030ECC" w:rsidRDefault="00A94F75" w:rsidP="00030ECC">
      <w:pPr>
        <w:pStyle w:val="KOMtext"/>
      </w:pPr>
      <w:r w:rsidRPr="006B6D61">
        <w:rPr>
          <w:b/>
        </w:rPr>
        <w:t xml:space="preserve">Drážní inspekce </w:t>
      </w:r>
      <w:r w:rsidRPr="006B6D61">
        <w:rPr>
          <w:bCs/>
        </w:rPr>
        <w:t>čerpala</w:t>
      </w:r>
      <w:r w:rsidR="00030ECC">
        <w:rPr>
          <w:bCs/>
        </w:rPr>
        <w:t xml:space="preserve"> investiční </w:t>
      </w:r>
      <w:r w:rsidRPr="006B6D61">
        <w:rPr>
          <w:bCs/>
        </w:rPr>
        <w:t>prostředky ve výši</w:t>
      </w:r>
      <w:r w:rsidRPr="006B6D61">
        <w:rPr>
          <w:b/>
        </w:rPr>
        <w:t xml:space="preserve"> 697</w:t>
      </w:r>
      <w:r w:rsidR="00146DF1" w:rsidRPr="006C4D54">
        <w:rPr>
          <w:b/>
        </w:rPr>
        <w:t xml:space="preserve"> </w:t>
      </w:r>
      <w:r w:rsidRPr="006B6D61">
        <w:rPr>
          <w:b/>
        </w:rPr>
        <w:t>tis. Kč</w:t>
      </w:r>
      <w:r w:rsidR="00030ECC">
        <w:rPr>
          <w:b/>
        </w:rPr>
        <w:t xml:space="preserve"> </w:t>
      </w:r>
      <w:proofErr w:type="gramStart"/>
      <w:r w:rsidR="00030ECC" w:rsidRPr="00030ECC">
        <w:rPr>
          <w:bCs/>
        </w:rPr>
        <w:t>( v</w:t>
      </w:r>
      <w:proofErr w:type="gramEnd"/>
      <w:r w:rsidR="00030ECC" w:rsidRPr="00030ECC">
        <w:rPr>
          <w:bCs/>
        </w:rPr>
        <w:t> plné výši nároky)</w:t>
      </w:r>
      <w:r w:rsidRPr="00030ECC">
        <w:rPr>
          <w:bCs/>
        </w:rPr>
        <w:t>,</w:t>
      </w:r>
      <w:r w:rsidRPr="006B6D61">
        <w:rPr>
          <w:b/>
        </w:rPr>
        <w:t xml:space="preserve"> </w:t>
      </w:r>
      <w:r w:rsidRPr="006B6D61">
        <w:rPr>
          <w:bCs/>
        </w:rPr>
        <w:t>z toho prostředky EU ve výši</w:t>
      </w:r>
      <w:r w:rsidR="00030ECC">
        <w:rPr>
          <w:bCs/>
        </w:rPr>
        <w:t xml:space="preserve"> </w:t>
      </w:r>
      <w:r w:rsidR="00ED78CC" w:rsidRPr="006B6D61">
        <w:rPr>
          <w:bCs/>
        </w:rPr>
        <w:t>56</w:t>
      </w:r>
      <w:r w:rsidR="009E33EB" w:rsidRPr="006C4D54">
        <w:rPr>
          <w:bCs/>
        </w:rPr>
        <w:t xml:space="preserve">4 </w:t>
      </w:r>
      <w:r w:rsidR="00ED78CC" w:rsidRPr="006B6D61">
        <w:rPr>
          <w:bCs/>
        </w:rPr>
        <w:t>tis. Kč</w:t>
      </w:r>
      <w:r w:rsidR="00097694" w:rsidRPr="006B6D61">
        <w:rPr>
          <w:b/>
        </w:rPr>
        <w:t xml:space="preserve"> </w:t>
      </w:r>
      <w:r w:rsidR="008C66F2" w:rsidRPr="006B6D61">
        <w:t xml:space="preserve">na pořízení elektronické spisové služby. </w:t>
      </w:r>
    </w:p>
    <w:p w14:paraId="0393BCD3" w14:textId="68067FF6" w:rsidR="00097694" w:rsidRPr="006B6D61" w:rsidRDefault="00097694" w:rsidP="00E54955">
      <w:pPr>
        <w:pStyle w:val="KOMtext"/>
        <w:numPr>
          <w:ilvl w:val="0"/>
          <w:numId w:val="47"/>
        </w:numPr>
        <w:rPr>
          <w:rFonts w:cstheme="minorHAnsi"/>
          <w:szCs w:val="24"/>
        </w:rPr>
      </w:pPr>
      <w:r w:rsidRPr="006B6D61">
        <w:rPr>
          <w:rFonts w:cstheme="minorHAnsi"/>
          <w:i/>
          <w:szCs w:val="24"/>
        </w:rPr>
        <w:t>127V0320 „Rozvoj a obnova MTZ Ministerstva dopravy“</w:t>
      </w:r>
    </w:p>
    <w:p w14:paraId="325FDDD1" w14:textId="2F5E7DF1" w:rsidR="007F7D38" w:rsidRDefault="00097694" w:rsidP="003F0A7C">
      <w:pPr>
        <w:pStyle w:val="KOMtext"/>
        <w:rPr>
          <w:color w:val="FF0000"/>
        </w:rPr>
      </w:pPr>
      <w:r w:rsidRPr="006B6D61">
        <w:t xml:space="preserve">V uvedeném </w:t>
      </w:r>
      <w:proofErr w:type="spellStart"/>
      <w:r w:rsidRPr="006B6D61">
        <w:t>subtitulu</w:t>
      </w:r>
      <w:proofErr w:type="spellEnd"/>
      <w:r w:rsidRPr="006B6D61">
        <w:t xml:space="preserve"> byly použity prostředky státního rozpočtu ve výši </w:t>
      </w:r>
      <w:r w:rsidR="003074B5" w:rsidRPr="006B6D61">
        <w:rPr>
          <w:b/>
          <w:iCs/>
        </w:rPr>
        <w:t>3 09</w:t>
      </w:r>
      <w:r w:rsidR="009E33EB" w:rsidRPr="006B6D61">
        <w:rPr>
          <w:b/>
          <w:iCs/>
        </w:rPr>
        <w:t>7</w:t>
      </w:r>
      <w:r w:rsidRPr="006B6D61">
        <w:rPr>
          <w:b/>
        </w:rPr>
        <w:t> tis. Kč</w:t>
      </w:r>
      <w:r w:rsidRPr="006B6D61">
        <w:t xml:space="preserve">, </w:t>
      </w:r>
      <w:r w:rsidR="003D24C0" w:rsidRPr="006B6D61">
        <w:t>(v plné výši nároky)</w:t>
      </w:r>
      <w:r w:rsidR="00880D3C" w:rsidRPr="006B6D61">
        <w:t xml:space="preserve"> například</w:t>
      </w:r>
      <w:r w:rsidRPr="006B6D61">
        <w:rPr>
          <w:b/>
        </w:rPr>
        <w:t xml:space="preserve"> </w:t>
      </w:r>
      <w:r w:rsidRPr="006B6D61">
        <w:t>na obnovu vozového parku (</w:t>
      </w:r>
      <w:r w:rsidR="006C4D54" w:rsidRPr="006B6D61">
        <w:t>2 825 tis. Kč).</w:t>
      </w:r>
    </w:p>
    <w:p w14:paraId="61D437F0" w14:textId="4CBC6C22" w:rsidR="00F50E10" w:rsidRPr="00F50E10" w:rsidRDefault="00F50E10" w:rsidP="00E54955">
      <w:pPr>
        <w:keepLines/>
        <w:numPr>
          <w:ilvl w:val="0"/>
          <w:numId w:val="25"/>
        </w:numPr>
        <w:spacing w:before="120" w:after="120" w:line="276" w:lineRule="auto"/>
        <w:contextualSpacing/>
        <w:jc w:val="both"/>
        <w:rPr>
          <w:rFonts w:eastAsia="Times New Roman" w:cstheme="minorHAnsi"/>
          <w:sz w:val="24"/>
          <w:szCs w:val="24"/>
          <w:lang w:eastAsia="cs-CZ"/>
        </w:rPr>
      </w:pPr>
      <w:r w:rsidRPr="00F50E10">
        <w:rPr>
          <w:rFonts w:eastAsia="Times New Roman" w:cstheme="minorHAnsi"/>
          <w:i/>
          <w:sz w:val="24"/>
          <w:szCs w:val="24"/>
          <w:lang w:eastAsia="cs-CZ"/>
        </w:rPr>
        <w:t>127V0340 „Rozvoj a obnova MTZ Úřadu pro civilní letectví“</w:t>
      </w:r>
    </w:p>
    <w:p w14:paraId="2572DDDD" w14:textId="6D23C404" w:rsidR="00F50E10" w:rsidRPr="00F50E10" w:rsidRDefault="00F50E10" w:rsidP="00F50E10">
      <w:pPr>
        <w:pStyle w:val="KOMtext"/>
      </w:pPr>
      <w:r w:rsidRPr="00F50E10">
        <w:t xml:space="preserve">V rámci tohoto </w:t>
      </w:r>
      <w:proofErr w:type="spellStart"/>
      <w:r w:rsidRPr="00F50E10">
        <w:t>subtitulu</w:t>
      </w:r>
      <w:proofErr w:type="spellEnd"/>
      <w:r w:rsidRPr="00F50E10">
        <w:t xml:space="preserve"> byly čerpány investiční prostředky ve výši </w:t>
      </w:r>
      <w:r w:rsidR="00E54955">
        <w:rPr>
          <w:b/>
          <w:bCs/>
        </w:rPr>
        <w:t>300</w:t>
      </w:r>
      <w:r w:rsidRPr="006B6D61">
        <w:rPr>
          <w:b/>
          <w:bCs/>
        </w:rPr>
        <w:t xml:space="preserve"> tis. Kč</w:t>
      </w:r>
      <w:r w:rsidRPr="00F50E10">
        <w:t xml:space="preserve"> (v plné výši nároky) na pořízení kancelářské techniky. </w:t>
      </w:r>
    </w:p>
    <w:p w14:paraId="5F475B59" w14:textId="77777777" w:rsidR="00F50E10" w:rsidRPr="00F50E10" w:rsidRDefault="00097694" w:rsidP="00F50E10">
      <w:pPr>
        <w:keepNext/>
        <w:numPr>
          <w:ilvl w:val="0"/>
          <w:numId w:val="14"/>
        </w:numPr>
        <w:suppressAutoHyphens/>
        <w:spacing w:before="240" w:after="120" w:line="240" w:lineRule="auto"/>
        <w:ind w:left="709" w:hanging="425"/>
        <w:jc w:val="both"/>
        <w:rPr>
          <w:rFonts w:eastAsia="Times New Roman" w:cstheme="minorHAnsi"/>
          <w:sz w:val="24"/>
          <w:szCs w:val="24"/>
          <w:lang w:eastAsia="cs-CZ"/>
        </w:rPr>
      </w:pPr>
      <w:r w:rsidRPr="00F50E10">
        <w:rPr>
          <w:rFonts w:eastAsia="Times New Roman" w:cstheme="minorHAnsi"/>
          <w:i/>
          <w:sz w:val="24"/>
          <w:szCs w:val="24"/>
          <w:lang w:eastAsia="cs-CZ"/>
        </w:rPr>
        <w:t xml:space="preserve">127V0350 „Rozvoj a obnova MTZ Státní plavební správy“ </w:t>
      </w:r>
    </w:p>
    <w:p w14:paraId="4F883FFF" w14:textId="64E73A65" w:rsidR="00F50E10" w:rsidRPr="00F50E10" w:rsidRDefault="00F50E10" w:rsidP="00F50E10">
      <w:pPr>
        <w:pStyle w:val="KOMtext"/>
      </w:pPr>
      <w:r w:rsidRPr="00F50E10">
        <w:t xml:space="preserve">V rámci tohoto </w:t>
      </w:r>
      <w:proofErr w:type="spellStart"/>
      <w:r w:rsidRPr="00F50E10">
        <w:t>subtitulu</w:t>
      </w:r>
      <w:proofErr w:type="spellEnd"/>
      <w:r w:rsidRPr="00F50E10">
        <w:t xml:space="preserve"> byly využity investiční prostředky státního rozpočtu ve výši                </w:t>
      </w:r>
      <w:r w:rsidRPr="00F50E10">
        <w:rPr>
          <w:b/>
          <w:i/>
        </w:rPr>
        <w:t>2 823 tis. Kč</w:t>
      </w:r>
      <w:r w:rsidRPr="00F50E10">
        <w:t xml:space="preserve"> (v plné výši nároky) například na realizaci projektu centrální klimatizace v objektu pobočky ředitelství (2</w:t>
      </w:r>
      <w:r w:rsidR="00E54955">
        <w:t> </w:t>
      </w:r>
      <w:r w:rsidRPr="00F50E10">
        <w:t>20</w:t>
      </w:r>
      <w:r w:rsidR="00E54955">
        <w:t xml:space="preserve">5 </w:t>
      </w:r>
      <w:r w:rsidRPr="00F50E10">
        <w:t>tis. Kč), nebo</w:t>
      </w:r>
      <w:r w:rsidR="003C326E">
        <w:t xml:space="preserve"> </w:t>
      </w:r>
      <w:r w:rsidRPr="00F50E10">
        <w:t xml:space="preserve">na pořízení kancelářské techniky </w:t>
      </w:r>
      <w:r w:rsidR="002C095B">
        <w:br/>
      </w:r>
      <w:r w:rsidRPr="00F50E10">
        <w:t>a vybavení (36</w:t>
      </w:r>
      <w:r w:rsidR="00E54955">
        <w:t>2</w:t>
      </w:r>
      <w:r w:rsidRPr="00F50E10">
        <w:t xml:space="preserve"> tis. Kč) </w:t>
      </w:r>
    </w:p>
    <w:p w14:paraId="390BEB3C" w14:textId="77777777" w:rsidR="00F50E10" w:rsidRPr="00537AFA" w:rsidRDefault="00F50E10" w:rsidP="00E54955">
      <w:pPr>
        <w:pStyle w:val="KOMtext"/>
        <w:numPr>
          <w:ilvl w:val="0"/>
          <w:numId w:val="24"/>
        </w:numPr>
        <w:rPr>
          <w:i/>
        </w:rPr>
      </w:pPr>
      <w:r w:rsidRPr="00537AFA">
        <w:rPr>
          <w:i/>
        </w:rPr>
        <w:t>127V0360 „Rozvoj a obnova MTZ Ředitelství vodních cest“</w:t>
      </w:r>
    </w:p>
    <w:p w14:paraId="7FD59427" w14:textId="138FD1EC" w:rsidR="00F50E10" w:rsidRPr="006B6D61" w:rsidRDefault="00F50E10" w:rsidP="006B6D61">
      <w:pPr>
        <w:keepLines/>
        <w:spacing w:before="240" w:after="120" w:line="276" w:lineRule="auto"/>
        <w:jc w:val="both"/>
        <w:rPr>
          <w:rFonts w:eastAsia="Times New Roman" w:cstheme="minorHAnsi"/>
          <w:i/>
          <w:sz w:val="24"/>
          <w:szCs w:val="24"/>
          <w:lang w:eastAsia="cs-CZ"/>
        </w:rPr>
      </w:pPr>
      <w:r w:rsidRPr="006B6D61">
        <w:rPr>
          <w:sz w:val="24"/>
          <w:szCs w:val="24"/>
        </w:rPr>
        <w:t xml:space="preserve">V rámci tohoto </w:t>
      </w:r>
      <w:proofErr w:type="spellStart"/>
      <w:r w:rsidRPr="006B6D61">
        <w:rPr>
          <w:sz w:val="24"/>
          <w:szCs w:val="24"/>
        </w:rPr>
        <w:t>subtitulu</w:t>
      </w:r>
      <w:proofErr w:type="spellEnd"/>
      <w:r w:rsidRPr="006B6D61">
        <w:rPr>
          <w:sz w:val="24"/>
          <w:szCs w:val="24"/>
        </w:rPr>
        <w:t xml:space="preserve"> byly čerpány investiční prostředky ve výši </w:t>
      </w:r>
      <w:r w:rsidRPr="006B6D61">
        <w:rPr>
          <w:b/>
          <w:bCs/>
          <w:sz w:val="24"/>
          <w:szCs w:val="24"/>
        </w:rPr>
        <w:t>2 818 tis. Kč</w:t>
      </w:r>
      <w:r w:rsidRPr="006B6D61">
        <w:rPr>
          <w:sz w:val="24"/>
          <w:szCs w:val="24"/>
        </w:rPr>
        <w:t xml:space="preserve"> (v plné výši nároky) na obnovu vozového parku organizace</w:t>
      </w:r>
      <w:bookmarkStart w:id="603" w:name="_Hlk159713332"/>
      <w:r w:rsidRPr="00F50E10">
        <w:rPr>
          <w:sz w:val="24"/>
          <w:szCs w:val="24"/>
        </w:rPr>
        <w:t>.</w:t>
      </w:r>
    </w:p>
    <w:p w14:paraId="194C2F38" w14:textId="38D288C4" w:rsidR="00F50E10" w:rsidRPr="00537AFA" w:rsidRDefault="00F50E10" w:rsidP="00E54955">
      <w:pPr>
        <w:keepLines/>
        <w:numPr>
          <w:ilvl w:val="0"/>
          <w:numId w:val="24"/>
        </w:numPr>
        <w:spacing w:before="240" w:after="120" w:line="276" w:lineRule="auto"/>
        <w:ind w:left="714" w:hanging="357"/>
        <w:jc w:val="both"/>
        <w:rPr>
          <w:rFonts w:eastAsia="Times New Roman" w:cstheme="minorHAnsi"/>
          <w:i/>
          <w:sz w:val="24"/>
          <w:szCs w:val="24"/>
          <w:lang w:eastAsia="cs-CZ"/>
        </w:rPr>
      </w:pPr>
      <w:r w:rsidRPr="00537AFA">
        <w:rPr>
          <w:rFonts w:eastAsia="Times New Roman" w:cstheme="minorHAnsi"/>
          <w:i/>
          <w:sz w:val="24"/>
          <w:szCs w:val="24"/>
          <w:lang w:eastAsia="cs-CZ"/>
        </w:rPr>
        <w:t>127V0370 „Rozvoj a obnova MTZ Drážní inspekce“</w:t>
      </w:r>
    </w:p>
    <w:p w14:paraId="1ABC49B1" w14:textId="2BA5D37D" w:rsidR="00F50E10" w:rsidRPr="00537AFA" w:rsidRDefault="00F50E10" w:rsidP="00F50E10">
      <w:pPr>
        <w:pStyle w:val="KOMtext"/>
      </w:pPr>
      <w:bookmarkStart w:id="604" w:name="_Hlk159713364"/>
      <w:bookmarkEnd w:id="603"/>
      <w:r w:rsidRPr="00537AFA">
        <w:t xml:space="preserve">V rámci tohoto </w:t>
      </w:r>
      <w:proofErr w:type="spellStart"/>
      <w:r w:rsidRPr="00537AFA">
        <w:t>subtitulu</w:t>
      </w:r>
      <w:proofErr w:type="spellEnd"/>
      <w:r w:rsidRPr="00537AFA">
        <w:t xml:space="preserve"> byly čerpány investiční prostředky ve výši </w:t>
      </w:r>
      <w:bookmarkEnd w:id="604"/>
      <w:r w:rsidRPr="006B6D61">
        <w:rPr>
          <w:b/>
          <w:bCs/>
        </w:rPr>
        <w:t>747 tis. Kč</w:t>
      </w:r>
      <w:r w:rsidRPr="00537AFA">
        <w:t xml:space="preserve"> (v plné výši nároky) na obnovu vozového parku pořízením terénního vozidla. </w:t>
      </w:r>
    </w:p>
    <w:p w14:paraId="4463D6AE" w14:textId="77777777" w:rsidR="00F50E10" w:rsidRPr="00537AFA" w:rsidRDefault="00F50E10" w:rsidP="00E54955">
      <w:pPr>
        <w:pStyle w:val="KOMtext"/>
        <w:numPr>
          <w:ilvl w:val="0"/>
          <w:numId w:val="24"/>
        </w:numPr>
        <w:rPr>
          <w:i/>
        </w:rPr>
      </w:pPr>
      <w:r w:rsidRPr="00537AFA">
        <w:rPr>
          <w:i/>
        </w:rPr>
        <w:t>127V0380 „Rozvoj a obnova MTZ Ústavu pro odborné zjišťování příčin leteckých nehod“</w:t>
      </w:r>
    </w:p>
    <w:p w14:paraId="452FA0B6" w14:textId="66E5AB3F" w:rsidR="00F50E10" w:rsidRPr="00537AFA" w:rsidRDefault="00F50E10" w:rsidP="00F50E10">
      <w:pPr>
        <w:pStyle w:val="KOMtext"/>
      </w:pPr>
      <w:r w:rsidRPr="00537AFA">
        <w:t xml:space="preserve">V rámci tohoto </w:t>
      </w:r>
      <w:proofErr w:type="spellStart"/>
      <w:r w:rsidRPr="00537AFA">
        <w:t>subtitulu</w:t>
      </w:r>
      <w:proofErr w:type="spellEnd"/>
      <w:r w:rsidRPr="00537AFA">
        <w:t xml:space="preserve"> byly čerpány investiční prostředky ve výši </w:t>
      </w:r>
      <w:r w:rsidRPr="006B6D61">
        <w:rPr>
          <w:b/>
          <w:bCs/>
        </w:rPr>
        <w:t>946 tis. Kč</w:t>
      </w:r>
      <w:r w:rsidRPr="00537AFA">
        <w:t xml:space="preserve"> (v plné výši nároky) na obnovu vozového parku organizace.</w:t>
      </w:r>
    </w:p>
    <w:p w14:paraId="4F35353E" w14:textId="77777777" w:rsidR="00F50E10" w:rsidRDefault="00F50E10" w:rsidP="00F50E10">
      <w:pPr>
        <w:pStyle w:val="KOMtext"/>
      </w:pPr>
      <w:r w:rsidRPr="00537AFA">
        <w:t xml:space="preserve">V rámci </w:t>
      </w:r>
      <w:proofErr w:type="spellStart"/>
      <w:r w:rsidRPr="00537AFA">
        <w:t>subtitulu</w:t>
      </w:r>
      <w:proofErr w:type="spellEnd"/>
      <w:r w:rsidRPr="00537AFA">
        <w:t xml:space="preserve"> 127V0330 „Rozvoj a obnova MTZ Drážního úřadu“ nebyly v roce 2023 čerpány žádné investiční prostředky státního rozpočtu.</w:t>
      </w:r>
    </w:p>
    <w:p w14:paraId="3D110DC4" w14:textId="3304EAD4" w:rsidR="00097694" w:rsidRPr="002F1BE7" w:rsidRDefault="00097694" w:rsidP="00097694">
      <w:pPr>
        <w:keepLines/>
        <w:spacing w:before="120" w:after="120" w:line="276" w:lineRule="auto"/>
        <w:jc w:val="both"/>
        <w:rPr>
          <w:rFonts w:ascii="Times New Roman" w:eastAsia="Times New Roman" w:hAnsi="Times New Roman" w:cs="Times New Roman"/>
          <w:color w:val="FF0000"/>
          <w:sz w:val="24"/>
          <w:szCs w:val="20"/>
          <w:lang w:eastAsia="cs-CZ"/>
        </w:rPr>
      </w:pPr>
      <w:r w:rsidRPr="0077128B">
        <w:rPr>
          <w:noProof/>
          <w:color w:val="FF0000"/>
          <w:lang w:eastAsia="cs-CZ"/>
        </w:rPr>
        <w:lastRenderedPageBreak/>
        <w:drawing>
          <wp:inline distT="0" distB="0" distL="0" distR="0" wp14:anchorId="556A3BE0" wp14:editId="2013F530">
            <wp:extent cx="5638800" cy="981075"/>
            <wp:effectExtent l="19050" t="19050" r="57150" b="28575"/>
            <wp:docPr id="31" name="Diagram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5249DEB6" w14:textId="77777777" w:rsidR="00097694" w:rsidRPr="0077128B" w:rsidRDefault="00097694" w:rsidP="00097694">
      <w:pPr>
        <w:keepLines/>
        <w:spacing w:before="120" w:after="120" w:line="276" w:lineRule="auto"/>
        <w:jc w:val="both"/>
        <w:rPr>
          <w:rFonts w:eastAsia="Times New Roman" w:cstheme="minorHAnsi"/>
          <w:color w:val="FF0000"/>
          <w:lang w:eastAsia="cs-CZ"/>
        </w:rPr>
      </w:pPr>
      <w:r w:rsidRPr="0077128B">
        <w:rPr>
          <w:rFonts w:eastAsia="Times New Roman" w:cstheme="minorHAnsi"/>
          <w:noProof/>
          <w:color w:val="FF0000"/>
          <w:lang w:eastAsia="cs-CZ"/>
        </w:rPr>
        <w:drawing>
          <wp:inline distT="0" distB="0" distL="0" distR="0" wp14:anchorId="654C194D" wp14:editId="52BEA373">
            <wp:extent cx="5353050" cy="1314450"/>
            <wp:effectExtent l="0" t="19050" r="0" b="38100"/>
            <wp:docPr id="1704355584" name="Diagram 170435558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14:paraId="76F1C308" w14:textId="6F6A6C74" w:rsidR="00097694" w:rsidRPr="006B6D61" w:rsidRDefault="00097694" w:rsidP="003F0A7C">
      <w:pPr>
        <w:pStyle w:val="KOMtext"/>
      </w:pPr>
      <w:r w:rsidRPr="006B6D61">
        <w:t>Při porovnání skutečn</w:t>
      </w:r>
      <w:r w:rsidR="003C326E">
        <w:t>ost</w:t>
      </w:r>
      <w:r w:rsidRPr="006B6D61">
        <w:t>í za roky 202</w:t>
      </w:r>
      <w:r w:rsidR="00F7796D" w:rsidRPr="006B6D61">
        <w:t>3</w:t>
      </w:r>
      <w:r w:rsidRPr="006B6D61">
        <w:t xml:space="preserve"> a 202</w:t>
      </w:r>
      <w:r w:rsidR="00F7796D" w:rsidRPr="006B6D61">
        <w:t>2</w:t>
      </w:r>
      <w:r w:rsidRPr="006B6D61">
        <w:t xml:space="preserve"> u prostředků SR dosáhlo čerpání 9</w:t>
      </w:r>
      <w:r w:rsidR="005F43CA" w:rsidRPr="006B6D61">
        <w:t>0,07</w:t>
      </w:r>
      <w:r w:rsidRPr="006B6D61">
        <w:t xml:space="preserve"> % úrovně roku 202</w:t>
      </w:r>
      <w:r w:rsidR="00AF5D24" w:rsidRPr="006B6D61">
        <w:t>2</w:t>
      </w:r>
      <w:r w:rsidRPr="006B6D61">
        <w:t>. Program 127 03 byl zahájen v roce 2016, přičemž stále dobíhala realizace projektů v rámci programu 127 01. To ovlivnilo nižší čerpání programu před rokem 2017. Na konci roku 2017 byly v rámci programu uzavírány nové dlouholeté projekty, zejména v </w:t>
      </w:r>
      <w:proofErr w:type="spellStart"/>
      <w:r w:rsidRPr="006B6D61">
        <w:t>subtitulu</w:t>
      </w:r>
      <w:proofErr w:type="spellEnd"/>
      <w:r w:rsidRPr="006B6D61">
        <w:t xml:space="preserve"> ICT, které ovlivnily navýšení skutečností v následujících letech. Nárůst skutečnosti v roce 2020 ovlivnila investice do rozvojů významných ICT systémů/aplikací, jako je např. Systém jednotného tarifu, aplikace Registru silničních vozidel nebo Registru podnikatelů v silniční dopravě.</w:t>
      </w:r>
    </w:p>
    <w:p w14:paraId="33D3FEB8" w14:textId="08D8D055" w:rsidR="00097694" w:rsidRPr="006B6D61" w:rsidRDefault="00097694" w:rsidP="003F0A7C">
      <w:pPr>
        <w:pStyle w:val="KOMtext"/>
      </w:pPr>
      <w:r w:rsidRPr="006B6D61">
        <w:t xml:space="preserve">Porovnání skutečností mezi roky 2022 a 2021 u prostředků EU nemá vypovídací schopnost, neboť nebyly v roce 2022 čerpány žádné prostředky. </w:t>
      </w:r>
      <w:r w:rsidR="00E8148C" w:rsidRPr="006B6D61">
        <w:t xml:space="preserve">K čerpání </w:t>
      </w:r>
      <w:r w:rsidRPr="006B6D61">
        <w:t xml:space="preserve">prostředků EU </w:t>
      </w:r>
      <w:r w:rsidR="00E8148C" w:rsidRPr="006B6D61">
        <w:t xml:space="preserve">došlo v roce 2023 ve výši 564 tis. Kč </w:t>
      </w:r>
      <w:r w:rsidRPr="006B6D61">
        <w:t xml:space="preserve">v rámci projektu PRODI spadajícího do programu OP Zaměstnanost 2014+, který byl zahájen v roce 2022. </w:t>
      </w:r>
    </w:p>
    <w:p w14:paraId="66DFB993" w14:textId="0B5C9286" w:rsidR="00097694" w:rsidRPr="006B6D61" w:rsidRDefault="00097694" w:rsidP="003F0A7C">
      <w:pPr>
        <w:keepNext/>
        <w:tabs>
          <w:tab w:val="left" w:pos="360"/>
        </w:tabs>
        <w:suppressAutoHyphens/>
        <w:spacing w:before="240" w:after="120" w:line="240" w:lineRule="auto"/>
        <w:jc w:val="both"/>
        <w:rPr>
          <w:rFonts w:eastAsia="Times New Roman" w:cstheme="minorHAnsi"/>
          <w:b/>
          <w:i/>
          <w:sz w:val="24"/>
          <w:szCs w:val="24"/>
          <w:lang w:eastAsia="cs-CZ"/>
        </w:rPr>
      </w:pPr>
      <w:bookmarkStart w:id="605" w:name="_Hlk159783306"/>
      <w:r w:rsidRPr="006B6D61">
        <w:rPr>
          <w:rFonts w:eastAsia="Times New Roman" w:cstheme="minorHAnsi"/>
          <w:b/>
          <w:i/>
          <w:sz w:val="24"/>
          <w:szCs w:val="24"/>
          <w:lang w:eastAsia="cs-CZ"/>
        </w:rPr>
        <w:t xml:space="preserve">Skutečné čerpání za rok </w:t>
      </w:r>
      <w:r w:rsidRPr="006B6D61">
        <w:rPr>
          <w:rFonts w:eastAsia="Times New Roman" w:cstheme="minorHAnsi"/>
          <w:b/>
          <w:bCs/>
          <w:i/>
          <w:sz w:val="24"/>
          <w:szCs w:val="24"/>
          <w:lang w:eastAsia="cs-CZ"/>
        </w:rPr>
        <w:t>202</w:t>
      </w:r>
      <w:r w:rsidR="00AF5D24" w:rsidRPr="006B6D61">
        <w:rPr>
          <w:rFonts w:eastAsia="Times New Roman" w:cstheme="minorHAnsi"/>
          <w:b/>
          <w:bCs/>
          <w:i/>
          <w:sz w:val="24"/>
          <w:szCs w:val="24"/>
          <w:lang w:eastAsia="cs-CZ"/>
        </w:rPr>
        <w:t>3</w:t>
      </w:r>
      <w:r w:rsidRPr="006B6D61">
        <w:rPr>
          <w:rFonts w:eastAsia="Times New Roman" w:cstheme="minorHAnsi"/>
          <w:b/>
          <w:i/>
          <w:sz w:val="24"/>
          <w:szCs w:val="24"/>
          <w:lang w:eastAsia="cs-CZ"/>
        </w:rPr>
        <w:t xml:space="preserve">: </w:t>
      </w:r>
    </w:p>
    <w:tbl>
      <w:tblPr>
        <w:tblW w:w="9312" w:type="dxa"/>
        <w:tblLayout w:type="fixed"/>
        <w:tblCellMar>
          <w:left w:w="70" w:type="dxa"/>
          <w:right w:w="70" w:type="dxa"/>
        </w:tblCellMar>
        <w:tblLook w:val="04A0" w:firstRow="1" w:lastRow="0" w:firstColumn="1" w:lastColumn="0" w:noHBand="0" w:noVBand="1"/>
      </w:tblPr>
      <w:tblGrid>
        <w:gridCol w:w="7426"/>
        <w:gridCol w:w="1886"/>
      </w:tblGrid>
      <w:tr w:rsidR="002F1BE7" w:rsidRPr="002F1BE7" w14:paraId="485EF069" w14:textId="77777777" w:rsidTr="00AA40A5">
        <w:trPr>
          <w:trHeight w:val="246"/>
        </w:trPr>
        <w:tc>
          <w:tcPr>
            <w:tcW w:w="7426" w:type="dxa"/>
            <w:hideMark/>
          </w:tcPr>
          <w:p w14:paraId="2FDF2959" w14:textId="77777777" w:rsidR="00097694" w:rsidRPr="006B6D61" w:rsidRDefault="00097694" w:rsidP="00E54955">
            <w:pPr>
              <w:numPr>
                <w:ilvl w:val="0"/>
                <w:numId w:val="22"/>
              </w:numPr>
              <w:suppressAutoHyphens/>
              <w:snapToGrid w:val="0"/>
              <w:spacing w:after="0" w:line="240" w:lineRule="auto"/>
              <w:ind w:left="492" w:hanging="425"/>
              <w:rPr>
                <w:rFonts w:eastAsia="Times New Roman" w:cstheme="minorHAnsi"/>
                <w:b/>
                <w:i/>
                <w:sz w:val="24"/>
                <w:szCs w:val="24"/>
                <w:lang w:eastAsia="cs-CZ"/>
              </w:rPr>
            </w:pPr>
            <w:r w:rsidRPr="006B6D61">
              <w:rPr>
                <w:rFonts w:eastAsia="Times New Roman" w:cstheme="minorHAnsi"/>
                <w:b/>
                <w:i/>
                <w:sz w:val="24"/>
                <w:szCs w:val="24"/>
                <w:lang w:eastAsia="cs-CZ"/>
              </w:rPr>
              <w:t xml:space="preserve">ze státního rozpočtu (systémově určené výdaje investiční) </w:t>
            </w:r>
            <w:proofErr w:type="gramStart"/>
            <w:r w:rsidRPr="006B6D61">
              <w:rPr>
                <w:rFonts w:eastAsia="Times New Roman" w:cstheme="minorHAnsi"/>
                <w:b/>
                <w:i/>
                <w:sz w:val="24"/>
                <w:szCs w:val="24"/>
                <w:lang w:eastAsia="cs-CZ"/>
              </w:rPr>
              <w:t>*)</w:t>
            </w:r>
            <w:r w:rsidRPr="006B6D61">
              <w:rPr>
                <w:rFonts w:eastAsia="Times New Roman" w:cstheme="minorHAnsi"/>
                <w:b/>
                <w:i/>
                <w:sz w:val="24"/>
                <w:szCs w:val="24"/>
                <w:vertAlign w:val="superscript"/>
                <w:lang w:eastAsia="cs-CZ"/>
              </w:rPr>
              <w:t>x</w:t>
            </w:r>
            <w:proofErr w:type="gramEnd"/>
            <w:r w:rsidRPr="006B6D61">
              <w:rPr>
                <w:rFonts w:eastAsia="Times New Roman" w:cstheme="minorHAnsi"/>
                <w:b/>
                <w:i/>
                <w:sz w:val="24"/>
                <w:szCs w:val="24"/>
                <w:lang w:eastAsia="cs-CZ"/>
              </w:rPr>
              <w:t>)</w:t>
            </w:r>
          </w:p>
          <w:p w14:paraId="300953A8" w14:textId="289361E0" w:rsidR="00E54955" w:rsidRDefault="00E54955" w:rsidP="00E54955">
            <w:pPr>
              <w:numPr>
                <w:ilvl w:val="0"/>
                <w:numId w:val="22"/>
              </w:numPr>
              <w:suppressAutoHyphens/>
              <w:spacing w:after="0" w:line="240" w:lineRule="auto"/>
              <w:ind w:left="492" w:hanging="425"/>
              <w:rPr>
                <w:rFonts w:eastAsia="Times New Roman" w:cstheme="minorHAnsi"/>
                <w:b/>
                <w:i/>
                <w:sz w:val="24"/>
                <w:szCs w:val="24"/>
                <w:lang w:eastAsia="cs-CZ"/>
              </w:rPr>
            </w:pPr>
            <w:r>
              <w:rPr>
                <w:rFonts w:eastAsia="Times New Roman" w:cstheme="minorHAnsi"/>
                <w:b/>
                <w:i/>
                <w:sz w:val="24"/>
                <w:szCs w:val="24"/>
                <w:lang w:eastAsia="cs-CZ"/>
              </w:rPr>
              <w:t xml:space="preserve">ze státního rozpočtu (investiční prostředky EU) </w:t>
            </w:r>
            <w:proofErr w:type="gramStart"/>
            <w:r w:rsidRPr="006B6D61">
              <w:rPr>
                <w:rFonts w:eastAsia="Times New Roman" w:cstheme="minorHAnsi"/>
                <w:b/>
                <w:i/>
                <w:sz w:val="24"/>
                <w:szCs w:val="24"/>
                <w:lang w:eastAsia="cs-CZ"/>
              </w:rPr>
              <w:t>*)</w:t>
            </w:r>
            <w:r w:rsidRPr="006B6D61">
              <w:rPr>
                <w:rFonts w:eastAsia="Times New Roman" w:cstheme="minorHAnsi"/>
                <w:b/>
                <w:i/>
                <w:sz w:val="24"/>
                <w:szCs w:val="24"/>
                <w:vertAlign w:val="superscript"/>
                <w:lang w:eastAsia="cs-CZ"/>
              </w:rPr>
              <w:t>x</w:t>
            </w:r>
            <w:proofErr w:type="gramEnd"/>
            <w:r w:rsidRPr="006B6D61">
              <w:rPr>
                <w:rFonts w:eastAsia="Times New Roman" w:cstheme="minorHAnsi"/>
                <w:b/>
                <w:i/>
                <w:sz w:val="24"/>
                <w:szCs w:val="24"/>
                <w:lang w:eastAsia="cs-CZ"/>
              </w:rPr>
              <w:t>)</w:t>
            </w:r>
          </w:p>
          <w:p w14:paraId="1F421938" w14:textId="63A740A6" w:rsidR="00097694" w:rsidRPr="006B6D61" w:rsidRDefault="00097694" w:rsidP="00E54955">
            <w:pPr>
              <w:numPr>
                <w:ilvl w:val="0"/>
                <w:numId w:val="22"/>
              </w:numPr>
              <w:suppressAutoHyphens/>
              <w:spacing w:after="0" w:line="240" w:lineRule="auto"/>
              <w:ind w:left="492" w:hanging="425"/>
              <w:rPr>
                <w:rFonts w:eastAsia="Times New Roman" w:cstheme="minorHAnsi"/>
                <w:b/>
                <w:i/>
                <w:sz w:val="24"/>
                <w:szCs w:val="24"/>
                <w:lang w:eastAsia="cs-CZ"/>
              </w:rPr>
            </w:pPr>
            <w:r w:rsidRPr="006B6D61">
              <w:rPr>
                <w:rFonts w:eastAsia="Times New Roman" w:cstheme="minorHAnsi"/>
                <w:b/>
                <w:i/>
                <w:sz w:val="24"/>
                <w:szCs w:val="24"/>
                <w:lang w:eastAsia="cs-CZ"/>
              </w:rPr>
              <w:t xml:space="preserve">ze státního rozpočtu (individuálně </w:t>
            </w:r>
            <w:proofErr w:type="spellStart"/>
            <w:r w:rsidRPr="006B6D61">
              <w:rPr>
                <w:rFonts w:eastAsia="Times New Roman" w:cstheme="minorHAnsi"/>
                <w:b/>
                <w:i/>
                <w:sz w:val="24"/>
                <w:szCs w:val="24"/>
                <w:lang w:eastAsia="cs-CZ"/>
              </w:rPr>
              <w:t>posuz</w:t>
            </w:r>
            <w:proofErr w:type="spellEnd"/>
            <w:r w:rsidRPr="006B6D61">
              <w:rPr>
                <w:rFonts w:eastAsia="Times New Roman" w:cstheme="minorHAnsi"/>
                <w:b/>
                <w:i/>
                <w:sz w:val="24"/>
                <w:szCs w:val="24"/>
                <w:lang w:eastAsia="cs-CZ"/>
              </w:rPr>
              <w:t xml:space="preserve">. výdaje </w:t>
            </w:r>
            <w:proofErr w:type="gramStart"/>
            <w:r w:rsidRPr="006B6D61">
              <w:rPr>
                <w:rFonts w:eastAsia="Times New Roman" w:cstheme="minorHAnsi"/>
                <w:b/>
                <w:i/>
                <w:sz w:val="24"/>
                <w:szCs w:val="24"/>
                <w:lang w:eastAsia="cs-CZ"/>
              </w:rPr>
              <w:t>investiční)*</w:t>
            </w:r>
            <w:proofErr w:type="gramEnd"/>
            <w:r w:rsidRPr="006B6D61">
              <w:rPr>
                <w:rFonts w:eastAsia="Times New Roman" w:cstheme="minorHAnsi"/>
                <w:b/>
                <w:i/>
                <w:sz w:val="24"/>
                <w:szCs w:val="24"/>
                <w:lang w:eastAsia="cs-CZ"/>
              </w:rPr>
              <w:t>)</w:t>
            </w:r>
            <w:r w:rsidRPr="006B6D61">
              <w:rPr>
                <w:rFonts w:eastAsia="Times New Roman" w:cstheme="minorHAnsi"/>
                <w:b/>
                <w:i/>
                <w:sz w:val="24"/>
                <w:szCs w:val="24"/>
                <w:vertAlign w:val="superscript"/>
                <w:lang w:eastAsia="cs-CZ"/>
              </w:rPr>
              <w:t>x</w:t>
            </w:r>
            <w:r w:rsidRPr="006B6D61">
              <w:rPr>
                <w:rFonts w:eastAsia="Times New Roman" w:cstheme="minorHAnsi"/>
                <w:b/>
                <w:i/>
                <w:sz w:val="24"/>
                <w:szCs w:val="24"/>
                <w:lang w:eastAsia="cs-CZ"/>
              </w:rPr>
              <w:t xml:space="preserve">) </w:t>
            </w:r>
            <w:r w:rsidR="00E54955">
              <w:rPr>
                <w:rFonts w:eastAsia="Times New Roman" w:cstheme="minorHAnsi"/>
                <w:b/>
                <w:i/>
                <w:sz w:val="24"/>
                <w:szCs w:val="24"/>
                <w:lang w:eastAsia="cs-CZ"/>
              </w:rPr>
              <w:t xml:space="preserve"> </w:t>
            </w:r>
          </w:p>
        </w:tc>
        <w:tc>
          <w:tcPr>
            <w:tcW w:w="1886" w:type="dxa"/>
            <w:hideMark/>
          </w:tcPr>
          <w:p w14:paraId="45CE43AC" w14:textId="3E1CC68B" w:rsidR="00097694" w:rsidRPr="006B6D61" w:rsidRDefault="005A7820" w:rsidP="00097694">
            <w:pPr>
              <w:snapToGrid w:val="0"/>
              <w:spacing w:after="0" w:line="240" w:lineRule="auto"/>
              <w:ind w:left="492" w:hanging="425"/>
              <w:jc w:val="right"/>
              <w:rPr>
                <w:rFonts w:eastAsia="Times New Roman" w:cstheme="minorHAnsi"/>
                <w:b/>
                <w:i/>
                <w:sz w:val="24"/>
                <w:szCs w:val="24"/>
                <w:lang w:eastAsia="cs-CZ"/>
              </w:rPr>
            </w:pPr>
            <w:r w:rsidRPr="00726E00">
              <w:rPr>
                <w:rFonts w:eastAsia="Times New Roman" w:cstheme="minorHAnsi"/>
                <w:b/>
                <w:bCs/>
                <w:i/>
                <w:sz w:val="24"/>
                <w:szCs w:val="24"/>
                <w:lang w:eastAsia="cs-CZ"/>
              </w:rPr>
              <w:t xml:space="preserve">87 </w:t>
            </w:r>
            <w:r w:rsidR="00E54955">
              <w:rPr>
                <w:rFonts w:eastAsia="Times New Roman" w:cstheme="minorHAnsi"/>
                <w:b/>
                <w:bCs/>
                <w:i/>
                <w:sz w:val="24"/>
                <w:szCs w:val="24"/>
                <w:lang w:eastAsia="cs-CZ"/>
              </w:rPr>
              <w:t>055</w:t>
            </w:r>
            <w:r w:rsidR="00097694" w:rsidRPr="006B6D61">
              <w:rPr>
                <w:rFonts w:eastAsia="Times New Roman" w:cstheme="minorHAnsi"/>
                <w:b/>
                <w:i/>
                <w:sz w:val="24"/>
                <w:szCs w:val="24"/>
                <w:lang w:eastAsia="cs-CZ"/>
              </w:rPr>
              <w:t xml:space="preserve"> tis. Kč</w:t>
            </w:r>
          </w:p>
          <w:p w14:paraId="0C61132F" w14:textId="2E2805B6" w:rsidR="00097694" w:rsidRDefault="00097694" w:rsidP="00097694">
            <w:pPr>
              <w:spacing w:after="0" w:line="240" w:lineRule="auto"/>
              <w:ind w:left="492" w:hanging="425"/>
              <w:jc w:val="right"/>
              <w:rPr>
                <w:rFonts w:eastAsia="Times New Roman" w:cstheme="minorHAnsi"/>
                <w:b/>
                <w:i/>
                <w:sz w:val="24"/>
                <w:szCs w:val="24"/>
                <w:lang w:eastAsia="cs-CZ"/>
              </w:rPr>
            </w:pPr>
            <w:r w:rsidRPr="006B6D61">
              <w:rPr>
                <w:rFonts w:eastAsia="Times New Roman" w:cstheme="minorHAnsi"/>
                <w:b/>
                <w:i/>
                <w:sz w:val="24"/>
                <w:szCs w:val="24"/>
                <w:lang w:eastAsia="cs-CZ"/>
              </w:rPr>
              <w:t xml:space="preserve"> </w:t>
            </w:r>
            <w:r w:rsidR="00E54955">
              <w:rPr>
                <w:rFonts w:eastAsia="Times New Roman" w:cstheme="minorHAnsi"/>
                <w:b/>
                <w:bCs/>
                <w:i/>
                <w:sz w:val="24"/>
                <w:szCs w:val="24"/>
                <w:lang w:eastAsia="cs-CZ"/>
              </w:rPr>
              <w:t>564</w:t>
            </w:r>
            <w:r w:rsidRPr="006B6D61">
              <w:rPr>
                <w:rFonts w:eastAsia="Times New Roman" w:cstheme="minorHAnsi"/>
                <w:b/>
                <w:i/>
                <w:sz w:val="24"/>
                <w:szCs w:val="24"/>
                <w:lang w:eastAsia="cs-CZ"/>
              </w:rPr>
              <w:t xml:space="preserve"> tis. Kč</w:t>
            </w:r>
          </w:p>
          <w:p w14:paraId="1506FE85" w14:textId="602481E2" w:rsidR="00E54955" w:rsidRPr="006B6D61" w:rsidRDefault="00E54955" w:rsidP="00097694">
            <w:pPr>
              <w:spacing w:after="0" w:line="240" w:lineRule="auto"/>
              <w:ind w:left="492" w:hanging="425"/>
              <w:jc w:val="right"/>
              <w:rPr>
                <w:rFonts w:eastAsia="Times New Roman" w:cstheme="minorHAnsi"/>
                <w:b/>
                <w:i/>
                <w:sz w:val="24"/>
                <w:szCs w:val="24"/>
                <w:lang w:eastAsia="cs-CZ"/>
              </w:rPr>
            </w:pPr>
            <w:r>
              <w:rPr>
                <w:rFonts w:eastAsia="Times New Roman" w:cstheme="minorHAnsi"/>
                <w:b/>
                <w:i/>
                <w:sz w:val="24"/>
                <w:szCs w:val="24"/>
                <w:lang w:eastAsia="cs-CZ"/>
              </w:rPr>
              <w:t>7 998 tis. Kč</w:t>
            </w:r>
          </w:p>
        </w:tc>
      </w:tr>
      <w:tr w:rsidR="002F1BE7" w:rsidRPr="002F1BE7" w14:paraId="2834AE40" w14:textId="77777777" w:rsidTr="003F0A7C">
        <w:trPr>
          <w:trHeight w:val="684"/>
        </w:trPr>
        <w:tc>
          <w:tcPr>
            <w:tcW w:w="7426" w:type="dxa"/>
          </w:tcPr>
          <w:p w14:paraId="7D39B98B" w14:textId="77777777" w:rsidR="00097694" w:rsidRPr="006B6D61" w:rsidRDefault="00097694" w:rsidP="00E54955">
            <w:pPr>
              <w:numPr>
                <w:ilvl w:val="0"/>
                <w:numId w:val="23"/>
              </w:numPr>
              <w:suppressAutoHyphens/>
              <w:spacing w:after="0" w:line="240" w:lineRule="auto"/>
              <w:ind w:left="492" w:hanging="425"/>
              <w:rPr>
                <w:rFonts w:eastAsia="Times New Roman" w:cstheme="minorHAnsi"/>
                <w:i/>
                <w:sz w:val="24"/>
                <w:szCs w:val="24"/>
                <w:lang w:eastAsia="cs-CZ"/>
              </w:rPr>
            </w:pPr>
            <w:r w:rsidRPr="006B6D61">
              <w:rPr>
                <w:rFonts w:eastAsia="Times New Roman" w:cstheme="minorHAnsi"/>
                <w:b/>
                <w:i/>
                <w:sz w:val="24"/>
                <w:szCs w:val="24"/>
                <w:lang w:eastAsia="cs-CZ"/>
              </w:rPr>
              <w:t>ze státního rozpočtu (systémově určené výdaje neinvestiční) *)</w:t>
            </w:r>
            <w:r w:rsidRPr="006B6D61">
              <w:rPr>
                <w:rFonts w:eastAsia="Times New Roman" w:cstheme="minorHAnsi"/>
                <w:b/>
                <w:i/>
                <w:sz w:val="24"/>
                <w:szCs w:val="24"/>
                <w:vertAlign w:val="superscript"/>
                <w:lang w:eastAsia="cs-CZ"/>
              </w:rPr>
              <w:t xml:space="preserve"> x</w:t>
            </w:r>
            <w:r w:rsidRPr="006B6D61">
              <w:rPr>
                <w:rFonts w:eastAsia="Times New Roman" w:cstheme="minorHAnsi"/>
                <w:b/>
                <w:i/>
                <w:sz w:val="24"/>
                <w:szCs w:val="24"/>
                <w:lang w:eastAsia="cs-CZ"/>
              </w:rPr>
              <w:t>)</w:t>
            </w:r>
          </w:p>
          <w:p w14:paraId="2A8FFBB0" w14:textId="77777777" w:rsidR="00097694" w:rsidRPr="006B6D61" w:rsidRDefault="00097694" w:rsidP="00E54955">
            <w:pPr>
              <w:numPr>
                <w:ilvl w:val="0"/>
                <w:numId w:val="23"/>
              </w:numPr>
              <w:suppressAutoHyphens/>
              <w:spacing w:after="0" w:line="240" w:lineRule="auto"/>
              <w:ind w:left="492" w:hanging="425"/>
              <w:rPr>
                <w:rFonts w:eastAsia="Times New Roman" w:cstheme="minorHAnsi"/>
                <w:i/>
                <w:sz w:val="24"/>
                <w:szCs w:val="24"/>
                <w:lang w:eastAsia="cs-CZ"/>
              </w:rPr>
            </w:pPr>
            <w:r w:rsidRPr="006B6D61">
              <w:rPr>
                <w:rFonts w:eastAsia="Times New Roman" w:cstheme="minorHAnsi"/>
                <w:b/>
                <w:i/>
                <w:sz w:val="24"/>
                <w:szCs w:val="24"/>
                <w:lang w:eastAsia="cs-CZ"/>
              </w:rPr>
              <w:t xml:space="preserve">ze státního rozpočtu (individuálně </w:t>
            </w:r>
            <w:proofErr w:type="spellStart"/>
            <w:r w:rsidRPr="006B6D61">
              <w:rPr>
                <w:rFonts w:eastAsia="Times New Roman" w:cstheme="minorHAnsi"/>
                <w:b/>
                <w:i/>
                <w:sz w:val="24"/>
                <w:szCs w:val="24"/>
                <w:lang w:eastAsia="cs-CZ"/>
              </w:rPr>
              <w:t>posuz</w:t>
            </w:r>
            <w:proofErr w:type="spellEnd"/>
            <w:r w:rsidRPr="006B6D61">
              <w:rPr>
                <w:rFonts w:eastAsia="Times New Roman" w:cstheme="minorHAnsi"/>
                <w:b/>
                <w:i/>
                <w:sz w:val="24"/>
                <w:szCs w:val="24"/>
                <w:lang w:eastAsia="cs-CZ"/>
              </w:rPr>
              <w:t>. výdaje neinvestiční) *)</w:t>
            </w:r>
            <w:r w:rsidRPr="006B6D61">
              <w:rPr>
                <w:rFonts w:eastAsia="Times New Roman" w:cstheme="minorHAnsi"/>
                <w:b/>
                <w:i/>
                <w:sz w:val="24"/>
                <w:szCs w:val="24"/>
                <w:vertAlign w:val="superscript"/>
                <w:lang w:eastAsia="cs-CZ"/>
              </w:rPr>
              <w:t xml:space="preserve"> </w:t>
            </w:r>
          </w:p>
        </w:tc>
        <w:tc>
          <w:tcPr>
            <w:tcW w:w="1886" w:type="dxa"/>
            <w:hideMark/>
          </w:tcPr>
          <w:p w14:paraId="70B761E1" w14:textId="2557C602" w:rsidR="00097694" w:rsidRPr="006B6D61" w:rsidRDefault="00097694" w:rsidP="00097694">
            <w:pPr>
              <w:spacing w:after="0" w:line="240" w:lineRule="auto"/>
              <w:ind w:left="492" w:hanging="425"/>
              <w:jc w:val="right"/>
              <w:rPr>
                <w:rFonts w:eastAsia="Times New Roman" w:cstheme="minorHAnsi"/>
                <w:b/>
                <w:i/>
                <w:sz w:val="24"/>
                <w:szCs w:val="24"/>
                <w:lang w:eastAsia="cs-CZ"/>
              </w:rPr>
            </w:pPr>
            <w:r w:rsidRPr="006B6D61">
              <w:rPr>
                <w:rFonts w:eastAsia="Times New Roman" w:cstheme="minorHAnsi"/>
                <w:b/>
                <w:i/>
                <w:sz w:val="24"/>
                <w:szCs w:val="24"/>
                <w:lang w:eastAsia="cs-CZ"/>
              </w:rPr>
              <w:t xml:space="preserve"> </w:t>
            </w:r>
            <w:r w:rsidR="00027A76" w:rsidRPr="00726E00">
              <w:rPr>
                <w:rFonts w:eastAsia="Times New Roman" w:cstheme="minorHAnsi"/>
                <w:b/>
                <w:bCs/>
                <w:i/>
                <w:sz w:val="24"/>
                <w:szCs w:val="24"/>
                <w:lang w:eastAsia="cs-CZ"/>
              </w:rPr>
              <w:t>41 346</w:t>
            </w:r>
            <w:r w:rsidRPr="006B6D61">
              <w:rPr>
                <w:rFonts w:eastAsia="Times New Roman" w:cstheme="minorHAnsi"/>
                <w:b/>
                <w:i/>
                <w:sz w:val="24"/>
                <w:szCs w:val="24"/>
                <w:lang w:eastAsia="cs-CZ"/>
              </w:rPr>
              <w:t xml:space="preserve"> tis. Kč</w:t>
            </w:r>
          </w:p>
          <w:p w14:paraId="10585800" w14:textId="3353F71F" w:rsidR="00097694" w:rsidRPr="006B6D61" w:rsidRDefault="008E60E2" w:rsidP="00097694">
            <w:pPr>
              <w:spacing w:after="0" w:line="240" w:lineRule="auto"/>
              <w:ind w:left="492" w:hanging="425"/>
              <w:jc w:val="right"/>
              <w:rPr>
                <w:rFonts w:eastAsia="Times New Roman" w:cstheme="minorHAnsi"/>
                <w:b/>
                <w:i/>
                <w:sz w:val="24"/>
                <w:szCs w:val="24"/>
                <w:lang w:eastAsia="cs-CZ"/>
              </w:rPr>
            </w:pPr>
            <w:r w:rsidRPr="00726E00">
              <w:rPr>
                <w:rFonts w:eastAsia="Times New Roman" w:cstheme="minorHAnsi"/>
                <w:b/>
                <w:bCs/>
                <w:i/>
                <w:sz w:val="24"/>
                <w:szCs w:val="24"/>
                <w:lang w:eastAsia="cs-CZ"/>
              </w:rPr>
              <w:t>22 404</w:t>
            </w:r>
            <w:r w:rsidR="00097694" w:rsidRPr="006B6D61">
              <w:rPr>
                <w:rFonts w:eastAsia="Times New Roman" w:cstheme="minorHAnsi"/>
                <w:b/>
                <w:i/>
                <w:sz w:val="24"/>
                <w:szCs w:val="24"/>
                <w:lang w:eastAsia="cs-CZ"/>
              </w:rPr>
              <w:t xml:space="preserve"> tis. Kč</w:t>
            </w:r>
            <w:r w:rsidR="009B0D06" w:rsidRPr="006B6D61">
              <w:rPr>
                <w:rFonts w:eastAsia="Times New Roman" w:cstheme="minorHAnsi"/>
                <w:b/>
                <w:i/>
                <w:sz w:val="24"/>
                <w:szCs w:val="24"/>
                <w:lang w:eastAsia="cs-CZ"/>
              </w:rPr>
              <w:t xml:space="preserve"> </w:t>
            </w:r>
          </w:p>
        </w:tc>
      </w:tr>
    </w:tbl>
    <w:p w14:paraId="080D9436" w14:textId="77777777" w:rsidR="00097694" w:rsidRDefault="00097694" w:rsidP="00097694">
      <w:pPr>
        <w:spacing w:after="0" w:line="240" w:lineRule="auto"/>
        <w:jc w:val="both"/>
        <w:rPr>
          <w:rFonts w:eastAsia="Times New Roman" w:cstheme="minorHAnsi"/>
          <w:sz w:val="24"/>
          <w:szCs w:val="24"/>
          <w:lang w:eastAsia="cs-CZ"/>
        </w:rPr>
      </w:pPr>
      <w:r w:rsidRPr="006B6D61">
        <w:rPr>
          <w:rFonts w:eastAsia="Times New Roman" w:cstheme="minorHAnsi"/>
          <w:sz w:val="24"/>
          <w:szCs w:val="24"/>
          <w:lang w:eastAsia="cs-CZ"/>
        </w:rPr>
        <w:t xml:space="preserve">*) z toho: prostředky na financování informačních a komunikačních technologií (ICT) </w:t>
      </w:r>
    </w:p>
    <w:p w14:paraId="0BFB8F9F" w14:textId="6843E77F" w:rsidR="00097694" w:rsidRPr="006B6D61" w:rsidRDefault="00097694" w:rsidP="00D05A89">
      <w:pPr>
        <w:keepLines/>
        <w:numPr>
          <w:ilvl w:val="0"/>
          <w:numId w:val="17"/>
        </w:numPr>
        <w:spacing w:before="120" w:after="120" w:line="276" w:lineRule="auto"/>
        <w:ind w:left="709" w:hanging="425"/>
        <w:jc w:val="both"/>
        <w:rPr>
          <w:rFonts w:cstheme="minorHAnsi"/>
          <w:sz w:val="24"/>
          <w:szCs w:val="24"/>
        </w:rPr>
      </w:pPr>
      <w:r w:rsidRPr="006B6D61">
        <w:rPr>
          <w:rFonts w:cstheme="minorHAnsi"/>
          <w:sz w:val="24"/>
          <w:szCs w:val="24"/>
        </w:rPr>
        <w:t xml:space="preserve">kapitálové výdaje </w:t>
      </w:r>
      <w:r w:rsidR="003C553A" w:rsidRPr="006B6D61">
        <w:rPr>
          <w:rFonts w:cstheme="minorHAnsi"/>
          <w:sz w:val="24"/>
          <w:szCs w:val="24"/>
        </w:rPr>
        <w:t>84 976</w:t>
      </w:r>
      <w:r w:rsidRPr="006B6D61">
        <w:rPr>
          <w:rFonts w:cstheme="minorHAnsi"/>
          <w:sz w:val="24"/>
          <w:szCs w:val="24"/>
        </w:rPr>
        <w:t xml:space="preserve"> tis. Kč, z toho nároky </w:t>
      </w:r>
      <w:r w:rsidR="000E5026" w:rsidRPr="006B6D61">
        <w:rPr>
          <w:rFonts w:cstheme="minorHAnsi"/>
          <w:sz w:val="24"/>
          <w:szCs w:val="24"/>
        </w:rPr>
        <w:t xml:space="preserve">72 </w:t>
      </w:r>
      <w:r w:rsidR="00406EE9">
        <w:rPr>
          <w:rFonts w:cstheme="minorHAnsi"/>
          <w:sz w:val="24"/>
          <w:szCs w:val="24"/>
        </w:rPr>
        <w:t>577</w:t>
      </w:r>
      <w:r w:rsidRPr="006B6D61">
        <w:rPr>
          <w:rFonts w:cstheme="minorHAnsi"/>
          <w:sz w:val="24"/>
          <w:szCs w:val="24"/>
        </w:rPr>
        <w:t xml:space="preserve"> tis. Kč</w:t>
      </w:r>
      <w:r w:rsidR="00406EE9">
        <w:rPr>
          <w:rFonts w:cstheme="minorHAnsi"/>
          <w:sz w:val="24"/>
          <w:szCs w:val="24"/>
        </w:rPr>
        <w:t>, z toho prostředky                        EU 564 tis. Kč</w:t>
      </w:r>
      <w:r w:rsidRPr="006B6D61">
        <w:rPr>
          <w:rFonts w:cstheme="minorHAnsi"/>
          <w:sz w:val="24"/>
          <w:szCs w:val="24"/>
        </w:rPr>
        <w:t xml:space="preserve"> </w:t>
      </w:r>
    </w:p>
    <w:p w14:paraId="4CC17C7C" w14:textId="21F4D010" w:rsidR="00097694" w:rsidRPr="006B6D61" w:rsidRDefault="00097694" w:rsidP="00D05A89">
      <w:pPr>
        <w:keepLines/>
        <w:numPr>
          <w:ilvl w:val="0"/>
          <w:numId w:val="17"/>
        </w:numPr>
        <w:spacing w:before="120" w:after="120" w:line="276" w:lineRule="auto"/>
        <w:ind w:left="709" w:hanging="425"/>
        <w:jc w:val="both"/>
        <w:rPr>
          <w:rFonts w:cstheme="minorHAnsi"/>
          <w:sz w:val="24"/>
          <w:szCs w:val="24"/>
        </w:rPr>
      </w:pPr>
      <w:r w:rsidRPr="006B6D61">
        <w:rPr>
          <w:rFonts w:cstheme="minorHAnsi"/>
          <w:sz w:val="24"/>
          <w:szCs w:val="24"/>
        </w:rPr>
        <w:t xml:space="preserve">běžné výdaje </w:t>
      </w:r>
      <w:r w:rsidR="00A37AFC" w:rsidRPr="006B6D61">
        <w:rPr>
          <w:rFonts w:cstheme="minorHAnsi"/>
          <w:sz w:val="24"/>
          <w:szCs w:val="24"/>
        </w:rPr>
        <w:t>63 750</w:t>
      </w:r>
      <w:r w:rsidRPr="006B6D61">
        <w:rPr>
          <w:rFonts w:cstheme="minorHAnsi"/>
          <w:sz w:val="24"/>
          <w:szCs w:val="24"/>
        </w:rPr>
        <w:t xml:space="preserve"> tis. Kč, z toho nároky </w:t>
      </w:r>
      <w:r w:rsidR="000E5026" w:rsidRPr="006B6D61">
        <w:rPr>
          <w:rFonts w:cstheme="minorHAnsi"/>
          <w:sz w:val="24"/>
          <w:szCs w:val="24"/>
        </w:rPr>
        <w:t>4 555</w:t>
      </w:r>
      <w:r w:rsidRPr="006B6D61">
        <w:rPr>
          <w:rFonts w:cstheme="minorHAnsi"/>
          <w:sz w:val="24"/>
          <w:szCs w:val="24"/>
        </w:rPr>
        <w:t xml:space="preserve"> tis. Kč</w:t>
      </w:r>
    </w:p>
    <w:p w14:paraId="1FE247B6" w14:textId="0DC7AD22" w:rsidR="007C607B" w:rsidRPr="006B6D61" w:rsidRDefault="00097694" w:rsidP="006B6D61">
      <w:pPr>
        <w:keepLines/>
        <w:spacing w:before="120" w:after="120" w:line="276" w:lineRule="auto"/>
        <w:jc w:val="both"/>
        <w:rPr>
          <w:rFonts w:cstheme="minorHAnsi"/>
          <w:sz w:val="24"/>
          <w:szCs w:val="24"/>
        </w:rPr>
      </w:pPr>
      <w:r w:rsidRPr="006B6D61">
        <w:rPr>
          <w:rFonts w:cstheme="minorHAnsi"/>
          <w:i/>
          <w:sz w:val="24"/>
          <w:szCs w:val="24"/>
          <w:vertAlign w:val="superscript"/>
        </w:rPr>
        <w:t>x</w:t>
      </w:r>
      <w:r w:rsidRPr="006B6D61">
        <w:rPr>
          <w:rFonts w:cstheme="minorHAnsi"/>
          <w:i/>
          <w:sz w:val="24"/>
          <w:szCs w:val="24"/>
        </w:rPr>
        <w:t>)</w:t>
      </w:r>
      <w:r w:rsidRPr="006B6D61">
        <w:rPr>
          <w:rFonts w:cstheme="minorHAnsi"/>
          <w:sz w:val="24"/>
          <w:szCs w:val="24"/>
        </w:rPr>
        <w:t xml:space="preserve"> z toho: nároky ve výši </w:t>
      </w:r>
      <w:r w:rsidR="00D85AFD" w:rsidRPr="006B6D61">
        <w:rPr>
          <w:rFonts w:cstheme="minorHAnsi"/>
          <w:sz w:val="24"/>
          <w:szCs w:val="24"/>
        </w:rPr>
        <w:t>82 745</w:t>
      </w:r>
      <w:r w:rsidRPr="006B6D61">
        <w:rPr>
          <w:rFonts w:cstheme="minorHAnsi"/>
          <w:sz w:val="24"/>
          <w:szCs w:val="24"/>
        </w:rPr>
        <w:t xml:space="preserve"> tis. Kč (investiční prostředky SR)</w:t>
      </w:r>
      <w:r w:rsidR="004E1982" w:rsidRPr="006B6D61">
        <w:rPr>
          <w:rFonts w:cstheme="minorHAnsi"/>
          <w:sz w:val="24"/>
          <w:szCs w:val="24"/>
        </w:rPr>
        <w:t xml:space="preserve">, </w:t>
      </w:r>
      <w:r w:rsidR="0097563E" w:rsidRPr="006B6D61">
        <w:rPr>
          <w:rFonts w:cstheme="minorHAnsi"/>
          <w:sz w:val="24"/>
          <w:szCs w:val="24"/>
        </w:rPr>
        <w:t xml:space="preserve">ve výši 564 tis. Kč (investiční prostředky EU), </w:t>
      </w:r>
      <w:r w:rsidR="004E1982" w:rsidRPr="006B6D61">
        <w:rPr>
          <w:rFonts w:cstheme="minorHAnsi"/>
          <w:sz w:val="24"/>
          <w:szCs w:val="24"/>
        </w:rPr>
        <w:t xml:space="preserve">ve výši </w:t>
      </w:r>
      <w:r w:rsidR="00BF1AF2" w:rsidRPr="006B6D61">
        <w:rPr>
          <w:rFonts w:cstheme="minorHAnsi"/>
          <w:sz w:val="24"/>
          <w:szCs w:val="24"/>
        </w:rPr>
        <w:t>4 555 tis. Kč (neinvestiční prostředky SR)</w:t>
      </w:r>
      <w:bookmarkEnd w:id="605"/>
    </w:p>
    <w:p w14:paraId="00B26FE9" w14:textId="41E57900" w:rsidR="00A17419" w:rsidRPr="006B6D61" w:rsidRDefault="00A17419" w:rsidP="008A0E44">
      <w:pPr>
        <w:pStyle w:val="KOMnadp4"/>
        <w:rPr>
          <w:lang w:eastAsia="ar-SA"/>
        </w:rPr>
      </w:pPr>
      <w:r w:rsidRPr="006B6D61">
        <w:rPr>
          <w:lang w:eastAsia="ar-SA"/>
        </w:rPr>
        <w:lastRenderedPageBreak/>
        <w:t>127 06 Rozvoj a obnova materiálně-technické základny (MTZ) systému řízení MD – PO, SFDI</w:t>
      </w:r>
    </w:p>
    <w:p w14:paraId="122A0C12" w14:textId="77777777" w:rsidR="003100FC" w:rsidRPr="006A755F" w:rsidRDefault="003100FC" w:rsidP="003100FC">
      <w:pPr>
        <w:pStyle w:val="KOMtext"/>
        <w:rPr>
          <w:rFonts w:cstheme="minorHAnsi"/>
          <w:lang w:eastAsia="ar-SA"/>
        </w:rPr>
      </w:pPr>
      <w:r w:rsidRPr="006A755F">
        <w:rPr>
          <w:rFonts w:cstheme="minorHAnsi"/>
          <w:lang w:eastAsia="ar-SA"/>
        </w:rPr>
        <w:t>Cílem programu je zabezpečení rozvoje a obnovy dlouhodobého majetku státních příspěvkových organizací Ministerstva dopravy (Ředitelství silnic a dálnic ČR, Centra služeb pro silniční dopravu) a Státního fondu dopravní infrastruktury.</w:t>
      </w:r>
    </w:p>
    <w:p w14:paraId="721DC35C" w14:textId="7855802F" w:rsidR="003100FC" w:rsidRPr="006A755F" w:rsidRDefault="003100FC" w:rsidP="003100FC">
      <w:pPr>
        <w:pStyle w:val="KOMtext"/>
        <w:rPr>
          <w:rFonts w:cstheme="minorHAnsi"/>
          <w:lang w:eastAsia="ar-SA"/>
        </w:rPr>
      </w:pPr>
      <w:r w:rsidRPr="006A755F">
        <w:rPr>
          <w:rFonts w:cstheme="minorHAnsi"/>
          <w:lang w:eastAsia="ar-SA"/>
        </w:rPr>
        <w:t xml:space="preserve">Jedná se především u Státního fondu dopravní infrastruktury o pořízení a obnovu ICT, </w:t>
      </w:r>
      <w:r w:rsidR="003C326E">
        <w:rPr>
          <w:rFonts w:cstheme="minorHAnsi"/>
          <w:lang w:eastAsia="ar-SA"/>
        </w:rPr>
        <w:br/>
      </w:r>
      <w:r w:rsidRPr="006A755F">
        <w:rPr>
          <w:rFonts w:cstheme="minorHAnsi"/>
          <w:lang w:eastAsia="ar-SA"/>
        </w:rPr>
        <w:t xml:space="preserve">u příspěvkových organizací o pořízení a obnovu dopravních prostředků a mechanizace, zajištění celorepublikové kampaně v oblasti bezpečnosti silničního provozu </w:t>
      </w:r>
      <w:r w:rsidRPr="006A755F">
        <w:rPr>
          <w:rFonts w:cstheme="minorHAnsi"/>
          <w:lang w:eastAsia="ar-SA"/>
        </w:rPr>
        <w:br/>
        <w:t>a pořízení digitální technické mapy.</w:t>
      </w:r>
    </w:p>
    <w:p w14:paraId="7ADCA2CB" w14:textId="77777777" w:rsidR="003100FC" w:rsidRPr="006A755F" w:rsidRDefault="003100FC" w:rsidP="003100FC">
      <w:pPr>
        <w:pStyle w:val="KOMtext"/>
        <w:rPr>
          <w:rFonts w:cstheme="minorHAnsi"/>
          <w:lang w:eastAsia="ar-SA"/>
        </w:rPr>
      </w:pPr>
      <w:r w:rsidRPr="006A755F">
        <w:rPr>
          <w:rFonts w:cstheme="minorHAnsi"/>
          <w:lang w:eastAsia="ar-SA"/>
        </w:rPr>
        <w:t xml:space="preserve">Program byl zahájen v roce 2016 a ukončení </w:t>
      </w:r>
      <w:r w:rsidRPr="00320775">
        <w:rPr>
          <w:rFonts w:cstheme="minorHAnsi"/>
          <w:color w:val="000000" w:themeColor="text1"/>
          <w:lang w:eastAsia="ar-SA"/>
        </w:rPr>
        <w:t>se předpokládá do 30. 4. 2024.</w:t>
      </w:r>
    </w:p>
    <w:p w14:paraId="7D5E480B" w14:textId="77777777" w:rsidR="003100FC" w:rsidRPr="006A755F" w:rsidRDefault="003100FC" w:rsidP="003100FC">
      <w:pPr>
        <w:pStyle w:val="KOMtext"/>
        <w:rPr>
          <w:rFonts w:cstheme="minorHAnsi"/>
          <w:lang w:eastAsia="ar-SA"/>
        </w:rPr>
      </w:pPr>
      <w:r w:rsidRPr="006A755F">
        <w:rPr>
          <w:rFonts w:cstheme="minorHAnsi"/>
          <w:lang w:eastAsia="ar-SA"/>
        </w:rPr>
        <w:t>Dokumentace programu byla schválena dopisem Ministerstva financí čj. MF-5872/2015/1903-3 ze dne 31. 12. 2015, poslední aktualizace dokumentace programu byla schválena dopisem Ministerstva financí čj. MF-</w:t>
      </w:r>
      <w:r>
        <w:rPr>
          <w:rFonts w:cstheme="minorHAnsi"/>
          <w:lang w:eastAsia="ar-SA"/>
        </w:rPr>
        <w:t>625</w:t>
      </w:r>
      <w:r w:rsidRPr="006A755F">
        <w:rPr>
          <w:rFonts w:cstheme="minorHAnsi"/>
          <w:lang w:eastAsia="ar-SA"/>
        </w:rPr>
        <w:t>/</w:t>
      </w:r>
      <w:r w:rsidRPr="00A514DA">
        <w:rPr>
          <w:rFonts w:cstheme="minorHAnsi"/>
          <w:color w:val="000000" w:themeColor="text1"/>
          <w:lang w:eastAsia="ar-SA"/>
        </w:rPr>
        <w:t xml:space="preserve">2024/1903-3 ze dne 8. 1. 2024. </w:t>
      </w:r>
    </w:p>
    <w:p w14:paraId="609FA2A4" w14:textId="036CFA3F" w:rsidR="003100FC" w:rsidRPr="006B6D61" w:rsidRDefault="00834412" w:rsidP="006B6D61">
      <w:pPr>
        <w:pStyle w:val="KOMGrafy"/>
        <w:rPr>
          <w:rFonts w:cstheme="minorHAnsi"/>
          <w:lang w:eastAsia="ar-SA"/>
        </w:rPr>
      </w:pPr>
      <w:bookmarkStart w:id="606" w:name="_Toc160457132"/>
      <w:r w:rsidRPr="004A12C5">
        <w:rPr>
          <w:noProof/>
        </w:rPr>
        <w:drawing>
          <wp:anchor distT="0" distB="0" distL="114300" distR="114300" simplePos="0" relativeHeight="251658244" behindDoc="0" locked="0" layoutInCell="1" allowOverlap="1" wp14:anchorId="7201BF4B" wp14:editId="61A74700">
            <wp:simplePos x="0" y="0"/>
            <wp:positionH relativeFrom="margin">
              <wp:align>left</wp:align>
            </wp:positionH>
            <wp:positionV relativeFrom="paragraph">
              <wp:posOffset>422275</wp:posOffset>
            </wp:positionV>
            <wp:extent cx="5760000" cy="2160000"/>
            <wp:effectExtent l="0" t="0" r="12700" b="12065"/>
            <wp:wrapSquare wrapText="bothSides"/>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margin">
              <wp14:pctWidth>0</wp14:pctWidth>
            </wp14:sizeRelH>
            <wp14:sizeRelV relativeFrom="margin">
              <wp14:pctHeight>0</wp14:pctHeight>
            </wp14:sizeRelV>
          </wp:anchor>
        </w:drawing>
      </w:r>
      <w:r w:rsidR="00F00623" w:rsidRPr="006B6D61">
        <w:rPr>
          <w:b w:val="0"/>
        </w:rPr>
        <w:t xml:space="preserve">Graf č. </w:t>
      </w:r>
      <w:r w:rsidR="002C0F0D" w:rsidRPr="006B6D61">
        <w:rPr>
          <w:b w:val="0"/>
        </w:rPr>
        <w:fldChar w:fldCharType="begin"/>
      </w:r>
      <w:r w:rsidR="002C0F0D" w:rsidRPr="006B6D61">
        <w:rPr>
          <w:b w:val="0"/>
        </w:rPr>
        <w:instrText xml:space="preserve"> SEQ Graf_č. \* ARABIC </w:instrText>
      </w:r>
      <w:r w:rsidR="002C0F0D" w:rsidRPr="006B6D61">
        <w:rPr>
          <w:b w:val="0"/>
        </w:rPr>
        <w:fldChar w:fldCharType="separate"/>
      </w:r>
      <w:r w:rsidR="00013820">
        <w:rPr>
          <w:b w:val="0"/>
          <w:noProof/>
        </w:rPr>
        <w:t>15</w:t>
      </w:r>
      <w:r w:rsidR="002C0F0D" w:rsidRPr="006B6D61">
        <w:rPr>
          <w:b w:val="0"/>
        </w:rPr>
        <w:fldChar w:fldCharType="end"/>
      </w:r>
      <w:r w:rsidR="00F00623" w:rsidRPr="006B6D61">
        <w:rPr>
          <w:b w:val="0"/>
        </w:rPr>
        <w:t>: Celkové schválené výdaje programu 127 06 (v tis. Kč)</w:t>
      </w:r>
      <w:bookmarkEnd w:id="606"/>
      <w:r w:rsidR="00F00623" w:rsidRPr="006B6D61">
        <w:rPr>
          <w:b w:val="0"/>
        </w:rPr>
        <w:t xml:space="preserve"> </w:t>
      </w:r>
    </w:p>
    <w:p w14:paraId="5993A984" w14:textId="77777777" w:rsidR="00834412" w:rsidRDefault="00834412" w:rsidP="003F0A7C">
      <w:pPr>
        <w:keepLines/>
        <w:spacing w:before="240" w:after="120" w:line="276" w:lineRule="auto"/>
        <w:jc w:val="both"/>
        <w:rPr>
          <w:rFonts w:eastAsia="Times New Roman" w:cstheme="minorHAnsi"/>
          <w:sz w:val="24"/>
          <w:szCs w:val="24"/>
          <w:lang w:eastAsia="ar-SA"/>
        </w:rPr>
      </w:pPr>
    </w:p>
    <w:p w14:paraId="2E475701" w14:textId="5A827371" w:rsidR="00A17419" w:rsidRPr="006B6D61" w:rsidRDefault="00A17419" w:rsidP="003F0A7C">
      <w:pPr>
        <w:keepLines/>
        <w:spacing w:before="240" w:after="120" w:line="276" w:lineRule="auto"/>
        <w:jc w:val="both"/>
        <w:rPr>
          <w:rFonts w:eastAsia="Times New Roman" w:cstheme="minorHAnsi"/>
          <w:sz w:val="24"/>
          <w:szCs w:val="24"/>
          <w:lang w:eastAsia="ar-SA"/>
        </w:rPr>
      </w:pPr>
      <w:r w:rsidRPr="006B6D61">
        <w:rPr>
          <w:rFonts w:eastAsia="Times New Roman" w:cstheme="minorHAnsi"/>
          <w:sz w:val="24"/>
          <w:szCs w:val="24"/>
          <w:lang w:eastAsia="ar-SA"/>
        </w:rPr>
        <w:t xml:space="preserve">Program je rozdělen na 4 </w:t>
      </w:r>
      <w:proofErr w:type="spellStart"/>
      <w:r w:rsidRPr="006B6D61">
        <w:rPr>
          <w:rFonts w:eastAsia="Times New Roman" w:cstheme="minorHAnsi"/>
          <w:sz w:val="24"/>
          <w:szCs w:val="24"/>
          <w:lang w:eastAsia="ar-SA"/>
        </w:rPr>
        <w:t>subtituly</w:t>
      </w:r>
      <w:proofErr w:type="spellEnd"/>
      <w:r w:rsidRPr="006B6D61">
        <w:rPr>
          <w:rFonts w:eastAsia="Times New Roman" w:cstheme="minorHAnsi"/>
          <w:sz w:val="24"/>
          <w:szCs w:val="24"/>
          <w:lang w:eastAsia="ar-SA"/>
        </w:rPr>
        <w:t>:</w:t>
      </w:r>
    </w:p>
    <w:p w14:paraId="01E18088" w14:textId="77777777" w:rsidR="00A17419" w:rsidRPr="006B6D61" w:rsidRDefault="00A17419" w:rsidP="00D05A89">
      <w:pPr>
        <w:numPr>
          <w:ilvl w:val="0"/>
          <w:numId w:val="15"/>
        </w:numPr>
        <w:suppressAutoHyphens/>
        <w:spacing w:before="240" w:after="120" w:line="240" w:lineRule="auto"/>
        <w:ind w:left="709" w:hanging="425"/>
        <w:jc w:val="both"/>
        <w:rPr>
          <w:rFonts w:eastAsia="Times New Roman" w:cstheme="minorHAnsi"/>
          <w:sz w:val="24"/>
          <w:szCs w:val="24"/>
          <w:lang w:eastAsia="ar-SA"/>
        </w:rPr>
      </w:pPr>
      <w:r w:rsidRPr="006B6D61">
        <w:rPr>
          <w:rFonts w:eastAsia="Times New Roman" w:cstheme="minorHAnsi"/>
          <w:i/>
          <w:sz w:val="24"/>
          <w:szCs w:val="24"/>
          <w:lang w:eastAsia="cs-CZ"/>
        </w:rPr>
        <w:t>127V0630 „Rozvoj a obnova MTZ Centra služeb pro silniční dopravu“</w:t>
      </w:r>
    </w:p>
    <w:p w14:paraId="188874A8" w14:textId="77777777" w:rsidR="007A7E7A" w:rsidRPr="007A7E7A" w:rsidRDefault="007A7E7A" w:rsidP="007A7E7A">
      <w:pPr>
        <w:pStyle w:val="KOMtext"/>
        <w:rPr>
          <w:rFonts w:cstheme="minorHAnsi"/>
          <w:szCs w:val="24"/>
          <w:lang w:eastAsia="ar-SA"/>
        </w:rPr>
      </w:pPr>
      <w:r w:rsidRPr="007A7E7A">
        <w:rPr>
          <w:rFonts w:cstheme="minorHAnsi"/>
          <w:szCs w:val="24"/>
        </w:rPr>
        <w:t xml:space="preserve">V rámci tohoto </w:t>
      </w:r>
      <w:proofErr w:type="spellStart"/>
      <w:r w:rsidRPr="007A7E7A">
        <w:rPr>
          <w:rFonts w:cstheme="minorHAnsi"/>
          <w:szCs w:val="24"/>
        </w:rPr>
        <w:t>subtitulu</w:t>
      </w:r>
      <w:proofErr w:type="spellEnd"/>
      <w:r w:rsidRPr="007A7E7A">
        <w:rPr>
          <w:rFonts w:cstheme="minorHAnsi"/>
          <w:szCs w:val="24"/>
        </w:rPr>
        <w:t xml:space="preserve"> byly použity prostředky státního rozpočtu ve výši </w:t>
      </w:r>
      <w:r w:rsidRPr="007A7E7A">
        <w:rPr>
          <w:rFonts w:cstheme="minorHAnsi"/>
          <w:b/>
          <w:i/>
          <w:szCs w:val="24"/>
        </w:rPr>
        <w:t>4 727 tis. Kč</w:t>
      </w:r>
      <w:r w:rsidRPr="007A7E7A">
        <w:rPr>
          <w:rFonts w:cstheme="minorHAnsi"/>
          <w:b/>
          <w:szCs w:val="24"/>
        </w:rPr>
        <w:t xml:space="preserve"> </w:t>
      </w:r>
      <w:r w:rsidRPr="007A7E7A">
        <w:rPr>
          <w:rFonts w:cstheme="minorHAnsi"/>
          <w:szCs w:val="24"/>
        </w:rPr>
        <w:t>(</w:t>
      </w:r>
      <w:r w:rsidRPr="007A7E7A">
        <w:rPr>
          <w:rFonts w:cstheme="minorHAnsi"/>
          <w:i/>
          <w:szCs w:val="24"/>
        </w:rPr>
        <w:t>investice),</w:t>
      </w:r>
      <w:r w:rsidRPr="007A7E7A">
        <w:rPr>
          <w:rFonts w:cstheme="minorHAnsi"/>
          <w:szCs w:val="24"/>
        </w:rPr>
        <w:t xml:space="preserve"> z toho nároky 4 727 tis. Kč. Prostředky byly </w:t>
      </w:r>
      <w:r w:rsidRPr="007A7E7A">
        <w:rPr>
          <w:rFonts w:cstheme="minorHAnsi"/>
          <w:szCs w:val="24"/>
          <w:lang w:eastAsia="ar-SA"/>
        </w:rPr>
        <w:t>čerpány na pořízení jízdní soupravy pro výcvik zkušebních komisařů skupiny C+E.</w:t>
      </w:r>
    </w:p>
    <w:p w14:paraId="45F00123" w14:textId="77777777" w:rsidR="007A7E7A" w:rsidRPr="006A755F" w:rsidRDefault="007A7E7A" w:rsidP="007A7E7A">
      <w:pPr>
        <w:numPr>
          <w:ilvl w:val="0"/>
          <w:numId w:val="14"/>
        </w:numPr>
        <w:suppressAutoHyphens/>
        <w:spacing w:after="120" w:line="240" w:lineRule="auto"/>
        <w:ind w:left="709" w:hanging="425"/>
        <w:jc w:val="both"/>
        <w:rPr>
          <w:rFonts w:eastAsia="Times New Roman" w:cstheme="minorHAnsi"/>
          <w:sz w:val="24"/>
          <w:szCs w:val="24"/>
          <w:lang w:eastAsia="cs-CZ"/>
        </w:rPr>
      </w:pPr>
      <w:r w:rsidRPr="006A755F">
        <w:rPr>
          <w:rFonts w:eastAsia="Times New Roman" w:cstheme="minorHAnsi"/>
          <w:i/>
          <w:sz w:val="24"/>
          <w:szCs w:val="24"/>
          <w:lang w:eastAsia="cs-CZ"/>
        </w:rPr>
        <w:t>127V0640 „Rozvoj a obnova MTZ Ředitelství silnic a dálnic ČR“</w:t>
      </w:r>
      <w:r w:rsidRPr="006A755F">
        <w:rPr>
          <w:rFonts w:eastAsia="Times New Roman" w:cstheme="minorHAnsi"/>
          <w:sz w:val="24"/>
          <w:szCs w:val="24"/>
          <w:lang w:eastAsia="cs-CZ"/>
        </w:rPr>
        <w:t xml:space="preserve"> </w:t>
      </w:r>
    </w:p>
    <w:p w14:paraId="236866B8" w14:textId="77777777" w:rsidR="007A7E7A" w:rsidRPr="00161A60" w:rsidRDefault="007A7E7A" w:rsidP="007A7E7A">
      <w:pPr>
        <w:tabs>
          <w:tab w:val="num" w:pos="709"/>
        </w:tabs>
        <w:suppressAutoHyphens/>
        <w:spacing w:after="120" w:line="240" w:lineRule="auto"/>
        <w:jc w:val="both"/>
        <w:rPr>
          <w:rFonts w:eastAsia="Times New Roman" w:cstheme="minorHAnsi"/>
          <w:i/>
          <w:sz w:val="24"/>
          <w:szCs w:val="24"/>
          <w:lang w:eastAsia="cs-CZ"/>
        </w:rPr>
      </w:pPr>
      <w:r w:rsidRPr="00161A60">
        <w:rPr>
          <w:rFonts w:cstheme="minorHAnsi"/>
          <w:sz w:val="24"/>
          <w:szCs w:val="24"/>
        </w:rPr>
        <w:t>V rámci t</w:t>
      </w:r>
      <w:r>
        <w:rPr>
          <w:rFonts w:cstheme="minorHAnsi"/>
          <w:sz w:val="24"/>
          <w:szCs w:val="24"/>
        </w:rPr>
        <w:t>ohoto</w:t>
      </w:r>
      <w:r w:rsidRPr="00161A60">
        <w:rPr>
          <w:rFonts w:cstheme="minorHAnsi"/>
          <w:sz w:val="24"/>
          <w:szCs w:val="24"/>
        </w:rPr>
        <w:t xml:space="preserve"> </w:t>
      </w:r>
      <w:proofErr w:type="spellStart"/>
      <w:r w:rsidRPr="00161A60">
        <w:rPr>
          <w:rFonts w:cstheme="minorHAnsi"/>
          <w:sz w:val="24"/>
          <w:szCs w:val="24"/>
        </w:rPr>
        <w:t>subtitul</w:t>
      </w:r>
      <w:r>
        <w:rPr>
          <w:rFonts w:cstheme="minorHAnsi"/>
          <w:sz w:val="24"/>
          <w:szCs w:val="24"/>
        </w:rPr>
        <w:t>u</w:t>
      </w:r>
      <w:proofErr w:type="spellEnd"/>
      <w:r w:rsidRPr="00161A60">
        <w:rPr>
          <w:rFonts w:cstheme="minorHAnsi"/>
          <w:sz w:val="24"/>
          <w:szCs w:val="24"/>
        </w:rPr>
        <w:t xml:space="preserve"> nebyly v roce 202</w:t>
      </w:r>
      <w:r>
        <w:rPr>
          <w:rFonts w:cstheme="minorHAnsi"/>
          <w:sz w:val="24"/>
          <w:szCs w:val="24"/>
        </w:rPr>
        <w:t>3</w:t>
      </w:r>
      <w:r w:rsidRPr="00161A60">
        <w:rPr>
          <w:rFonts w:cstheme="minorHAnsi"/>
          <w:sz w:val="24"/>
          <w:szCs w:val="24"/>
        </w:rPr>
        <w:t xml:space="preserve"> čerpány žádné prostředky</w:t>
      </w:r>
      <w:r>
        <w:rPr>
          <w:rFonts w:cstheme="minorHAnsi"/>
          <w:sz w:val="24"/>
          <w:szCs w:val="24"/>
        </w:rPr>
        <w:t>.</w:t>
      </w:r>
    </w:p>
    <w:p w14:paraId="773973DC" w14:textId="77777777" w:rsidR="007A7E7A" w:rsidRPr="006A755F" w:rsidRDefault="007A7E7A" w:rsidP="007A7E7A">
      <w:pPr>
        <w:numPr>
          <w:ilvl w:val="0"/>
          <w:numId w:val="14"/>
        </w:numPr>
        <w:tabs>
          <w:tab w:val="num" w:pos="709"/>
        </w:tabs>
        <w:suppressAutoHyphens/>
        <w:spacing w:after="120" w:line="240" w:lineRule="auto"/>
        <w:ind w:hanging="785"/>
        <w:jc w:val="both"/>
        <w:rPr>
          <w:rFonts w:eastAsia="Times New Roman" w:cstheme="minorHAnsi"/>
          <w:i/>
          <w:sz w:val="24"/>
          <w:szCs w:val="24"/>
          <w:lang w:eastAsia="cs-CZ"/>
        </w:rPr>
      </w:pPr>
      <w:r w:rsidRPr="006A755F">
        <w:rPr>
          <w:rFonts w:eastAsia="Times New Roman" w:cstheme="minorHAnsi"/>
          <w:i/>
          <w:sz w:val="24"/>
          <w:szCs w:val="24"/>
          <w:lang w:eastAsia="cs-CZ"/>
        </w:rPr>
        <w:t>127V0650 „Projekty financované z OPPIK (</w:t>
      </w:r>
      <w:proofErr w:type="gramStart"/>
      <w:r w:rsidRPr="006A755F">
        <w:rPr>
          <w:rFonts w:eastAsia="Times New Roman" w:cstheme="minorHAnsi"/>
          <w:i/>
          <w:sz w:val="24"/>
          <w:szCs w:val="24"/>
          <w:lang w:eastAsia="cs-CZ"/>
        </w:rPr>
        <w:t>2014 - 2020</w:t>
      </w:r>
      <w:proofErr w:type="gramEnd"/>
      <w:r w:rsidRPr="006A755F">
        <w:rPr>
          <w:rFonts w:eastAsia="Times New Roman" w:cstheme="minorHAnsi"/>
          <w:i/>
          <w:sz w:val="24"/>
          <w:szCs w:val="24"/>
          <w:lang w:eastAsia="cs-CZ"/>
        </w:rPr>
        <w:t>)“</w:t>
      </w:r>
    </w:p>
    <w:p w14:paraId="721EC903" w14:textId="7AE904A1" w:rsidR="007A7E7A" w:rsidRPr="00642EDC" w:rsidRDefault="007A7E7A" w:rsidP="007A7E7A">
      <w:pPr>
        <w:pStyle w:val="KOMtext"/>
        <w:rPr>
          <w:rFonts w:cstheme="minorHAnsi"/>
          <w:color w:val="FF0000"/>
          <w:szCs w:val="24"/>
        </w:rPr>
      </w:pPr>
      <w:r w:rsidRPr="006A755F">
        <w:rPr>
          <w:rFonts w:cstheme="minorHAnsi"/>
          <w:szCs w:val="24"/>
        </w:rPr>
        <w:lastRenderedPageBreak/>
        <w:t xml:space="preserve">V rámci </w:t>
      </w:r>
      <w:r>
        <w:rPr>
          <w:rFonts w:cstheme="minorHAnsi"/>
          <w:szCs w:val="24"/>
        </w:rPr>
        <w:t xml:space="preserve">tohoto </w:t>
      </w:r>
      <w:proofErr w:type="spellStart"/>
      <w:r>
        <w:rPr>
          <w:rFonts w:cstheme="minorHAnsi"/>
          <w:szCs w:val="24"/>
        </w:rPr>
        <w:t>subtitulu</w:t>
      </w:r>
      <w:proofErr w:type="spellEnd"/>
      <w:r>
        <w:rPr>
          <w:rFonts w:cstheme="minorHAnsi"/>
          <w:szCs w:val="24"/>
        </w:rPr>
        <w:t xml:space="preserve"> byly čerpány prostředky EU </w:t>
      </w:r>
      <w:r w:rsidRPr="00D62E01">
        <w:rPr>
          <w:rFonts w:cstheme="minorHAnsi"/>
          <w:i/>
          <w:iCs/>
          <w:szCs w:val="24"/>
        </w:rPr>
        <w:t>(investice</w:t>
      </w:r>
      <w:r>
        <w:rPr>
          <w:rFonts w:cstheme="minorHAnsi"/>
          <w:szCs w:val="24"/>
        </w:rPr>
        <w:t xml:space="preserve">) ve výši </w:t>
      </w:r>
      <w:r w:rsidRPr="006A755F">
        <w:rPr>
          <w:rFonts w:cstheme="minorHAnsi"/>
          <w:szCs w:val="24"/>
        </w:rPr>
        <w:t xml:space="preserve"> </w:t>
      </w:r>
      <w:r>
        <w:rPr>
          <w:rFonts w:cstheme="minorHAnsi"/>
          <w:szCs w:val="24"/>
        </w:rPr>
        <w:t xml:space="preserve"> </w:t>
      </w:r>
      <w:r w:rsidRPr="00D62E01">
        <w:rPr>
          <w:rFonts w:cstheme="minorHAnsi"/>
          <w:b/>
          <w:bCs/>
          <w:i/>
          <w:iCs/>
          <w:szCs w:val="24"/>
        </w:rPr>
        <w:t>428 810 tis. Kč</w:t>
      </w:r>
      <w:r>
        <w:rPr>
          <w:rFonts w:cstheme="minorHAnsi"/>
          <w:szCs w:val="24"/>
        </w:rPr>
        <w:t>, z toho nároky 136 569 tis. Kč</w:t>
      </w:r>
      <w:r w:rsidR="00226C2F">
        <w:rPr>
          <w:rFonts w:cstheme="minorHAnsi"/>
          <w:szCs w:val="24"/>
        </w:rPr>
        <w:t>,</w:t>
      </w:r>
      <w:r>
        <w:rPr>
          <w:rFonts w:cstheme="minorHAnsi"/>
          <w:szCs w:val="24"/>
        </w:rPr>
        <w:t xml:space="preserve"> prostředky EU (</w:t>
      </w:r>
      <w:proofErr w:type="spellStart"/>
      <w:r>
        <w:rPr>
          <w:rFonts w:cstheme="minorHAnsi"/>
          <w:szCs w:val="24"/>
        </w:rPr>
        <w:t>neinvestice</w:t>
      </w:r>
      <w:proofErr w:type="spellEnd"/>
      <w:r>
        <w:rPr>
          <w:rFonts w:cstheme="minorHAnsi"/>
          <w:szCs w:val="24"/>
        </w:rPr>
        <w:t xml:space="preserve">) ve výši </w:t>
      </w:r>
      <w:r w:rsidRPr="00E945E8">
        <w:rPr>
          <w:rFonts w:cstheme="minorHAnsi"/>
          <w:b/>
          <w:bCs/>
          <w:i/>
          <w:iCs/>
          <w:szCs w:val="24"/>
        </w:rPr>
        <w:t>505 tis. Kč</w:t>
      </w:r>
      <w:r>
        <w:rPr>
          <w:rFonts w:cstheme="minorHAnsi"/>
          <w:szCs w:val="24"/>
        </w:rPr>
        <w:t xml:space="preserve">, z toho nároky </w:t>
      </w:r>
      <w:r w:rsidR="00ED343A">
        <w:rPr>
          <w:rFonts w:cstheme="minorHAnsi"/>
          <w:szCs w:val="24"/>
        </w:rPr>
        <w:br/>
      </w:r>
      <w:r>
        <w:rPr>
          <w:rFonts w:cstheme="minorHAnsi"/>
          <w:szCs w:val="24"/>
        </w:rPr>
        <w:t>25 tis. Kč</w:t>
      </w:r>
      <w:r w:rsidRPr="0098158E">
        <w:rPr>
          <w:rFonts w:cstheme="minorHAnsi"/>
          <w:szCs w:val="24"/>
        </w:rPr>
        <w:t>.  Prostředky byly použity na realizaci projektu „ŘSD – Digitální technická mapa“.</w:t>
      </w:r>
      <w:r w:rsidRPr="0098158E">
        <w:t xml:space="preserve"> Projekt byl financován ex-post z prostředků Operačního programu podnikání a </w:t>
      </w:r>
      <w:r w:rsidRPr="0014700B">
        <w:rPr>
          <w:color w:val="000000" w:themeColor="text1"/>
        </w:rPr>
        <w:t>inovace pro konkurenceschopnost 2014+</w:t>
      </w:r>
      <w:r>
        <w:rPr>
          <w:color w:val="000000" w:themeColor="text1"/>
        </w:rPr>
        <w:t>.</w:t>
      </w:r>
    </w:p>
    <w:p w14:paraId="22126F4E" w14:textId="77777777" w:rsidR="007A7E7A" w:rsidRPr="006A755F" w:rsidRDefault="007A7E7A" w:rsidP="007A7E7A">
      <w:pPr>
        <w:numPr>
          <w:ilvl w:val="0"/>
          <w:numId w:val="14"/>
        </w:numPr>
        <w:suppressAutoHyphens/>
        <w:spacing w:before="240" w:after="120" w:line="240" w:lineRule="auto"/>
        <w:ind w:left="709" w:hanging="425"/>
        <w:jc w:val="both"/>
        <w:rPr>
          <w:rFonts w:eastAsia="Times New Roman" w:cstheme="minorHAnsi"/>
          <w:sz w:val="24"/>
          <w:szCs w:val="24"/>
          <w:lang w:eastAsia="cs-CZ"/>
        </w:rPr>
      </w:pPr>
      <w:r w:rsidRPr="006A755F">
        <w:rPr>
          <w:rFonts w:eastAsia="Times New Roman" w:cstheme="minorHAnsi"/>
          <w:i/>
          <w:sz w:val="24"/>
          <w:szCs w:val="24"/>
          <w:lang w:eastAsia="cs-CZ"/>
        </w:rPr>
        <w:t xml:space="preserve">127D0690 „Rozvoj a obnova MTZ SFDI“ </w:t>
      </w:r>
    </w:p>
    <w:p w14:paraId="3844B683" w14:textId="77777777" w:rsidR="007A7E7A" w:rsidRDefault="007A7E7A" w:rsidP="007A7E7A">
      <w:pPr>
        <w:pStyle w:val="KOMtext"/>
        <w:rPr>
          <w:rFonts w:cstheme="minorHAnsi"/>
        </w:rPr>
      </w:pPr>
      <w:r w:rsidRPr="006A755F">
        <w:rPr>
          <w:rFonts w:cstheme="minorHAnsi"/>
        </w:rPr>
        <w:t xml:space="preserve">V rámci tohoto </w:t>
      </w:r>
      <w:proofErr w:type="spellStart"/>
      <w:r w:rsidRPr="006A755F">
        <w:rPr>
          <w:rFonts w:cstheme="minorHAnsi"/>
        </w:rPr>
        <w:t>subtitulu</w:t>
      </w:r>
      <w:proofErr w:type="spellEnd"/>
      <w:r>
        <w:rPr>
          <w:rFonts w:cstheme="minorHAnsi"/>
        </w:rPr>
        <w:t xml:space="preserve"> nebyly v roce 2023 čerpány žádné prostředky.</w:t>
      </w:r>
      <w:r w:rsidRPr="006A755F">
        <w:rPr>
          <w:rFonts w:cstheme="minorHAnsi"/>
        </w:rPr>
        <w:t xml:space="preserve"> </w:t>
      </w:r>
    </w:p>
    <w:p w14:paraId="6317DED2" w14:textId="77777777" w:rsidR="00DF1B96" w:rsidRPr="00DF1B96" w:rsidRDefault="00DF1B96" w:rsidP="00DF1B96">
      <w:pPr>
        <w:keepLines/>
        <w:spacing w:before="120" w:after="120" w:line="276" w:lineRule="auto"/>
        <w:jc w:val="both"/>
        <w:rPr>
          <w:rFonts w:ascii="Times New Roman" w:eastAsia="Times New Roman" w:hAnsi="Times New Roman" w:cs="Times New Roman"/>
          <w:color w:val="FF0000"/>
          <w:sz w:val="24"/>
          <w:szCs w:val="20"/>
          <w:lang w:eastAsia="cs-CZ"/>
        </w:rPr>
      </w:pPr>
      <w:r w:rsidRPr="00DF1B96">
        <w:rPr>
          <w:noProof/>
          <w:lang w:eastAsia="cs-CZ"/>
        </w:rPr>
        <w:drawing>
          <wp:inline distT="0" distB="0" distL="0" distR="0" wp14:anchorId="22811C09" wp14:editId="4E1D3DFD">
            <wp:extent cx="5638800" cy="981075"/>
            <wp:effectExtent l="19050" t="19050" r="57150" b="28575"/>
            <wp:docPr id="59" name="Diagram 5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25CC1CFF" w14:textId="77777777" w:rsidR="00DF1B96" w:rsidRPr="00DF1B96" w:rsidRDefault="00DF1B96" w:rsidP="00DF1B96">
      <w:pPr>
        <w:keepLines/>
        <w:spacing w:before="120" w:after="120" w:line="276" w:lineRule="auto"/>
        <w:jc w:val="both"/>
        <w:rPr>
          <w:rFonts w:eastAsia="Times New Roman" w:cstheme="minorHAnsi"/>
          <w:lang w:eastAsia="cs-CZ"/>
        </w:rPr>
      </w:pPr>
      <w:r w:rsidRPr="00DF1B96">
        <w:rPr>
          <w:rFonts w:eastAsia="Times New Roman" w:cstheme="minorHAnsi"/>
          <w:noProof/>
          <w:lang w:eastAsia="cs-CZ"/>
        </w:rPr>
        <w:drawing>
          <wp:inline distT="0" distB="0" distL="0" distR="0" wp14:anchorId="52E00001" wp14:editId="766D122F">
            <wp:extent cx="5353050" cy="1314450"/>
            <wp:effectExtent l="0" t="19050" r="0" b="38100"/>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14:paraId="602FE2DB" w14:textId="329B97B7" w:rsidR="00256507" w:rsidRPr="00256507" w:rsidRDefault="00FB63EC" w:rsidP="00ED343A">
      <w:pPr>
        <w:pStyle w:val="KOMtext"/>
        <w:rPr>
          <w:color w:val="FF0000"/>
        </w:rPr>
      </w:pPr>
      <w:r w:rsidRPr="00256507">
        <w:t xml:space="preserve">Při porovnání skutečností za roky </w:t>
      </w:r>
      <w:r w:rsidR="00256507" w:rsidRPr="00256507">
        <w:t>2023</w:t>
      </w:r>
      <w:r w:rsidRPr="00256507">
        <w:t xml:space="preserve"> a </w:t>
      </w:r>
      <w:r w:rsidR="00256507" w:rsidRPr="00256507">
        <w:t>2022</w:t>
      </w:r>
      <w:r w:rsidRPr="00256507">
        <w:t xml:space="preserve"> u prostředků SR (</w:t>
      </w:r>
      <w:proofErr w:type="spellStart"/>
      <w:r w:rsidRPr="00256507">
        <w:t>subtitulu</w:t>
      </w:r>
      <w:proofErr w:type="spellEnd"/>
      <w:r w:rsidRPr="00256507">
        <w:t xml:space="preserve"> 127D0630 „Rozvoj </w:t>
      </w:r>
      <w:r w:rsidRPr="00256507">
        <w:br/>
        <w:t>a obnova MZT Centra služeb pro silniční dopravu “)</w:t>
      </w:r>
      <w:r w:rsidRPr="00256507">
        <w:rPr>
          <w:color w:val="FF0000"/>
        </w:rPr>
        <w:t xml:space="preserve"> </w:t>
      </w:r>
      <w:r w:rsidRPr="00256507">
        <w:t xml:space="preserve">dosáhlo čerpání </w:t>
      </w:r>
      <w:r w:rsidR="00256507" w:rsidRPr="00256507">
        <w:t>101</w:t>
      </w:r>
      <w:r w:rsidRPr="00256507">
        <w:t xml:space="preserve">,1 % úrovně roku </w:t>
      </w:r>
      <w:r w:rsidR="00256507" w:rsidRPr="00256507">
        <w:t>2022</w:t>
      </w:r>
      <w:r w:rsidRPr="00256507">
        <w:t xml:space="preserve">. Program 127 06 byl zahájen v roce 2016. V daném roce byly v rámci tohoto programu připraveny akce v rámci </w:t>
      </w:r>
      <w:proofErr w:type="spellStart"/>
      <w:r w:rsidRPr="00256507">
        <w:t>subtitulu</w:t>
      </w:r>
      <w:proofErr w:type="spellEnd"/>
      <w:r w:rsidRPr="00256507">
        <w:t xml:space="preserve"> 127V0640 „Rozvoj a obnova MTZ Ředitelství silnic </w:t>
      </w:r>
      <w:r w:rsidRPr="00256507">
        <w:br/>
        <w:t xml:space="preserve">a dálnic ČR“, proběhla výběrová řízení a začala vlastní realizace. Jednalo se pořízení a obnovu dopravních prostředků mechanizace pro zajištění údržby dálnic a silnic I. třídy. Prostředky byly čerpány následně v letech 2017 a 2018. V roce 2019 došlo k přehodnocení cílů programu, došlo k zařazení nových akcí (od roku 2020-2022) do </w:t>
      </w:r>
      <w:proofErr w:type="spellStart"/>
      <w:r w:rsidRPr="00256507">
        <w:t>subtitulu</w:t>
      </w:r>
      <w:proofErr w:type="spellEnd"/>
      <w:r w:rsidRPr="00256507">
        <w:t xml:space="preserve"> 127V0630 „Rozvoj a obnova MTZ Centra služeb pro silniční dopravu“. Tyto akce souvisely se zajištěním celorepublikové kampaně v oblasti bezpečnosti silničního provozu, pořízení mobilních vah a jízdní soupravy </w:t>
      </w:r>
      <w:r w:rsidR="00256507" w:rsidRPr="00256507">
        <w:br/>
        <w:t xml:space="preserve">pro výcvik zkušebních komisařů. V rámci daného </w:t>
      </w:r>
      <w:proofErr w:type="spellStart"/>
      <w:r w:rsidR="00256507" w:rsidRPr="00256507">
        <w:t>subtitulu</w:t>
      </w:r>
      <w:proofErr w:type="spellEnd"/>
      <w:r w:rsidR="00256507" w:rsidRPr="00256507">
        <w:t xml:space="preserve"> byly čerpány prostředky od roku 2021 do roku 2023. Daný </w:t>
      </w:r>
      <w:proofErr w:type="spellStart"/>
      <w:r w:rsidR="00256507" w:rsidRPr="00256507">
        <w:t>subtitul</w:t>
      </w:r>
      <w:proofErr w:type="spellEnd"/>
      <w:r w:rsidR="00256507" w:rsidRPr="00256507">
        <w:t xml:space="preserve"> byl v roce 2023 ukončen. </w:t>
      </w:r>
    </w:p>
    <w:p w14:paraId="281EDCA1" w14:textId="16181AA7" w:rsidR="00256507" w:rsidRPr="00256507" w:rsidRDefault="00256507" w:rsidP="00ED343A">
      <w:pPr>
        <w:pStyle w:val="KOMtext"/>
        <w:rPr>
          <w:rFonts w:cstheme="minorHAnsi"/>
          <w:color w:val="FF0000"/>
        </w:rPr>
      </w:pPr>
      <w:r w:rsidRPr="00256507">
        <w:rPr>
          <w:rFonts w:cstheme="minorHAnsi"/>
        </w:rPr>
        <w:t>Porovnání skutečností za roky 2023 a 2022 u prostředků EU nemá vypovídající schopnost</w:t>
      </w:r>
      <w:r w:rsidRPr="00256507">
        <w:t xml:space="preserve">, neboť do roku 2022 byly čerpány prostředky v rámci </w:t>
      </w:r>
      <w:proofErr w:type="spellStart"/>
      <w:r w:rsidRPr="00256507">
        <w:t>subtitulu</w:t>
      </w:r>
      <w:proofErr w:type="spellEnd"/>
      <w:r w:rsidRPr="00256507">
        <w:t xml:space="preserve"> 127D0690 „Rozvoj a obnova MTZ SFDI“ a v roce 2023 byly čerpány prostředky v rámci </w:t>
      </w:r>
      <w:proofErr w:type="spellStart"/>
      <w:r w:rsidRPr="00256507">
        <w:t>subtitulu</w:t>
      </w:r>
      <w:proofErr w:type="spellEnd"/>
      <w:r w:rsidRPr="00256507">
        <w:t xml:space="preserve"> 127V0650</w:t>
      </w:r>
      <w:r w:rsidRPr="00256507">
        <w:rPr>
          <w:rFonts w:cstheme="minorHAnsi"/>
          <w:szCs w:val="24"/>
        </w:rPr>
        <w:t xml:space="preserve"> „Projekty financované z OPPIK (</w:t>
      </w:r>
      <w:proofErr w:type="gramStart"/>
      <w:r w:rsidRPr="00256507">
        <w:rPr>
          <w:rFonts w:cstheme="minorHAnsi"/>
          <w:szCs w:val="24"/>
        </w:rPr>
        <w:t>2014 - 2020</w:t>
      </w:r>
      <w:proofErr w:type="gramEnd"/>
      <w:r w:rsidRPr="00256507">
        <w:rPr>
          <w:rFonts w:cstheme="minorHAnsi"/>
          <w:szCs w:val="24"/>
        </w:rPr>
        <w:t xml:space="preserve">)“. Akce v rámci </w:t>
      </w:r>
      <w:proofErr w:type="spellStart"/>
      <w:r w:rsidRPr="00256507">
        <w:rPr>
          <w:rFonts w:cstheme="minorHAnsi"/>
          <w:szCs w:val="24"/>
        </w:rPr>
        <w:t>subtitulu</w:t>
      </w:r>
      <w:proofErr w:type="spellEnd"/>
      <w:r w:rsidRPr="00256507">
        <w:rPr>
          <w:rFonts w:cstheme="minorHAnsi"/>
          <w:szCs w:val="24"/>
        </w:rPr>
        <w:t xml:space="preserve"> 127D0690 „Rozvoj a obnova MTZ SFDI, které jsou financovány ex-post z prostředků Operačního programu Doprava 2014+ (Technická pomoc) budou dofinancovány v roce 2024. Projekt „ŘSD ČR – Digitální technická mapa“ byl dofinancován v roce 2023. </w:t>
      </w:r>
    </w:p>
    <w:p w14:paraId="7AA1058E" w14:textId="77777777" w:rsidR="00191003" w:rsidRPr="00191003" w:rsidRDefault="00191003" w:rsidP="00191003">
      <w:pPr>
        <w:keepLines/>
        <w:spacing w:before="240" w:after="240" w:line="276" w:lineRule="auto"/>
        <w:jc w:val="both"/>
        <w:rPr>
          <w:rFonts w:eastAsia="Times New Roman" w:cstheme="minorHAnsi"/>
          <w:b/>
          <w:bCs/>
          <w:i/>
          <w:sz w:val="24"/>
          <w:szCs w:val="20"/>
          <w:lang w:eastAsia="ar-SA"/>
        </w:rPr>
      </w:pPr>
      <w:r w:rsidRPr="00191003">
        <w:rPr>
          <w:rFonts w:eastAsia="Times New Roman" w:cstheme="minorHAnsi"/>
          <w:b/>
          <w:bCs/>
          <w:i/>
          <w:sz w:val="24"/>
          <w:szCs w:val="20"/>
          <w:lang w:eastAsia="ar-SA"/>
        </w:rPr>
        <w:lastRenderedPageBreak/>
        <w:t>Skutečné čerpání za rok 2023:</w:t>
      </w:r>
      <w:r w:rsidRPr="00191003">
        <w:rPr>
          <w:rFonts w:eastAsia="Times New Roman" w:cstheme="minorHAnsi"/>
          <w:b/>
          <w:bCs/>
          <w:i/>
          <w:sz w:val="24"/>
          <w:szCs w:val="20"/>
          <w:lang w:eastAsia="ar-SA"/>
        </w:rPr>
        <w:tab/>
      </w:r>
    </w:p>
    <w:tbl>
      <w:tblPr>
        <w:tblW w:w="0" w:type="auto"/>
        <w:tblLayout w:type="fixed"/>
        <w:tblCellMar>
          <w:left w:w="70" w:type="dxa"/>
          <w:right w:w="70" w:type="dxa"/>
        </w:tblCellMar>
        <w:tblLook w:val="0000" w:firstRow="0" w:lastRow="0" w:firstColumn="0" w:lastColumn="0" w:noHBand="0" w:noVBand="0"/>
      </w:tblPr>
      <w:tblGrid>
        <w:gridCol w:w="7270"/>
        <w:gridCol w:w="1911"/>
      </w:tblGrid>
      <w:tr w:rsidR="00191003" w:rsidRPr="00191003" w14:paraId="5B8367DE" w14:textId="77777777" w:rsidTr="00190991">
        <w:trPr>
          <w:trHeight w:val="626"/>
        </w:trPr>
        <w:tc>
          <w:tcPr>
            <w:tcW w:w="7270" w:type="dxa"/>
          </w:tcPr>
          <w:p w14:paraId="0E5F2109" w14:textId="77777777" w:rsidR="00191003" w:rsidRPr="00191003" w:rsidRDefault="00191003" w:rsidP="00191003">
            <w:pPr>
              <w:numPr>
                <w:ilvl w:val="0"/>
                <w:numId w:val="16"/>
              </w:numPr>
              <w:tabs>
                <w:tab w:val="left" w:pos="283"/>
              </w:tabs>
              <w:suppressAutoHyphens/>
              <w:snapToGrid w:val="0"/>
              <w:spacing w:after="0" w:line="240" w:lineRule="auto"/>
              <w:ind w:left="283"/>
              <w:rPr>
                <w:rFonts w:eastAsia="Times New Roman" w:cstheme="minorHAnsi"/>
                <w:b/>
                <w:i/>
                <w:sz w:val="24"/>
                <w:szCs w:val="24"/>
                <w:lang w:eastAsia="ar-SA"/>
              </w:rPr>
            </w:pPr>
            <w:r w:rsidRPr="00191003">
              <w:rPr>
                <w:rFonts w:eastAsia="Times New Roman" w:cstheme="minorHAnsi"/>
                <w:b/>
                <w:i/>
                <w:sz w:val="24"/>
                <w:szCs w:val="24"/>
                <w:lang w:eastAsia="ar-SA"/>
              </w:rPr>
              <w:t>ze státního rozpočtu (investiční dotace z fondů EU)</w:t>
            </w:r>
            <w:r w:rsidRPr="00191003">
              <w:rPr>
                <w:rFonts w:eastAsia="Times New Roman" w:cstheme="minorHAnsi"/>
                <w:b/>
                <w:i/>
                <w:sz w:val="24"/>
                <w:szCs w:val="24"/>
                <w:vertAlign w:val="superscript"/>
                <w:lang w:eastAsia="ar-SA"/>
              </w:rPr>
              <w:t xml:space="preserve"> </w:t>
            </w:r>
            <w:r w:rsidRPr="00191003">
              <w:rPr>
                <w:rFonts w:eastAsia="Times New Roman" w:cstheme="minorHAnsi"/>
                <w:i/>
                <w:sz w:val="24"/>
                <w:szCs w:val="24"/>
                <w:vertAlign w:val="superscript"/>
                <w:lang w:eastAsia="cs-CZ"/>
              </w:rPr>
              <w:t>x</w:t>
            </w:r>
            <w:r w:rsidRPr="00191003">
              <w:rPr>
                <w:rFonts w:eastAsia="Times New Roman" w:cstheme="minorHAnsi"/>
                <w:i/>
                <w:sz w:val="24"/>
                <w:szCs w:val="24"/>
                <w:lang w:eastAsia="cs-CZ"/>
              </w:rPr>
              <w:t>)</w:t>
            </w:r>
          </w:p>
          <w:p w14:paraId="728300E7" w14:textId="77777777" w:rsidR="00191003" w:rsidRPr="00191003" w:rsidRDefault="00191003" w:rsidP="00191003">
            <w:pPr>
              <w:numPr>
                <w:ilvl w:val="0"/>
                <w:numId w:val="16"/>
              </w:numPr>
              <w:tabs>
                <w:tab w:val="left" w:pos="283"/>
              </w:tabs>
              <w:suppressAutoHyphens/>
              <w:snapToGrid w:val="0"/>
              <w:spacing w:after="0" w:line="240" w:lineRule="auto"/>
              <w:ind w:left="283"/>
              <w:rPr>
                <w:rFonts w:eastAsia="Times New Roman" w:cstheme="minorHAnsi"/>
                <w:i/>
                <w:sz w:val="24"/>
                <w:szCs w:val="24"/>
                <w:lang w:eastAsia="ar-SA"/>
              </w:rPr>
            </w:pPr>
            <w:r w:rsidRPr="00191003">
              <w:rPr>
                <w:rFonts w:eastAsia="Times New Roman" w:cstheme="minorHAnsi"/>
                <w:b/>
                <w:i/>
                <w:sz w:val="24"/>
                <w:szCs w:val="24"/>
                <w:lang w:eastAsia="ar-SA"/>
              </w:rPr>
              <w:t>ze státního rozpočtu (systémová dotace investiční)</w:t>
            </w:r>
            <w:r w:rsidRPr="00191003">
              <w:rPr>
                <w:rFonts w:eastAsia="Times New Roman" w:cstheme="minorHAnsi"/>
                <w:i/>
                <w:sz w:val="24"/>
                <w:szCs w:val="24"/>
                <w:vertAlign w:val="superscript"/>
                <w:lang w:eastAsia="cs-CZ"/>
              </w:rPr>
              <w:t xml:space="preserve"> x</w:t>
            </w:r>
            <w:r w:rsidRPr="00191003">
              <w:rPr>
                <w:rFonts w:eastAsia="Times New Roman" w:cstheme="minorHAnsi"/>
                <w:i/>
                <w:sz w:val="24"/>
                <w:szCs w:val="24"/>
                <w:lang w:eastAsia="cs-CZ"/>
              </w:rPr>
              <w:t>)</w:t>
            </w:r>
          </w:p>
          <w:p w14:paraId="26C68552" w14:textId="77777777" w:rsidR="00191003" w:rsidRPr="00191003" w:rsidRDefault="00191003" w:rsidP="00191003">
            <w:pPr>
              <w:numPr>
                <w:ilvl w:val="0"/>
                <w:numId w:val="16"/>
              </w:numPr>
              <w:tabs>
                <w:tab w:val="left" w:pos="283"/>
              </w:tabs>
              <w:suppressAutoHyphens/>
              <w:snapToGrid w:val="0"/>
              <w:spacing w:after="0" w:line="240" w:lineRule="auto"/>
              <w:ind w:left="283"/>
              <w:rPr>
                <w:rFonts w:eastAsia="Times New Roman" w:cstheme="minorHAnsi"/>
                <w:i/>
                <w:sz w:val="24"/>
                <w:szCs w:val="24"/>
                <w:lang w:eastAsia="ar-SA"/>
              </w:rPr>
            </w:pPr>
            <w:r w:rsidRPr="00191003">
              <w:rPr>
                <w:rFonts w:eastAsia="Times New Roman" w:cstheme="minorHAnsi"/>
                <w:b/>
                <w:i/>
                <w:sz w:val="24"/>
                <w:szCs w:val="24"/>
                <w:lang w:eastAsia="ar-SA"/>
              </w:rPr>
              <w:t xml:space="preserve">ze státního rozpočtu (neinvestiční dotace z fondů EU) </w:t>
            </w:r>
            <w:r w:rsidRPr="00191003">
              <w:rPr>
                <w:rFonts w:eastAsia="Times New Roman" w:cstheme="minorHAnsi"/>
                <w:i/>
                <w:sz w:val="24"/>
                <w:szCs w:val="24"/>
                <w:vertAlign w:val="superscript"/>
                <w:lang w:eastAsia="cs-CZ"/>
              </w:rPr>
              <w:t>x</w:t>
            </w:r>
            <w:r w:rsidRPr="00191003">
              <w:rPr>
                <w:rFonts w:eastAsia="Times New Roman" w:cstheme="minorHAnsi"/>
                <w:i/>
                <w:sz w:val="24"/>
                <w:szCs w:val="24"/>
                <w:lang w:eastAsia="cs-CZ"/>
              </w:rPr>
              <w:t>)</w:t>
            </w:r>
          </w:p>
        </w:tc>
        <w:tc>
          <w:tcPr>
            <w:tcW w:w="1911" w:type="dxa"/>
          </w:tcPr>
          <w:p w14:paraId="28F567BE" w14:textId="77777777" w:rsidR="00191003" w:rsidRPr="00191003" w:rsidRDefault="00191003" w:rsidP="00191003">
            <w:pPr>
              <w:snapToGrid w:val="0"/>
              <w:spacing w:after="0" w:line="240" w:lineRule="auto"/>
              <w:jc w:val="right"/>
              <w:rPr>
                <w:rFonts w:eastAsia="Times New Roman" w:cstheme="minorHAnsi"/>
                <w:b/>
                <w:bCs/>
                <w:i/>
                <w:sz w:val="24"/>
                <w:szCs w:val="24"/>
                <w:lang w:eastAsia="ar-SA"/>
              </w:rPr>
            </w:pPr>
            <w:r w:rsidRPr="00191003">
              <w:rPr>
                <w:rFonts w:eastAsia="Times New Roman" w:cstheme="minorHAnsi"/>
                <w:b/>
                <w:bCs/>
                <w:i/>
                <w:sz w:val="24"/>
                <w:szCs w:val="24"/>
                <w:lang w:eastAsia="ar-SA"/>
              </w:rPr>
              <w:t>428 810 tis. Kč</w:t>
            </w:r>
          </w:p>
          <w:p w14:paraId="6999AC67" w14:textId="77777777" w:rsidR="00191003" w:rsidRPr="00191003" w:rsidRDefault="00191003" w:rsidP="00191003">
            <w:pPr>
              <w:spacing w:after="0" w:line="240" w:lineRule="auto"/>
              <w:jc w:val="right"/>
              <w:rPr>
                <w:rFonts w:eastAsia="Times New Roman" w:cstheme="minorHAnsi"/>
                <w:b/>
                <w:bCs/>
                <w:i/>
                <w:sz w:val="24"/>
                <w:szCs w:val="24"/>
                <w:lang w:eastAsia="ar-SA"/>
              </w:rPr>
            </w:pPr>
            <w:r w:rsidRPr="00191003">
              <w:rPr>
                <w:rFonts w:eastAsia="Times New Roman" w:cstheme="minorHAnsi"/>
                <w:b/>
                <w:bCs/>
                <w:i/>
                <w:sz w:val="24"/>
                <w:szCs w:val="24"/>
                <w:lang w:eastAsia="ar-SA"/>
              </w:rPr>
              <w:t>4 727 tis. Kč</w:t>
            </w:r>
          </w:p>
          <w:p w14:paraId="4777D717" w14:textId="77777777" w:rsidR="00191003" w:rsidRPr="00191003" w:rsidRDefault="00191003" w:rsidP="00191003">
            <w:pPr>
              <w:spacing w:after="0" w:line="240" w:lineRule="auto"/>
              <w:jc w:val="right"/>
              <w:rPr>
                <w:rFonts w:eastAsia="Times New Roman" w:cstheme="minorHAnsi"/>
                <w:bCs/>
                <w:i/>
                <w:sz w:val="24"/>
                <w:szCs w:val="24"/>
                <w:lang w:eastAsia="ar-SA"/>
              </w:rPr>
            </w:pPr>
            <w:r w:rsidRPr="00191003">
              <w:rPr>
                <w:rFonts w:eastAsia="Times New Roman" w:cstheme="minorHAnsi"/>
                <w:b/>
                <w:bCs/>
                <w:i/>
                <w:sz w:val="24"/>
                <w:szCs w:val="24"/>
                <w:lang w:eastAsia="ar-SA"/>
              </w:rPr>
              <w:t>505 tis. Kč</w:t>
            </w:r>
          </w:p>
        </w:tc>
      </w:tr>
    </w:tbl>
    <w:p w14:paraId="5B3499AC" w14:textId="77777777" w:rsidR="00191003" w:rsidRPr="00191003" w:rsidRDefault="00191003" w:rsidP="00191003">
      <w:pPr>
        <w:keepLines/>
        <w:spacing w:before="120" w:after="0" w:line="276" w:lineRule="auto"/>
        <w:jc w:val="both"/>
        <w:rPr>
          <w:rFonts w:eastAsia="Times New Roman" w:cstheme="minorHAnsi"/>
          <w:sz w:val="20"/>
          <w:szCs w:val="20"/>
          <w:lang w:eastAsia="cs-CZ"/>
        </w:rPr>
      </w:pPr>
      <w:r w:rsidRPr="00191003">
        <w:rPr>
          <w:rFonts w:eastAsia="Times New Roman" w:cstheme="minorHAnsi"/>
          <w:i/>
          <w:vertAlign w:val="superscript"/>
          <w:lang w:eastAsia="cs-CZ"/>
        </w:rPr>
        <w:t>x</w:t>
      </w:r>
      <w:r w:rsidRPr="00191003">
        <w:rPr>
          <w:rFonts w:eastAsia="Times New Roman" w:cstheme="minorHAnsi"/>
          <w:i/>
          <w:sz w:val="20"/>
          <w:szCs w:val="20"/>
          <w:lang w:eastAsia="cs-CZ"/>
        </w:rPr>
        <w:t>)</w:t>
      </w:r>
      <w:r w:rsidRPr="00191003">
        <w:rPr>
          <w:rFonts w:eastAsia="Times New Roman" w:cstheme="minorHAnsi"/>
          <w:sz w:val="20"/>
          <w:szCs w:val="20"/>
          <w:lang w:eastAsia="cs-CZ"/>
        </w:rPr>
        <w:t xml:space="preserve"> z toho: </w:t>
      </w:r>
    </w:p>
    <w:p w14:paraId="0BF83627" w14:textId="77777777" w:rsidR="00191003" w:rsidRPr="00191003" w:rsidRDefault="00191003" w:rsidP="00191003">
      <w:pPr>
        <w:keepLines/>
        <w:spacing w:after="0" w:line="276" w:lineRule="auto"/>
        <w:ind w:left="284"/>
        <w:jc w:val="both"/>
        <w:rPr>
          <w:rFonts w:eastAsia="Times New Roman" w:cstheme="minorHAnsi"/>
          <w:sz w:val="20"/>
          <w:szCs w:val="20"/>
          <w:lang w:eastAsia="cs-CZ"/>
        </w:rPr>
      </w:pPr>
      <w:r w:rsidRPr="00191003">
        <w:rPr>
          <w:rFonts w:eastAsia="Times New Roman" w:cstheme="minorHAnsi"/>
          <w:sz w:val="20"/>
          <w:szCs w:val="20"/>
          <w:lang w:eastAsia="cs-CZ"/>
        </w:rPr>
        <w:t>nároky ve výši 136 569 tis. Kč (investiční dotace z fondů EU)</w:t>
      </w:r>
    </w:p>
    <w:p w14:paraId="4C422167" w14:textId="77777777" w:rsidR="00191003" w:rsidRPr="00191003" w:rsidRDefault="00191003" w:rsidP="00191003">
      <w:pPr>
        <w:keepLines/>
        <w:spacing w:after="0" w:line="276" w:lineRule="auto"/>
        <w:ind w:left="284"/>
        <w:jc w:val="both"/>
        <w:rPr>
          <w:rFonts w:eastAsia="Times New Roman" w:cstheme="minorHAnsi"/>
          <w:lang w:eastAsia="cs-CZ"/>
        </w:rPr>
      </w:pPr>
      <w:r w:rsidRPr="00191003">
        <w:rPr>
          <w:rFonts w:eastAsia="Times New Roman" w:cstheme="minorHAnsi"/>
          <w:sz w:val="20"/>
          <w:szCs w:val="20"/>
          <w:lang w:eastAsia="cs-CZ"/>
        </w:rPr>
        <w:t>nároky ve výši 4 727 tis. Kč (systémová dotace investiční)</w:t>
      </w:r>
    </w:p>
    <w:p w14:paraId="20083ED7" w14:textId="77777777" w:rsidR="00191003" w:rsidRPr="00191003" w:rsidRDefault="00191003" w:rsidP="00191003">
      <w:pPr>
        <w:keepLines/>
        <w:spacing w:after="0" w:line="276" w:lineRule="auto"/>
        <w:ind w:left="284"/>
        <w:jc w:val="both"/>
        <w:rPr>
          <w:rFonts w:eastAsia="Times New Roman" w:cstheme="minorHAnsi"/>
          <w:lang w:eastAsia="cs-CZ"/>
        </w:rPr>
      </w:pPr>
      <w:r w:rsidRPr="00191003">
        <w:rPr>
          <w:rFonts w:eastAsia="Times New Roman" w:cstheme="minorHAnsi"/>
          <w:sz w:val="20"/>
          <w:szCs w:val="20"/>
          <w:lang w:eastAsia="cs-CZ"/>
        </w:rPr>
        <w:t>nároky ve výši 25 tis. Kč (neinvestiční dotace z fondů EU)</w:t>
      </w:r>
    </w:p>
    <w:p w14:paraId="09DBA9CB" w14:textId="0F7962B8" w:rsidR="00A17419" w:rsidRPr="006B6D61" w:rsidRDefault="00A17419" w:rsidP="008A0E44">
      <w:pPr>
        <w:pStyle w:val="KOMnadp4"/>
        <w:rPr>
          <w:lang w:eastAsia="ar-SA"/>
        </w:rPr>
      </w:pPr>
      <w:r w:rsidRPr="006B6D61">
        <w:rPr>
          <w:lang w:eastAsia="ar-SA"/>
        </w:rPr>
        <w:t>127 07 Rozvoj a obnova materiálně</w:t>
      </w:r>
      <w:r w:rsidR="001A0C7E" w:rsidRPr="006B6D61">
        <w:rPr>
          <w:lang w:eastAsia="ar-SA"/>
        </w:rPr>
        <w:t xml:space="preserve"> </w:t>
      </w:r>
      <w:r w:rsidRPr="006B6D61">
        <w:rPr>
          <w:lang w:eastAsia="ar-SA"/>
        </w:rPr>
        <w:t>technické základny (MTZ) systému řízení MD – OSS</w:t>
      </w:r>
    </w:p>
    <w:p w14:paraId="195E855F" w14:textId="77777777" w:rsidR="00097694" w:rsidRPr="006B6D61" w:rsidRDefault="00097694" w:rsidP="003F0A7C">
      <w:pPr>
        <w:pStyle w:val="KOMtext"/>
      </w:pPr>
      <w:r w:rsidRPr="006B6D61">
        <w:t xml:space="preserve">Cílem tohoto programu je zabezpečení obnovy dlouhodobého majetku Ministerstva dopravy </w:t>
      </w:r>
      <w:r w:rsidRPr="006B6D61">
        <w:br/>
        <w:t xml:space="preserve">a organizací systému řízení </w:t>
      </w:r>
      <w:proofErr w:type="gramStart"/>
      <w:r w:rsidRPr="006B6D61">
        <w:t>rezortu</w:t>
      </w:r>
      <w:proofErr w:type="gramEnd"/>
      <w:r w:rsidRPr="006B6D61">
        <w:t xml:space="preserve"> dopravy. Součástí programu jsou především investiční projekty na obnovu informačních technologií, výpočetní techniky, obnovu vozových parků, pořízení strojů, přístrojů či měřících zařízení, rozmnožovacích a kopírovacích strojů, a také o neinvestiční prostředky určené na provozování ICT organizačních složek státu: ústřední orgán MD, Drážní úřad, Úřad pro civilní letectví, Státní plavební správa, Ředitelství vodních cest ČR, Drážní inspekce, Ústav pro odborné zjišťování příčin leteckých nehod.</w:t>
      </w:r>
    </w:p>
    <w:p w14:paraId="5A2F3A64" w14:textId="77777777" w:rsidR="00097694" w:rsidRPr="006B6D61" w:rsidRDefault="00097694" w:rsidP="003F0A7C">
      <w:pPr>
        <w:pStyle w:val="KOMtext"/>
      </w:pPr>
      <w:r w:rsidRPr="006B6D61">
        <w:t xml:space="preserve">Kancelářskou techniku, specifické stroje a zařízení nutné k zabezpečení jednotlivých činností </w:t>
      </w:r>
      <w:proofErr w:type="gramStart"/>
      <w:r w:rsidRPr="006B6D61">
        <w:t>rezortu</w:t>
      </w:r>
      <w:proofErr w:type="gramEnd"/>
      <w:r w:rsidRPr="006B6D61">
        <w:t xml:space="preserve"> Ministerstva dopravy je nezbytné obnovovat tak, aby se předcházelo jejich morálnímu zastarávání a následné četné poruchovosti. U stavebních akcí jde z hlediska věcného především o rekonstrukce, technické zhodnocení budov a zabezpečení objektů. </w:t>
      </w:r>
    </w:p>
    <w:p w14:paraId="60E006F6" w14:textId="3ECCE8A3" w:rsidR="00097694" w:rsidRPr="006B6D61" w:rsidRDefault="00097694" w:rsidP="003F0A7C">
      <w:pPr>
        <w:pStyle w:val="KOMtext"/>
      </w:pPr>
      <w:r w:rsidRPr="006B6D61">
        <w:t xml:space="preserve">Program 127 07 „Rozvoj a obnova materiálně-technické základny systému řízení </w:t>
      </w:r>
      <w:proofErr w:type="gramStart"/>
      <w:r w:rsidRPr="006B6D61">
        <w:t>MD - OSS</w:t>
      </w:r>
      <w:proofErr w:type="gramEnd"/>
      <w:r w:rsidRPr="006B6D61">
        <w:t>“ navazuje svým zaměřením (cíli) a strukturou na program 127 03 „Rozvoj a obnova materiálně technické základny systému řízení MD - OSS“.</w:t>
      </w:r>
    </w:p>
    <w:p w14:paraId="0D77F625" w14:textId="6D50980B" w:rsidR="00097694" w:rsidRPr="006B6D61" w:rsidRDefault="00097694" w:rsidP="003F0A7C">
      <w:pPr>
        <w:pStyle w:val="KOMtext"/>
      </w:pPr>
      <w:r w:rsidRPr="006B6D61">
        <w:t>Program byl zahájen v roce 2021 pouze v </w:t>
      </w:r>
      <w:proofErr w:type="spellStart"/>
      <w:r w:rsidRPr="006B6D61">
        <w:t>subtitulu</w:t>
      </w:r>
      <w:proofErr w:type="spellEnd"/>
      <w:r w:rsidRPr="006B6D61">
        <w:t xml:space="preserve"> ICT 127V0710 „Pořizování, obnova </w:t>
      </w:r>
      <w:r w:rsidR="00EF56D1" w:rsidRPr="006B6D61">
        <w:br/>
      </w:r>
      <w:r w:rsidRPr="006B6D61">
        <w:t xml:space="preserve">a provozování ICT systému řízení MD-OSS“. Realizace dalších </w:t>
      </w:r>
      <w:proofErr w:type="spellStart"/>
      <w:r w:rsidRPr="006B6D61">
        <w:t>subtitulů</w:t>
      </w:r>
      <w:proofErr w:type="spellEnd"/>
      <w:r w:rsidRPr="006B6D61">
        <w:t xml:space="preserve"> na rozvoj a obnovu MTZ pro ÚO </w:t>
      </w:r>
      <w:proofErr w:type="gramStart"/>
      <w:r w:rsidRPr="006B6D61">
        <w:t>MD - 127V0720</w:t>
      </w:r>
      <w:proofErr w:type="gramEnd"/>
      <w:r w:rsidRPr="006B6D61">
        <w:t xml:space="preserve"> a OSS – 127V0730, 127V0740, 127V0750, 127V0760, 127V0770 </w:t>
      </w:r>
      <w:r w:rsidR="00EF56D1" w:rsidRPr="006B6D61">
        <w:br/>
      </w:r>
      <w:r w:rsidRPr="006B6D61">
        <w:t xml:space="preserve">a 127V0780 </w:t>
      </w:r>
      <w:r w:rsidR="00D76B9B">
        <w:t>byla</w:t>
      </w:r>
      <w:r w:rsidRPr="006B6D61">
        <w:t xml:space="preserve"> zahájena </w:t>
      </w:r>
      <w:r w:rsidR="00D76B9B">
        <w:t>v roce</w:t>
      </w:r>
      <w:r w:rsidRPr="006B6D61">
        <w:t xml:space="preserve"> 2023. Ukončení celého programu se předpokládá do konce roku 2028.</w:t>
      </w:r>
    </w:p>
    <w:p w14:paraId="4E2A96B3" w14:textId="7BF5ABE3" w:rsidR="00097694" w:rsidRPr="006B6D61" w:rsidRDefault="00097694" w:rsidP="003F0A7C">
      <w:pPr>
        <w:pStyle w:val="KOMtext"/>
      </w:pPr>
      <w:r w:rsidRPr="006B6D61">
        <w:t>Dokumentace programu byla schválena dopisem Ministerstva financí</w:t>
      </w:r>
      <w:r w:rsidR="00F82DDB" w:rsidRPr="006B6D61">
        <w:t xml:space="preserve"> č. j. MF-28066/2021/1903-3 ze dne 1. 10. 2021</w:t>
      </w:r>
      <w:r w:rsidRPr="006B6D61">
        <w:t xml:space="preserve">. Poslední aktualizace dokumentace programu byla schválena Ministerstvem financí dopisem </w:t>
      </w:r>
      <w:r w:rsidR="00F82DDB" w:rsidRPr="006B6D61">
        <w:t>č. j. MF-36766/2022/1903-4 ze dne 16. 1. 2023.</w:t>
      </w:r>
    </w:p>
    <w:p w14:paraId="52E41FC7" w14:textId="3996AA8F" w:rsidR="00097694" w:rsidRPr="006B6D61" w:rsidRDefault="00F00623" w:rsidP="00BA4E5A">
      <w:pPr>
        <w:pStyle w:val="KOMGrafy"/>
      </w:pPr>
      <w:bookmarkStart w:id="607" w:name="_Toc160457133"/>
      <w:r w:rsidRPr="006B6D61">
        <w:lastRenderedPageBreak/>
        <w:t xml:space="preserve">Graf č. </w:t>
      </w:r>
      <w:fldSimple w:instr=" SEQ Graf_č. \* ARABIC ">
        <w:r w:rsidR="00013820">
          <w:rPr>
            <w:noProof/>
          </w:rPr>
          <w:t>16</w:t>
        </w:r>
      </w:fldSimple>
      <w:r w:rsidRPr="006B6D61">
        <w:t>: Celkový schválené výdaje programu 127 07 (v tis. Kč)</w:t>
      </w:r>
      <w:bookmarkEnd w:id="607"/>
    </w:p>
    <w:p w14:paraId="14A3EB77" w14:textId="77777777" w:rsidR="00097694" w:rsidRPr="0077128B" w:rsidRDefault="00097694" w:rsidP="00097694">
      <w:pPr>
        <w:keepLines/>
        <w:spacing w:before="120" w:after="120" w:line="276" w:lineRule="auto"/>
        <w:jc w:val="both"/>
        <w:rPr>
          <w:rFonts w:eastAsia="Times New Roman" w:cstheme="minorHAnsi"/>
          <w:color w:val="FF0000"/>
          <w:lang w:eastAsia="cs-CZ"/>
        </w:rPr>
      </w:pPr>
      <w:r w:rsidRPr="0077128B">
        <w:rPr>
          <w:noProof/>
          <w:color w:val="FF0000"/>
          <w:lang w:eastAsia="cs-CZ"/>
        </w:rPr>
        <w:drawing>
          <wp:inline distT="0" distB="0" distL="0" distR="0" wp14:anchorId="7297EC73" wp14:editId="0F0B5CE5">
            <wp:extent cx="5760000" cy="2160000"/>
            <wp:effectExtent l="0" t="0" r="12700" b="12065"/>
            <wp:docPr id="1704355585" name="Graf 1704355585"/>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2C468111" w14:textId="0619BBFF" w:rsidR="00097694" w:rsidRPr="006B6D61" w:rsidRDefault="00097694" w:rsidP="003F0A7C">
      <w:pPr>
        <w:pStyle w:val="KOMtext"/>
        <w:rPr>
          <w:szCs w:val="24"/>
          <w:lang w:eastAsia="ar-SA"/>
        </w:rPr>
      </w:pPr>
      <w:r w:rsidRPr="006B6D61">
        <w:rPr>
          <w:szCs w:val="24"/>
          <w:lang w:eastAsia="ar-SA"/>
        </w:rPr>
        <w:t xml:space="preserve">Program je rozdělen na 8 </w:t>
      </w:r>
      <w:proofErr w:type="spellStart"/>
      <w:r w:rsidRPr="006B6D61">
        <w:rPr>
          <w:szCs w:val="24"/>
          <w:lang w:eastAsia="ar-SA"/>
        </w:rPr>
        <w:t>subtitulů</w:t>
      </w:r>
      <w:proofErr w:type="spellEnd"/>
      <w:r w:rsidRPr="006B6D61">
        <w:rPr>
          <w:szCs w:val="24"/>
          <w:lang w:eastAsia="ar-SA"/>
        </w:rPr>
        <w:t>, přičemž v roce 202</w:t>
      </w:r>
      <w:r w:rsidR="00AF5D24" w:rsidRPr="006B6D61">
        <w:rPr>
          <w:szCs w:val="24"/>
          <w:lang w:eastAsia="ar-SA"/>
        </w:rPr>
        <w:t>3</w:t>
      </w:r>
      <w:r w:rsidRPr="006B6D61">
        <w:rPr>
          <w:szCs w:val="24"/>
          <w:lang w:eastAsia="ar-SA"/>
        </w:rPr>
        <w:t xml:space="preserve"> byl realizován s čerpáním prostředků SR </w:t>
      </w:r>
      <w:r w:rsidR="00AF5D24" w:rsidRPr="006B6D61">
        <w:rPr>
          <w:szCs w:val="24"/>
          <w:lang w:eastAsia="ar-SA"/>
        </w:rPr>
        <w:t xml:space="preserve">v následujících </w:t>
      </w:r>
      <w:proofErr w:type="spellStart"/>
      <w:r w:rsidR="00AF5D24" w:rsidRPr="006B6D61">
        <w:rPr>
          <w:szCs w:val="24"/>
          <w:lang w:eastAsia="ar-SA"/>
        </w:rPr>
        <w:t>subtitulech</w:t>
      </w:r>
      <w:proofErr w:type="spellEnd"/>
      <w:r w:rsidR="00AF5D24" w:rsidRPr="006B6D61">
        <w:rPr>
          <w:szCs w:val="24"/>
          <w:lang w:eastAsia="ar-SA"/>
        </w:rPr>
        <w:t>:</w:t>
      </w:r>
    </w:p>
    <w:p w14:paraId="27D23B00" w14:textId="77777777" w:rsidR="00097694" w:rsidRPr="006B6D61" w:rsidRDefault="00097694" w:rsidP="00E54955">
      <w:pPr>
        <w:keepNext/>
        <w:numPr>
          <w:ilvl w:val="0"/>
          <w:numId w:val="26"/>
        </w:numPr>
        <w:spacing w:before="200" w:after="120" w:line="240" w:lineRule="auto"/>
        <w:contextualSpacing/>
        <w:jc w:val="both"/>
        <w:outlineLvl w:val="5"/>
        <w:rPr>
          <w:rFonts w:eastAsia="Times New Roman" w:cstheme="minorHAnsi"/>
          <w:sz w:val="24"/>
          <w:szCs w:val="24"/>
          <w:lang w:eastAsia="cs-CZ"/>
        </w:rPr>
      </w:pPr>
      <w:r w:rsidRPr="006B6D61">
        <w:rPr>
          <w:rFonts w:eastAsia="Times New Roman" w:cstheme="minorHAnsi"/>
          <w:i/>
          <w:sz w:val="24"/>
          <w:szCs w:val="24"/>
          <w:lang w:eastAsia="cs-CZ"/>
        </w:rPr>
        <w:t>127V0710 „Pořizování, obnova a provozování ICT systému řízení MD-OSS“</w:t>
      </w:r>
      <w:r w:rsidRPr="006B6D61">
        <w:rPr>
          <w:rFonts w:eastAsia="Times New Roman" w:cstheme="minorHAnsi"/>
          <w:sz w:val="24"/>
          <w:szCs w:val="24"/>
          <w:lang w:eastAsia="cs-CZ"/>
        </w:rPr>
        <w:t xml:space="preserve"> </w:t>
      </w:r>
    </w:p>
    <w:p w14:paraId="1C5D5052" w14:textId="6C4F5F81" w:rsidR="00AD0195" w:rsidRPr="006B6D61" w:rsidRDefault="00AD0195" w:rsidP="00AD0195">
      <w:pPr>
        <w:pStyle w:val="KOMtext"/>
      </w:pPr>
      <w:r w:rsidRPr="006B6D61">
        <w:t xml:space="preserve">V rámci tohoto </w:t>
      </w:r>
      <w:proofErr w:type="spellStart"/>
      <w:r w:rsidRPr="006B6D61">
        <w:t>subtitulu</w:t>
      </w:r>
      <w:proofErr w:type="spellEnd"/>
      <w:r w:rsidRPr="006B6D61">
        <w:t xml:space="preserve"> byly použity prostředky </w:t>
      </w:r>
      <w:r w:rsidR="00F204CC">
        <w:t>celkem</w:t>
      </w:r>
      <w:r w:rsidRPr="006B6D61">
        <w:t xml:space="preserve"> ve výši </w:t>
      </w:r>
      <w:r w:rsidR="005B2B72" w:rsidRPr="006B6D61">
        <w:rPr>
          <w:b/>
          <w:bCs/>
        </w:rPr>
        <w:t>129 735</w:t>
      </w:r>
      <w:r w:rsidRPr="006B6D61">
        <w:rPr>
          <w:b/>
          <w:bCs/>
        </w:rPr>
        <w:t xml:space="preserve"> tis. Kč</w:t>
      </w:r>
      <w:r w:rsidRPr="006B6D61">
        <w:t xml:space="preserve"> (</w:t>
      </w:r>
      <w:r w:rsidRPr="003B7D54">
        <w:rPr>
          <w:i/>
          <w:iCs/>
        </w:rPr>
        <w:t>investice</w:t>
      </w:r>
      <w:r w:rsidRPr="006B6D61">
        <w:t xml:space="preserve"> </w:t>
      </w:r>
      <w:r w:rsidR="003B7D54">
        <w:t xml:space="preserve">                  </w:t>
      </w:r>
      <w:r w:rsidR="00064E94" w:rsidRPr="006B6D61">
        <w:t xml:space="preserve">40 </w:t>
      </w:r>
      <w:r w:rsidR="00F204CC">
        <w:t>177</w:t>
      </w:r>
      <w:r w:rsidRPr="006B6D61">
        <w:t xml:space="preserve"> tis. Kč</w:t>
      </w:r>
      <w:r w:rsidR="00064E94" w:rsidRPr="006B6D61">
        <w:t xml:space="preserve"> – z toho </w:t>
      </w:r>
      <w:r w:rsidR="000D1D5C" w:rsidRPr="006B6D61">
        <w:t xml:space="preserve">prostředky </w:t>
      </w:r>
      <w:r w:rsidR="00064E94" w:rsidRPr="006B6D61">
        <w:t>EU 6 </w:t>
      </w:r>
      <w:r w:rsidR="003B7D54">
        <w:t>70</w:t>
      </w:r>
      <w:r w:rsidR="00577079">
        <w:t>8</w:t>
      </w:r>
      <w:r w:rsidR="00064E94" w:rsidRPr="006B6D61">
        <w:t xml:space="preserve"> tis. Kč</w:t>
      </w:r>
      <w:r w:rsidRPr="006B6D61">
        <w:t xml:space="preserve">, </w:t>
      </w:r>
      <w:proofErr w:type="spellStart"/>
      <w:proofErr w:type="gramStart"/>
      <w:r w:rsidRPr="003B7D54">
        <w:rPr>
          <w:i/>
          <w:iCs/>
        </w:rPr>
        <w:t>neinvestice</w:t>
      </w:r>
      <w:proofErr w:type="spellEnd"/>
      <w:r w:rsidRPr="006B6D61">
        <w:t xml:space="preserve"> </w:t>
      </w:r>
      <w:r w:rsidR="00577079">
        <w:t xml:space="preserve"> </w:t>
      </w:r>
      <w:r w:rsidR="00064E94" w:rsidRPr="006B6D61">
        <w:t>89</w:t>
      </w:r>
      <w:proofErr w:type="gramEnd"/>
      <w:r w:rsidR="00064E94" w:rsidRPr="006B6D61">
        <w:t xml:space="preserve"> </w:t>
      </w:r>
      <w:r w:rsidR="00F204CC">
        <w:t>558</w:t>
      </w:r>
      <w:r w:rsidRPr="006B6D61">
        <w:t xml:space="preserve"> tis. Kč</w:t>
      </w:r>
      <w:r w:rsidR="003B7D54">
        <w:t xml:space="preserve"> – z toho prostředky EU 233 tis. Kč</w:t>
      </w:r>
      <w:r w:rsidRPr="006B6D61">
        <w:t>)</w:t>
      </w:r>
      <w:r w:rsidR="00D700D3" w:rsidRPr="006B6D61">
        <w:t>,</w:t>
      </w:r>
      <w:r w:rsidRPr="006B6D61">
        <w:t xml:space="preserve"> z toho nároky </w:t>
      </w:r>
      <w:r w:rsidR="00FE2DBD" w:rsidRPr="006B6D61">
        <w:t>72 739</w:t>
      </w:r>
      <w:r w:rsidRPr="006B6D61">
        <w:t xml:space="preserve"> tis. Kč</w:t>
      </w:r>
      <w:r w:rsidR="003B7D54">
        <w:t xml:space="preserve"> (</w:t>
      </w:r>
      <w:r w:rsidR="003B7D54" w:rsidRPr="003B7D54">
        <w:rPr>
          <w:i/>
          <w:iCs/>
        </w:rPr>
        <w:t>investice</w:t>
      </w:r>
      <w:r w:rsidR="003B7D54">
        <w:t xml:space="preserve"> 23 127 tis. Kč</w:t>
      </w:r>
      <w:r w:rsidRPr="006B6D61">
        <w:t xml:space="preserve"> </w:t>
      </w:r>
      <w:r w:rsidR="000D1D5C" w:rsidRPr="006B6D61">
        <w:t>– z toho prostředky EU 6 </w:t>
      </w:r>
      <w:r w:rsidR="003B7D54">
        <w:t>70</w:t>
      </w:r>
      <w:r w:rsidR="00577079">
        <w:t>8</w:t>
      </w:r>
      <w:r w:rsidR="000D1D5C" w:rsidRPr="006B6D61">
        <w:t xml:space="preserve"> tis. Kč</w:t>
      </w:r>
      <w:r w:rsidR="003B7D54">
        <w:t xml:space="preserve">, </w:t>
      </w:r>
      <w:proofErr w:type="spellStart"/>
      <w:r w:rsidR="003B7D54">
        <w:t>neinvestice</w:t>
      </w:r>
      <w:proofErr w:type="spellEnd"/>
      <w:r w:rsidR="003B7D54">
        <w:t xml:space="preserve"> 49 612 tis. Kč – z toho prostředky EU 233 tis. Kč).</w:t>
      </w:r>
    </w:p>
    <w:p w14:paraId="1AF722E7" w14:textId="73EA5B12" w:rsidR="00AD0195" w:rsidRPr="006B6D61" w:rsidRDefault="00AD0195" w:rsidP="00AD0195">
      <w:pPr>
        <w:pStyle w:val="KOMtext"/>
      </w:pPr>
      <w:r w:rsidRPr="006B6D61">
        <w:rPr>
          <w:b/>
          <w:bCs/>
        </w:rPr>
        <w:t>Ústřední orgán MD</w:t>
      </w:r>
      <w:r w:rsidRPr="006B6D61">
        <w:t xml:space="preserve"> čerpal prostředky ve výši </w:t>
      </w:r>
      <w:r w:rsidR="000D1D5C" w:rsidRPr="006B6D61">
        <w:rPr>
          <w:b/>
          <w:bCs/>
        </w:rPr>
        <w:t>116 825</w:t>
      </w:r>
      <w:r w:rsidRPr="006B6D61">
        <w:rPr>
          <w:b/>
          <w:bCs/>
        </w:rPr>
        <w:t xml:space="preserve"> tis. Kč</w:t>
      </w:r>
      <w:r w:rsidRPr="006B6D61">
        <w:t xml:space="preserve"> (investice </w:t>
      </w:r>
      <w:r w:rsidR="000D1D5C" w:rsidRPr="006B6D61">
        <w:t>27 550</w:t>
      </w:r>
      <w:r w:rsidRPr="006B6D61">
        <w:t xml:space="preserve"> tis. Kč, </w:t>
      </w:r>
      <w:proofErr w:type="spellStart"/>
      <w:r w:rsidRPr="006B6D61">
        <w:t>neinvestice</w:t>
      </w:r>
      <w:proofErr w:type="spellEnd"/>
      <w:r w:rsidR="000D1D5C" w:rsidRPr="006B6D61">
        <w:t xml:space="preserve"> 89 275</w:t>
      </w:r>
      <w:r w:rsidRPr="006B6D61">
        <w:t xml:space="preserve"> tis. Kč)</w:t>
      </w:r>
      <w:r w:rsidR="000D1D5C" w:rsidRPr="006B6D61">
        <w:t xml:space="preserve">, </w:t>
      </w:r>
      <w:r w:rsidRPr="006B6D61">
        <w:t xml:space="preserve">z toho nároky </w:t>
      </w:r>
      <w:r w:rsidR="000D1D5C" w:rsidRPr="006B6D61">
        <w:t>65 798</w:t>
      </w:r>
      <w:r w:rsidRPr="006B6D61">
        <w:t xml:space="preserve"> tis. Kč (investice </w:t>
      </w:r>
      <w:r w:rsidR="000D1D5C" w:rsidRPr="006B6D61">
        <w:t>16 420</w:t>
      </w:r>
      <w:r w:rsidRPr="006B6D61">
        <w:t xml:space="preserve"> tis. Kč, </w:t>
      </w:r>
      <w:proofErr w:type="spellStart"/>
      <w:r w:rsidRPr="006B6D61">
        <w:t>neinvestice</w:t>
      </w:r>
      <w:proofErr w:type="spellEnd"/>
      <w:r w:rsidRPr="006B6D61">
        <w:t xml:space="preserve"> </w:t>
      </w:r>
      <w:r w:rsidR="000D1D5C" w:rsidRPr="006B6D61">
        <w:t xml:space="preserve">           49 378</w:t>
      </w:r>
      <w:r w:rsidRPr="006B6D61">
        <w:t xml:space="preserve"> tis. Kč)</w:t>
      </w:r>
      <w:r w:rsidR="000D1D5C" w:rsidRPr="006B6D61">
        <w:t>.</w:t>
      </w:r>
    </w:p>
    <w:p w14:paraId="51F2DCB6" w14:textId="7A6E9C11" w:rsidR="00097694" w:rsidRDefault="00097694" w:rsidP="003F0A7C">
      <w:pPr>
        <w:pStyle w:val="KOMtext"/>
        <w:rPr>
          <w:color w:val="FF0000"/>
          <w:lang w:eastAsia="ar-SA"/>
        </w:rPr>
      </w:pPr>
      <w:r w:rsidRPr="006B6D61">
        <w:t>Prvním realizovaným parametrem nového programu 127 07 byl upgrade informačního systému Digitálního tachografu, v </w:t>
      </w:r>
      <w:proofErr w:type="gramStart"/>
      <w:r w:rsidRPr="006B6D61">
        <w:t>rámci</w:t>
      </w:r>
      <w:proofErr w:type="gramEnd"/>
      <w:r w:rsidRPr="006B6D61">
        <w:t xml:space="preserve"> kterého byly výše uvedené prostředky čerpány. </w:t>
      </w:r>
      <w:r w:rsidR="00ED343A">
        <w:br/>
      </w:r>
      <w:r w:rsidRPr="006B6D61">
        <w:t xml:space="preserve">Od roku 2023 </w:t>
      </w:r>
      <w:r w:rsidR="000D1D5C" w:rsidRPr="006B6D61">
        <w:t xml:space="preserve">byly </w:t>
      </w:r>
      <w:r w:rsidRPr="006B6D61">
        <w:t xml:space="preserve">v programu </w:t>
      </w:r>
      <w:r w:rsidR="000D1D5C" w:rsidRPr="006B6D61">
        <w:t xml:space="preserve">zahajovány </w:t>
      </w:r>
      <w:r w:rsidRPr="006B6D61">
        <w:t xml:space="preserve">další parametry v rámci dalších dílčích </w:t>
      </w:r>
      <w:proofErr w:type="spellStart"/>
      <w:r w:rsidRPr="006B6D61">
        <w:t>subitulů</w:t>
      </w:r>
      <w:proofErr w:type="spellEnd"/>
      <w:r w:rsidRPr="006B6D61">
        <w:t xml:space="preserve"> </w:t>
      </w:r>
      <w:r w:rsidR="00ED343A">
        <w:br/>
      </w:r>
      <w:r w:rsidRPr="006B6D61">
        <w:rPr>
          <w:lang w:eastAsia="ar-SA"/>
        </w:rPr>
        <w:t xml:space="preserve">na rozvoj a obnovu MTZ pro ÚO MD </w:t>
      </w:r>
      <w:r w:rsidR="000D1D5C" w:rsidRPr="006B6D61">
        <w:rPr>
          <w:lang w:eastAsia="ar-SA"/>
        </w:rPr>
        <w:t>a OSS.</w:t>
      </w:r>
    </w:p>
    <w:p w14:paraId="1BEC2C0A" w14:textId="1F35B09D" w:rsidR="000D1D5C" w:rsidRPr="006B6D61" w:rsidRDefault="000D1D5C" w:rsidP="000D1D5C">
      <w:pPr>
        <w:pStyle w:val="KOMtext"/>
        <w:rPr>
          <w:lang w:eastAsia="ar-SA"/>
        </w:rPr>
      </w:pPr>
      <w:r w:rsidRPr="006B6D61">
        <w:rPr>
          <w:lang w:eastAsia="ar-SA"/>
        </w:rPr>
        <w:t xml:space="preserve">Z významných realizovaných projektů jmenujme například: </w:t>
      </w:r>
    </w:p>
    <w:p w14:paraId="4E623D58" w14:textId="14387CEB" w:rsidR="000D1D5C" w:rsidRPr="006B6D61" w:rsidRDefault="000D1D5C" w:rsidP="000D1D5C">
      <w:pPr>
        <w:pStyle w:val="KOMtext"/>
        <w:numPr>
          <w:ilvl w:val="0"/>
          <w:numId w:val="8"/>
        </w:numPr>
        <w:rPr>
          <w:lang w:eastAsia="ar-SA"/>
        </w:rPr>
      </w:pPr>
      <w:r w:rsidRPr="006B6D61">
        <w:rPr>
          <w:lang w:eastAsia="ar-SA"/>
        </w:rPr>
        <w:t>Zajištění provozu a rozvoje Registru silničních vozidel (</w:t>
      </w:r>
      <w:proofErr w:type="spellStart"/>
      <w:r w:rsidRPr="006B6D61">
        <w:rPr>
          <w:i/>
          <w:lang w:eastAsia="ar-SA"/>
        </w:rPr>
        <w:t>neinvestice</w:t>
      </w:r>
      <w:proofErr w:type="spellEnd"/>
      <w:r w:rsidRPr="006B6D61">
        <w:rPr>
          <w:i/>
          <w:lang w:eastAsia="ar-SA"/>
        </w:rPr>
        <w:t xml:space="preserve"> </w:t>
      </w:r>
      <w:r w:rsidRPr="006B6D61">
        <w:rPr>
          <w:lang w:eastAsia="ar-SA"/>
        </w:rPr>
        <w:t>1</w:t>
      </w:r>
      <w:r w:rsidR="007E6CA2" w:rsidRPr="006B6D61">
        <w:rPr>
          <w:lang w:eastAsia="ar-SA"/>
        </w:rPr>
        <w:t xml:space="preserve">1 435 </w:t>
      </w:r>
      <w:r w:rsidRPr="006B6D61">
        <w:rPr>
          <w:lang w:eastAsia="ar-SA"/>
        </w:rPr>
        <w:t>tis. Kč)</w:t>
      </w:r>
      <w:r w:rsidR="007E6CA2" w:rsidRPr="006B6D61">
        <w:rPr>
          <w:lang w:eastAsia="ar-SA"/>
        </w:rPr>
        <w:t xml:space="preserve"> </w:t>
      </w:r>
    </w:p>
    <w:p w14:paraId="6FC15008" w14:textId="2018400D" w:rsidR="000D1D5C" w:rsidRPr="006B6D61" w:rsidRDefault="00D96F79" w:rsidP="000D1D5C">
      <w:pPr>
        <w:pStyle w:val="KOMtext"/>
        <w:numPr>
          <w:ilvl w:val="0"/>
          <w:numId w:val="8"/>
        </w:numPr>
        <w:rPr>
          <w:lang w:eastAsia="ar-SA"/>
        </w:rPr>
      </w:pPr>
      <w:r w:rsidRPr="006B6D61">
        <w:rPr>
          <w:lang w:eastAsia="ar-SA"/>
        </w:rPr>
        <w:t>Výroba a personalizace karet Digitálního tachografu České republiky (</w:t>
      </w:r>
      <w:r w:rsidRPr="006B6D61">
        <w:rPr>
          <w:i/>
          <w:iCs/>
          <w:lang w:eastAsia="ar-SA"/>
        </w:rPr>
        <w:t>investice</w:t>
      </w:r>
      <w:r w:rsidR="001231FF" w:rsidRPr="006B6D61">
        <w:rPr>
          <w:i/>
          <w:iCs/>
          <w:lang w:eastAsia="ar-SA"/>
        </w:rPr>
        <w:t xml:space="preserve"> </w:t>
      </w:r>
      <w:r w:rsidR="001231FF" w:rsidRPr="006B6D61">
        <w:rPr>
          <w:lang w:eastAsia="ar-SA"/>
        </w:rPr>
        <w:t>10 507 tis. Kč</w:t>
      </w:r>
      <w:r w:rsidRPr="006B6D61">
        <w:rPr>
          <w:i/>
          <w:iCs/>
          <w:lang w:eastAsia="ar-SA"/>
        </w:rPr>
        <w:t xml:space="preserve">, </w:t>
      </w:r>
      <w:proofErr w:type="spellStart"/>
      <w:r w:rsidRPr="006B6D61">
        <w:rPr>
          <w:i/>
          <w:iCs/>
          <w:lang w:eastAsia="ar-SA"/>
        </w:rPr>
        <w:t>neinvestice</w:t>
      </w:r>
      <w:proofErr w:type="spellEnd"/>
      <w:r w:rsidR="00A12C5D" w:rsidRPr="006B6D61">
        <w:rPr>
          <w:i/>
          <w:iCs/>
          <w:lang w:eastAsia="ar-SA"/>
        </w:rPr>
        <w:t xml:space="preserve"> </w:t>
      </w:r>
      <w:r w:rsidR="00A12C5D" w:rsidRPr="006B6D61">
        <w:rPr>
          <w:lang w:eastAsia="ar-SA"/>
        </w:rPr>
        <w:t>51 668 tis. Kč</w:t>
      </w:r>
      <w:r w:rsidRPr="006B6D61">
        <w:rPr>
          <w:lang w:eastAsia="ar-SA"/>
        </w:rPr>
        <w:t>)</w:t>
      </w:r>
    </w:p>
    <w:p w14:paraId="2A2B6F76" w14:textId="755F9C1C" w:rsidR="00B65A69" w:rsidRPr="006B6D61" w:rsidRDefault="00B65A69" w:rsidP="000D1D5C">
      <w:pPr>
        <w:pStyle w:val="KOMtext"/>
        <w:numPr>
          <w:ilvl w:val="0"/>
          <w:numId w:val="8"/>
        </w:numPr>
        <w:rPr>
          <w:lang w:eastAsia="ar-SA"/>
        </w:rPr>
      </w:pPr>
      <w:r w:rsidRPr="006B6D61">
        <w:rPr>
          <w:lang w:eastAsia="ar-SA"/>
        </w:rPr>
        <w:t>Provoz a rozvoj IS Portál doprava (</w:t>
      </w:r>
      <w:r w:rsidRPr="006B6D61">
        <w:rPr>
          <w:i/>
          <w:iCs/>
          <w:lang w:eastAsia="ar-SA"/>
        </w:rPr>
        <w:t>investice</w:t>
      </w:r>
      <w:r w:rsidR="00D57BBB" w:rsidRPr="006B6D61">
        <w:rPr>
          <w:i/>
          <w:iCs/>
          <w:lang w:eastAsia="ar-SA"/>
        </w:rPr>
        <w:t xml:space="preserve"> </w:t>
      </w:r>
      <w:r w:rsidR="00D57BBB" w:rsidRPr="006B6D61">
        <w:rPr>
          <w:lang w:eastAsia="ar-SA"/>
        </w:rPr>
        <w:t>13 750 tis. Kč</w:t>
      </w:r>
      <w:r w:rsidRPr="006B6D61">
        <w:rPr>
          <w:i/>
          <w:iCs/>
          <w:lang w:eastAsia="ar-SA"/>
        </w:rPr>
        <w:t xml:space="preserve">, </w:t>
      </w:r>
      <w:proofErr w:type="spellStart"/>
      <w:r w:rsidRPr="006B6D61">
        <w:rPr>
          <w:i/>
          <w:iCs/>
          <w:lang w:eastAsia="ar-SA"/>
        </w:rPr>
        <w:t>neinvestice</w:t>
      </w:r>
      <w:proofErr w:type="spellEnd"/>
      <w:r w:rsidR="00A12C5D" w:rsidRPr="006B6D61">
        <w:rPr>
          <w:i/>
          <w:iCs/>
          <w:lang w:eastAsia="ar-SA"/>
        </w:rPr>
        <w:t xml:space="preserve"> </w:t>
      </w:r>
      <w:r w:rsidR="00A12C5D" w:rsidRPr="006B6D61">
        <w:rPr>
          <w:lang w:eastAsia="ar-SA"/>
        </w:rPr>
        <w:t>26 144 tis. Kč</w:t>
      </w:r>
      <w:r w:rsidRPr="006B6D61">
        <w:rPr>
          <w:lang w:eastAsia="ar-SA"/>
        </w:rPr>
        <w:t>)</w:t>
      </w:r>
    </w:p>
    <w:p w14:paraId="1F642C2E" w14:textId="37D08F68" w:rsidR="00C7110E" w:rsidRDefault="00C7110E" w:rsidP="000D1D5C">
      <w:pPr>
        <w:pStyle w:val="KOMtext"/>
        <w:numPr>
          <w:ilvl w:val="0"/>
          <w:numId w:val="8"/>
        </w:numPr>
        <w:rPr>
          <w:lang w:eastAsia="ar-SA"/>
        </w:rPr>
      </w:pPr>
      <w:r w:rsidRPr="006B6D61">
        <w:rPr>
          <w:lang w:eastAsia="ar-SA"/>
        </w:rPr>
        <w:t>Informační systém veřejné dopravy (</w:t>
      </w:r>
      <w:r w:rsidRPr="006B6D61">
        <w:rPr>
          <w:i/>
          <w:iCs/>
          <w:lang w:eastAsia="ar-SA"/>
        </w:rPr>
        <w:t xml:space="preserve">investice </w:t>
      </w:r>
      <w:r w:rsidR="00D57BBB" w:rsidRPr="006B6D61">
        <w:rPr>
          <w:lang w:eastAsia="ar-SA"/>
        </w:rPr>
        <w:t>1 705 tis. Kč)</w:t>
      </w:r>
    </w:p>
    <w:p w14:paraId="79DCB59F" w14:textId="1894B7D7" w:rsidR="00C10980" w:rsidRPr="000056C4" w:rsidRDefault="00C10980" w:rsidP="00C10980">
      <w:pPr>
        <w:keepLines/>
        <w:spacing w:before="240" w:after="240" w:line="276" w:lineRule="auto"/>
        <w:jc w:val="both"/>
        <w:rPr>
          <w:rFonts w:ascii="Calibri" w:eastAsia="Times New Roman" w:hAnsi="Calibri" w:cs="Times New Roman"/>
          <w:b/>
          <w:sz w:val="24"/>
          <w:szCs w:val="20"/>
          <w:lang w:eastAsia="cs-CZ"/>
        </w:rPr>
      </w:pPr>
      <w:r w:rsidRPr="000168E6">
        <w:rPr>
          <w:rFonts w:ascii="Calibri" w:eastAsia="Times New Roman" w:hAnsi="Calibri" w:cs="Times New Roman"/>
          <w:sz w:val="24"/>
          <w:szCs w:val="20"/>
          <w:lang w:eastAsia="cs-CZ"/>
        </w:rPr>
        <w:lastRenderedPageBreak/>
        <w:t xml:space="preserve">Organizační složky státu čerpaly </w:t>
      </w:r>
      <w:r w:rsidR="00F204CC">
        <w:rPr>
          <w:rFonts w:ascii="Calibri" w:eastAsia="Times New Roman" w:hAnsi="Calibri" w:cs="Times New Roman"/>
          <w:sz w:val="24"/>
          <w:szCs w:val="20"/>
          <w:lang w:eastAsia="cs-CZ"/>
        </w:rPr>
        <w:t>finanční</w:t>
      </w:r>
      <w:r w:rsidRPr="000168E6">
        <w:rPr>
          <w:rFonts w:ascii="Calibri" w:eastAsia="Times New Roman" w:hAnsi="Calibri" w:cs="Times New Roman"/>
          <w:sz w:val="24"/>
          <w:szCs w:val="20"/>
          <w:lang w:eastAsia="cs-CZ"/>
        </w:rPr>
        <w:t xml:space="preserve"> prostředky ve výši </w:t>
      </w:r>
      <w:r w:rsidR="000168E6" w:rsidRPr="006B6D61">
        <w:rPr>
          <w:rFonts w:ascii="Calibri" w:eastAsia="Times New Roman" w:hAnsi="Calibri" w:cs="Times New Roman"/>
          <w:b/>
          <w:bCs/>
          <w:sz w:val="24"/>
          <w:szCs w:val="20"/>
          <w:lang w:eastAsia="cs-CZ"/>
        </w:rPr>
        <w:t>12 9</w:t>
      </w:r>
      <w:r w:rsidR="008944E0">
        <w:rPr>
          <w:rFonts w:ascii="Calibri" w:eastAsia="Times New Roman" w:hAnsi="Calibri" w:cs="Times New Roman"/>
          <w:b/>
          <w:bCs/>
          <w:sz w:val="24"/>
          <w:szCs w:val="20"/>
          <w:lang w:eastAsia="cs-CZ"/>
        </w:rPr>
        <w:t>09</w:t>
      </w:r>
      <w:r w:rsidRPr="006B6D61">
        <w:rPr>
          <w:rFonts w:ascii="Calibri" w:eastAsia="Times New Roman" w:hAnsi="Calibri" w:cs="Times New Roman"/>
          <w:b/>
          <w:bCs/>
          <w:sz w:val="24"/>
          <w:szCs w:val="20"/>
          <w:lang w:eastAsia="cs-CZ"/>
        </w:rPr>
        <w:t xml:space="preserve"> tis. Kč</w:t>
      </w:r>
      <w:r w:rsidRPr="000168E6">
        <w:rPr>
          <w:rFonts w:ascii="Calibri" w:eastAsia="Times New Roman" w:hAnsi="Calibri" w:cs="Times New Roman"/>
          <w:sz w:val="24"/>
          <w:szCs w:val="20"/>
          <w:lang w:eastAsia="cs-CZ"/>
        </w:rPr>
        <w:t xml:space="preserve"> (</w:t>
      </w:r>
      <w:r w:rsidR="00F42E89">
        <w:rPr>
          <w:rFonts w:ascii="Calibri" w:eastAsia="Times New Roman" w:hAnsi="Calibri" w:cs="Times New Roman"/>
          <w:sz w:val="24"/>
          <w:szCs w:val="20"/>
          <w:lang w:eastAsia="cs-CZ"/>
        </w:rPr>
        <w:t xml:space="preserve">investice </w:t>
      </w:r>
      <w:r w:rsidR="009207F0">
        <w:rPr>
          <w:rFonts w:ascii="Calibri" w:eastAsia="Times New Roman" w:hAnsi="Calibri" w:cs="Times New Roman"/>
          <w:sz w:val="24"/>
          <w:szCs w:val="20"/>
          <w:lang w:eastAsia="cs-CZ"/>
        </w:rPr>
        <w:t xml:space="preserve">                     </w:t>
      </w:r>
      <w:r w:rsidR="00F42E89">
        <w:rPr>
          <w:rFonts w:ascii="Calibri" w:eastAsia="Times New Roman" w:hAnsi="Calibri" w:cs="Times New Roman"/>
          <w:sz w:val="24"/>
          <w:szCs w:val="20"/>
          <w:lang w:eastAsia="cs-CZ"/>
        </w:rPr>
        <w:t>12 627 tis. Kč,</w:t>
      </w:r>
      <w:r w:rsidR="008944E0">
        <w:rPr>
          <w:rFonts w:ascii="Calibri" w:eastAsia="Times New Roman" w:hAnsi="Calibri" w:cs="Times New Roman"/>
          <w:sz w:val="24"/>
          <w:szCs w:val="20"/>
          <w:lang w:eastAsia="cs-CZ"/>
        </w:rPr>
        <w:t xml:space="preserve"> </w:t>
      </w:r>
      <w:r w:rsidRPr="000168E6">
        <w:rPr>
          <w:rFonts w:ascii="Calibri" w:eastAsia="Times New Roman" w:hAnsi="Calibri" w:cs="Times New Roman"/>
          <w:sz w:val="24"/>
          <w:szCs w:val="20"/>
          <w:lang w:eastAsia="cs-CZ"/>
        </w:rPr>
        <w:t xml:space="preserve">z toho </w:t>
      </w:r>
      <w:r w:rsidR="000168E6" w:rsidRPr="000056C4">
        <w:rPr>
          <w:rFonts w:ascii="Calibri" w:eastAsia="Times New Roman" w:hAnsi="Calibri" w:cs="Times New Roman"/>
          <w:sz w:val="24"/>
          <w:szCs w:val="20"/>
          <w:lang w:eastAsia="cs-CZ"/>
        </w:rPr>
        <w:t xml:space="preserve">prostředky EU 6 </w:t>
      </w:r>
      <w:r w:rsidR="00F42E89">
        <w:rPr>
          <w:rFonts w:ascii="Calibri" w:eastAsia="Times New Roman" w:hAnsi="Calibri" w:cs="Times New Roman"/>
          <w:sz w:val="24"/>
          <w:szCs w:val="20"/>
          <w:lang w:eastAsia="cs-CZ"/>
        </w:rPr>
        <w:t>70</w:t>
      </w:r>
      <w:r w:rsidR="00BE070B">
        <w:rPr>
          <w:rFonts w:ascii="Calibri" w:eastAsia="Times New Roman" w:hAnsi="Calibri" w:cs="Times New Roman"/>
          <w:sz w:val="24"/>
          <w:szCs w:val="20"/>
          <w:lang w:eastAsia="cs-CZ"/>
        </w:rPr>
        <w:t>8</w:t>
      </w:r>
      <w:r w:rsidRPr="000056C4">
        <w:rPr>
          <w:rFonts w:ascii="Calibri" w:eastAsia="Times New Roman" w:hAnsi="Calibri" w:cs="Times New Roman"/>
          <w:sz w:val="24"/>
          <w:szCs w:val="20"/>
          <w:lang w:eastAsia="cs-CZ"/>
        </w:rPr>
        <w:t xml:space="preserve"> tis. Kč</w:t>
      </w:r>
      <w:r w:rsidR="00F42E89">
        <w:rPr>
          <w:rFonts w:ascii="Calibri" w:eastAsia="Times New Roman" w:hAnsi="Calibri" w:cs="Times New Roman"/>
          <w:sz w:val="24"/>
          <w:szCs w:val="20"/>
          <w:lang w:eastAsia="cs-CZ"/>
        </w:rPr>
        <w:t xml:space="preserve">, </w:t>
      </w:r>
      <w:proofErr w:type="spellStart"/>
      <w:r w:rsidR="00F42E89">
        <w:rPr>
          <w:rFonts w:ascii="Calibri" w:eastAsia="Times New Roman" w:hAnsi="Calibri" w:cs="Times New Roman"/>
          <w:sz w:val="24"/>
          <w:szCs w:val="20"/>
          <w:lang w:eastAsia="cs-CZ"/>
        </w:rPr>
        <w:t>neinvestice</w:t>
      </w:r>
      <w:proofErr w:type="spellEnd"/>
      <w:r w:rsidR="00F42E89">
        <w:rPr>
          <w:rFonts w:ascii="Calibri" w:eastAsia="Times New Roman" w:hAnsi="Calibri" w:cs="Times New Roman"/>
          <w:sz w:val="24"/>
          <w:szCs w:val="20"/>
          <w:lang w:eastAsia="cs-CZ"/>
        </w:rPr>
        <w:t xml:space="preserve"> – 282 tis. Kč, z toho </w:t>
      </w:r>
      <w:proofErr w:type="gramStart"/>
      <w:r w:rsidR="00F42E89">
        <w:rPr>
          <w:rFonts w:ascii="Calibri" w:eastAsia="Times New Roman" w:hAnsi="Calibri" w:cs="Times New Roman"/>
          <w:sz w:val="24"/>
          <w:szCs w:val="20"/>
          <w:lang w:eastAsia="cs-CZ"/>
        </w:rPr>
        <w:t xml:space="preserve">prostředky </w:t>
      </w:r>
      <w:r w:rsidR="00BE070B">
        <w:rPr>
          <w:rFonts w:ascii="Calibri" w:eastAsia="Times New Roman" w:hAnsi="Calibri" w:cs="Times New Roman"/>
          <w:sz w:val="24"/>
          <w:szCs w:val="20"/>
          <w:lang w:eastAsia="cs-CZ"/>
        </w:rPr>
        <w:t xml:space="preserve"> EU</w:t>
      </w:r>
      <w:proofErr w:type="gramEnd"/>
      <w:r w:rsidR="009207F0">
        <w:rPr>
          <w:rFonts w:ascii="Calibri" w:eastAsia="Times New Roman" w:hAnsi="Calibri" w:cs="Times New Roman"/>
          <w:sz w:val="24"/>
          <w:szCs w:val="20"/>
          <w:lang w:eastAsia="cs-CZ"/>
        </w:rPr>
        <w:t xml:space="preserve"> </w:t>
      </w:r>
      <w:r w:rsidR="00F42E89">
        <w:rPr>
          <w:rFonts w:ascii="Calibri" w:eastAsia="Times New Roman" w:hAnsi="Calibri" w:cs="Times New Roman"/>
          <w:sz w:val="24"/>
          <w:szCs w:val="20"/>
          <w:lang w:eastAsia="cs-CZ"/>
        </w:rPr>
        <w:t>233 tis. Kč</w:t>
      </w:r>
      <w:r w:rsidRPr="000056C4">
        <w:rPr>
          <w:rFonts w:ascii="Calibri" w:eastAsia="Times New Roman" w:hAnsi="Calibri" w:cs="Times New Roman"/>
          <w:sz w:val="24"/>
          <w:szCs w:val="20"/>
          <w:lang w:eastAsia="cs-CZ"/>
        </w:rPr>
        <w:t>.</w:t>
      </w:r>
      <w:r w:rsidR="00F42E89">
        <w:rPr>
          <w:rFonts w:ascii="Calibri" w:eastAsia="Times New Roman" w:hAnsi="Calibri" w:cs="Times New Roman"/>
          <w:sz w:val="24"/>
          <w:szCs w:val="20"/>
          <w:lang w:eastAsia="cs-CZ"/>
        </w:rPr>
        <w:t xml:space="preserve"> Nároky</w:t>
      </w:r>
      <w:r w:rsidRPr="000056C4">
        <w:rPr>
          <w:rFonts w:ascii="Calibri" w:eastAsia="Times New Roman" w:hAnsi="Calibri" w:cs="Times New Roman"/>
          <w:sz w:val="24"/>
          <w:szCs w:val="20"/>
          <w:lang w:eastAsia="cs-CZ"/>
        </w:rPr>
        <w:t xml:space="preserve"> </w:t>
      </w:r>
      <w:r w:rsidR="00F42E89">
        <w:rPr>
          <w:rFonts w:ascii="Calibri" w:eastAsia="Times New Roman" w:hAnsi="Calibri" w:cs="Times New Roman"/>
          <w:sz w:val="24"/>
          <w:szCs w:val="20"/>
          <w:lang w:eastAsia="cs-CZ"/>
        </w:rPr>
        <w:t>byly čerpány ve výši 6 941 tis. Kč (investice 6 70</w:t>
      </w:r>
      <w:r w:rsidR="00BE070B">
        <w:rPr>
          <w:rFonts w:ascii="Calibri" w:eastAsia="Times New Roman" w:hAnsi="Calibri" w:cs="Times New Roman"/>
          <w:sz w:val="24"/>
          <w:szCs w:val="20"/>
          <w:lang w:eastAsia="cs-CZ"/>
        </w:rPr>
        <w:t>8</w:t>
      </w:r>
      <w:r w:rsidR="00F42E89">
        <w:rPr>
          <w:rFonts w:ascii="Calibri" w:eastAsia="Times New Roman" w:hAnsi="Calibri" w:cs="Times New Roman"/>
          <w:sz w:val="24"/>
          <w:szCs w:val="20"/>
          <w:lang w:eastAsia="cs-CZ"/>
        </w:rPr>
        <w:t xml:space="preserve"> tis. Kč, </w:t>
      </w:r>
      <w:proofErr w:type="spellStart"/>
      <w:r w:rsidR="00F42E89">
        <w:rPr>
          <w:rFonts w:ascii="Calibri" w:eastAsia="Times New Roman" w:hAnsi="Calibri" w:cs="Times New Roman"/>
          <w:sz w:val="24"/>
          <w:szCs w:val="20"/>
          <w:lang w:eastAsia="cs-CZ"/>
        </w:rPr>
        <w:t>neinvestice</w:t>
      </w:r>
      <w:proofErr w:type="spellEnd"/>
      <w:r w:rsidR="00BE070B">
        <w:rPr>
          <w:rFonts w:ascii="Calibri" w:eastAsia="Times New Roman" w:hAnsi="Calibri" w:cs="Times New Roman"/>
          <w:sz w:val="24"/>
          <w:szCs w:val="20"/>
          <w:lang w:eastAsia="cs-CZ"/>
        </w:rPr>
        <w:t xml:space="preserve">                   </w:t>
      </w:r>
      <w:r w:rsidR="00F42E89">
        <w:rPr>
          <w:rFonts w:ascii="Calibri" w:eastAsia="Times New Roman" w:hAnsi="Calibri" w:cs="Times New Roman"/>
          <w:sz w:val="24"/>
          <w:szCs w:val="20"/>
          <w:lang w:eastAsia="cs-CZ"/>
        </w:rPr>
        <w:t xml:space="preserve"> 233 tis. Kč) jednalo se o prostředky EU.  </w:t>
      </w:r>
    </w:p>
    <w:p w14:paraId="23F0B880" w14:textId="73BF6839" w:rsidR="002718BB" w:rsidRPr="000056C4" w:rsidRDefault="000530E1" w:rsidP="006B6D61">
      <w:pPr>
        <w:pStyle w:val="KOMtext"/>
        <w:rPr>
          <w:lang w:eastAsia="ar-SA"/>
        </w:rPr>
      </w:pPr>
      <w:r w:rsidRPr="000056C4">
        <w:rPr>
          <w:rFonts w:ascii="Calibri" w:hAnsi="Calibri"/>
          <w:b/>
        </w:rPr>
        <w:t>Státní plavební správa</w:t>
      </w:r>
      <w:r w:rsidRPr="000056C4">
        <w:rPr>
          <w:rFonts w:ascii="Calibri" w:hAnsi="Calibri"/>
        </w:rPr>
        <w:t xml:space="preserve"> vynaložila investiční výdaje v celkové výši </w:t>
      </w:r>
      <w:r w:rsidRPr="000056C4">
        <w:rPr>
          <w:rFonts w:ascii="Calibri" w:hAnsi="Calibri"/>
          <w:b/>
        </w:rPr>
        <w:t>4 511 tis. Kč</w:t>
      </w:r>
      <w:r w:rsidR="00BE6350" w:rsidRPr="000056C4">
        <w:rPr>
          <w:rFonts w:ascii="Calibri" w:hAnsi="Calibri"/>
        </w:rPr>
        <w:t xml:space="preserve">, z toho například na obnovu programového vybavení </w:t>
      </w:r>
      <w:r w:rsidR="00E8083F" w:rsidRPr="000056C4">
        <w:rPr>
          <w:rFonts w:ascii="Calibri" w:hAnsi="Calibri"/>
        </w:rPr>
        <w:t xml:space="preserve">(3 000 tis. Kč), </w:t>
      </w:r>
      <w:r w:rsidR="00977E38" w:rsidRPr="000056C4">
        <w:rPr>
          <w:rFonts w:ascii="Calibri" w:hAnsi="Calibri"/>
        </w:rPr>
        <w:t xml:space="preserve">a na obnovu výpočetní techniky                       </w:t>
      </w:r>
      <w:proofErr w:type="gramStart"/>
      <w:r w:rsidR="00977E38" w:rsidRPr="000056C4">
        <w:rPr>
          <w:rFonts w:ascii="Calibri" w:hAnsi="Calibri"/>
        </w:rPr>
        <w:t xml:space="preserve">   (</w:t>
      </w:r>
      <w:proofErr w:type="gramEnd"/>
      <w:r w:rsidR="00977E38" w:rsidRPr="000056C4">
        <w:rPr>
          <w:rFonts w:ascii="Calibri" w:hAnsi="Calibri"/>
        </w:rPr>
        <w:t>990 tis. Kč).</w:t>
      </w:r>
    </w:p>
    <w:p w14:paraId="335D2C2A" w14:textId="3FEB3BE4" w:rsidR="003F0055" w:rsidRPr="006B6D61" w:rsidRDefault="00F07405" w:rsidP="006B6D61">
      <w:pPr>
        <w:pStyle w:val="KOMtext"/>
        <w:rPr>
          <w:lang w:eastAsia="ar-SA"/>
        </w:rPr>
      </w:pPr>
      <w:r w:rsidRPr="000056C4">
        <w:rPr>
          <w:b/>
          <w:bCs/>
          <w:lang w:eastAsia="ar-SA"/>
        </w:rPr>
        <w:t xml:space="preserve">Dopravní a energetický stavební úřad </w:t>
      </w:r>
      <w:r w:rsidRPr="000056C4">
        <w:rPr>
          <w:lang w:eastAsia="ar-SA"/>
        </w:rPr>
        <w:t xml:space="preserve">čerpal výdaje v celkové výši </w:t>
      </w:r>
      <w:r w:rsidRPr="000056C4">
        <w:rPr>
          <w:b/>
          <w:bCs/>
          <w:lang w:eastAsia="ar-SA"/>
        </w:rPr>
        <w:t>8 39</w:t>
      </w:r>
      <w:r w:rsidR="00BE070B">
        <w:rPr>
          <w:b/>
          <w:bCs/>
          <w:lang w:eastAsia="ar-SA"/>
        </w:rPr>
        <w:t>8</w:t>
      </w:r>
      <w:r w:rsidRPr="000056C4">
        <w:rPr>
          <w:b/>
          <w:bCs/>
          <w:lang w:eastAsia="ar-SA"/>
        </w:rPr>
        <w:t xml:space="preserve"> tis. Kč</w:t>
      </w:r>
      <w:r w:rsidR="000D48A5" w:rsidRPr="000056C4">
        <w:rPr>
          <w:lang w:eastAsia="ar-SA"/>
        </w:rPr>
        <w:t>, z toho EU prostředky z Národního plánu obnovu ve výši 6 941 tis. Kč.</w:t>
      </w:r>
      <w:r w:rsidR="00BE070B">
        <w:rPr>
          <w:lang w:eastAsia="ar-SA"/>
        </w:rPr>
        <w:t xml:space="preserve"> Jednalo se o investiční výdaje </w:t>
      </w:r>
      <w:r w:rsidR="009207F0">
        <w:rPr>
          <w:lang w:eastAsia="ar-SA"/>
        </w:rPr>
        <w:t xml:space="preserve">                   </w:t>
      </w:r>
      <w:r w:rsidR="00BE070B">
        <w:rPr>
          <w:lang w:eastAsia="ar-SA"/>
        </w:rPr>
        <w:t xml:space="preserve">ve výši 8 116 tis. Kč – z toho prostředky EU 6 708 tis. Kč a neinvestiční výdaje ve výši </w:t>
      </w:r>
      <w:r w:rsidR="009207F0">
        <w:rPr>
          <w:lang w:eastAsia="ar-SA"/>
        </w:rPr>
        <w:t xml:space="preserve">                                </w:t>
      </w:r>
      <w:r w:rsidR="00BE070B">
        <w:rPr>
          <w:lang w:eastAsia="ar-SA"/>
        </w:rPr>
        <w:t xml:space="preserve">282 tis. Kč, z toho prostředky EU 233 tis. Kč. </w:t>
      </w:r>
      <w:r w:rsidR="000D48A5" w:rsidRPr="000056C4">
        <w:rPr>
          <w:lang w:eastAsia="ar-SA"/>
        </w:rPr>
        <w:t xml:space="preserve">Prostředky byly čerpány </w:t>
      </w:r>
      <w:r w:rsidR="0081705C" w:rsidRPr="000056C4">
        <w:rPr>
          <w:lang w:eastAsia="ar-SA"/>
        </w:rPr>
        <w:t xml:space="preserve">na pořízení ekonomického informačního systému </w:t>
      </w:r>
      <w:r w:rsidR="00FD35C7" w:rsidRPr="000056C4">
        <w:rPr>
          <w:lang w:eastAsia="ar-SA"/>
        </w:rPr>
        <w:t>(1 170 tis. Kč, z toho EU prostředky</w:t>
      </w:r>
      <w:r w:rsidR="009207F0">
        <w:rPr>
          <w:lang w:eastAsia="ar-SA"/>
        </w:rPr>
        <w:t xml:space="preserve"> </w:t>
      </w:r>
      <w:r w:rsidR="00FB76CF" w:rsidRPr="000056C4">
        <w:rPr>
          <w:lang w:eastAsia="ar-SA"/>
        </w:rPr>
        <w:t xml:space="preserve">967 tis. Kč) a pořízení výpočetní techniky </w:t>
      </w:r>
      <w:r w:rsidR="00D94CCB" w:rsidRPr="000056C4">
        <w:rPr>
          <w:lang w:eastAsia="ar-SA"/>
        </w:rPr>
        <w:t xml:space="preserve">(7 229 tis. Kč, z toho EU prostředky </w:t>
      </w:r>
      <w:r w:rsidR="000056C4" w:rsidRPr="000056C4">
        <w:rPr>
          <w:lang w:eastAsia="ar-SA"/>
        </w:rPr>
        <w:t>5 974 tis. Kč).</w:t>
      </w:r>
    </w:p>
    <w:p w14:paraId="1FC697D2" w14:textId="319B88A1" w:rsidR="00AD0195" w:rsidRPr="00A819EB" w:rsidRDefault="00AD0195" w:rsidP="00B624C3">
      <w:pPr>
        <w:keepLines/>
        <w:numPr>
          <w:ilvl w:val="0"/>
          <w:numId w:val="24"/>
        </w:numPr>
        <w:spacing w:before="120" w:after="120" w:line="276" w:lineRule="auto"/>
        <w:contextualSpacing/>
        <w:jc w:val="both"/>
        <w:rPr>
          <w:rFonts w:ascii="Calibri" w:eastAsia="Times New Roman" w:hAnsi="Calibri" w:cs="Calibri"/>
          <w:sz w:val="24"/>
          <w:szCs w:val="24"/>
          <w:lang w:eastAsia="cs-CZ"/>
        </w:rPr>
      </w:pPr>
      <w:r w:rsidRPr="00A819EB">
        <w:rPr>
          <w:rFonts w:ascii="Calibri" w:eastAsia="Times New Roman" w:hAnsi="Calibri" w:cs="Calibri"/>
          <w:i/>
          <w:sz w:val="24"/>
          <w:szCs w:val="24"/>
          <w:lang w:eastAsia="cs-CZ"/>
        </w:rPr>
        <w:t>127V0720 „Rozvoj a obnova MTZ Ministerstva dopravy“</w:t>
      </w:r>
    </w:p>
    <w:p w14:paraId="59134792" w14:textId="35C1650B" w:rsidR="00AD0195" w:rsidRPr="00C0201E" w:rsidRDefault="00AD0195" w:rsidP="00A819EB">
      <w:pPr>
        <w:keepLines/>
        <w:spacing w:before="240" w:after="120" w:line="276" w:lineRule="auto"/>
        <w:contextualSpacing/>
        <w:jc w:val="both"/>
        <w:rPr>
          <w:rFonts w:ascii="Calibri" w:eastAsia="Times New Roman" w:hAnsi="Calibri" w:cs="Calibri"/>
          <w:sz w:val="24"/>
          <w:szCs w:val="24"/>
          <w:lang w:eastAsia="cs-CZ"/>
        </w:rPr>
      </w:pPr>
      <w:r w:rsidRPr="006B6D61">
        <w:rPr>
          <w:rFonts w:ascii="Calibri" w:eastAsia="Calibri" w:hAnsi="Calibri" w:cs="Times New Roman"/>
          <w:sz w:val="24"/>
          <w:szCs w:val="24"/>
        </w:rPr>
        <w:t xml:space="preserve">V uvedeném </w:t>
      </w:r>
      <w:proofErr w:type="spellStart"/>
      <w:r w:rsidRPr="006B6D61">
        <w:rPr>
          <w:rFonts w:ascii="Calibri" w:eastAsia="Calibri" w:hAnsi="Calibri" w:cs="Times New Roman"/>
          <w:sz w:val="24"/>
          <w:szCs w:val="24"/>
        </w:rPr>
        <w:t>subtitulu</w:t>
      </w:r>
      <w:proofErr w:type="spellEnd"/>
      <w:r w:rsidRPr="006B6D61">
        <w:rPr>
          <w:rFonts w:ascii="Calibri" w:eastAsia="Calibri" w:hAnsi="Calibri" w:cs="Times New Roman"/>
          <w:sz w:val="24"/>
          <w:szCs w:val="24"/>
        </w:rPr>
        <w:t xml:space="preserve"> byly použity </w:t>
      </w:r>
      <w:r w:rsidR="00A819EB">
        <w:rPr>
          <w:rFonts w:ascii="Calibri" w:eastAsia="Calibri" w:hAnsi="Calibri" w:cs="Times New Roman"/>
          <w:sz w:val="24"/>
          <w:szCs w:val="24"/>
        </w:rPr>
        <w:t xml:space="preserve">investiční </w:t>
      </w:r>
      <w:r w:rsidRPr="006B6D61">
        <w:rPr>
          <w:rFonts w:ascii="Calibri" w:eastAsia="Calibri" w:hAnsi="Calibri" w:cs="Times New Roman"/>
          <w:sz w:val="24"/>
          <w:szCs w:val="24"/>
        </w:rPr>
        <w:t xml:space="preserve">prostředky státního rozpočtu ve výši </w:t>
      </w:r>
      <w:r w:rsidR="00A819EB">
        <w:rPr>
          <w:rFonts w:ascii="Calibri" w:eastAsia="Calibri" w:hAnsi="Calibri" w:cs="Times New Roman"/>
          <w:sz w:val="24"/>
          <w:szCs w:val="24"/>
        </w:rPr>
        <w:t xml:space="preserve">                          </w:t>
      </w:r>
      <w:r w:rsidR="00BD0EEC" w:rsidRPr="00C0201E">
        <w:rPr>
          <w:rFonts w:ascii="Calibri" w:eastAsia="Calibri" w:hAnsi="Calibri" w:cs="Times New Roman"/>
          <w:b/>
          <w:iCs/>
          <w:sz w:val="24"/>
          <w:szCs w:val="24"/>
        </w:rPr>
        <w:t xml:space="preserve">2 503 </w:t>
      </w:r>
      <w:r w:rsidRPr="006B6D61">
        <w:rPr>
          <w:rFonts w:ascii="Calibri" w:eastAsia="Calibri" w:hAnsi="Calibri" w:cs="Times New Roman"/>
          <w:b/>
          <w:sz w:val="24"/>
          <w:szCs w:val="24"/>
        </w:rPr>
        <w:t>tis. Kč</w:t>
      </w:r>
      <w:r w:rsidRPr="006B6D61">
        <w:rPr>
          <w:rFonts w:ascii="Calibri" w:eastAsia="Calibri" w:hAnsi="Calibri" w:cs="Times New Roman"/>
          <w:sz w:val="24"/>
          <w:szCs w:val="24"/>
        </w:rPr>
        <w:t xml:space="preserve">, </w:t>
      </w:r>
      <w:r w:rsidR="00106782" w:rsidRPr="00C0201E">
        <w:rPr>
          <w:rFonts w:ascii="Calibri" w:eastAsia="Calibri" w:hAnsi="Calibri" w:cs="Times New Roman"/>
          <w:sz w:val="24"/>
          <w:szCs w:val="24"/>
        </w:rPr>
        <w:t>z toho zdroj rezervního fondu 705 tis. Kč</w:t>
      </w:r>
      <w:r w:rsidR="00C71EEF" w:rsidRPr="00C0201E">
        <w:rPr>
          <w:rFonts w:ascii="Calibri" w:eastAsia="Calibri" w:hAnsi="Calibri" w:cs="Times New Roman"/>
          <w:sz w:val="24"/>
          <w:szCs w:val="24"/>
        </w:rPr>
        <w:t>,</w:t>
      </w:r>
      <w:r w:rsidRPr="006B6D61">
        <w:rPr>
          <w:rFonts w:ascii="Calibri" w:eastAsia="Calibri" w:hAnsi="Calibri" w:cs="Times New Roman"/>
          <w:sz w:val="24"/>
          <w:szCs w:val="24"/>
        </w:rPr>
        <w:t xml:space="preserve"> na </w:t>
      </w:r>
      <w:r w:rsidR="00C71EEF" w:rsidRPr="00C0201E">
        <w:rPr>
          <w:rFonts w:ascii="Calibri" w:eastAsia="Calibri" w:hAnsi="Calibri" w:cs="Times New Roman"/>
          <w:sz w:val="24"/>
          <w:szCs w:val="24"/>
        </w:rPr>
        <w:t xml:space="preserve">renovaci místností </w:t>
      </w:r>
      <w:r w:rsidR="00ED343A" w:rsidRPr="00C0201E">
        <w:rPr>
          <w:rFonts w:ascii="Calibri" w:eastAsia="Calibri" w:hAnsi="Calibri" w:cs="Times New Roman"/>
          <w:sz w:val="24"/>
          <w:szCs w:val="24"/>
        </w:rPr>
        <w:t>ústředního</w:t>
      </w:r>
      <w:r w:rsidR="00C71EEF" w:rsidRPr="00C0201E">
        <w:rPr>
          <w:rFonts w:ascii="Calibri" w:eastAsia="Calibri" w:hAnsi="Calibri" w:cs="Times New Roman"/>
          <w:sz w:val="24"/>
          <w:szCs w:val="24"/>
        </w:rPr>
        <w:t xml:space="preserve"> orgánu (1 798 tis. Kč)</w:t>
      </w:r>
      <w:r w:rsidR="00A819EB">
        <w:rPr>
          <w:rFonts w:ascii="Calibri" w:eastAsia="Calibri" w:hAnsi="Calibri" w:cs="Times New Roman"/>
          <w:sz w:val="24"/>
          <w:szCs w:val="24"/>
        </w:rPr>
        <w:t xml:space="preserve"> </w:t>
      </w:r>
      <w:r w:rsidR="00C71EEF" w:rsidRPr="00C0201E">
        <w:rPr>
          <w:rFonts w:ascii="Calibri" w:eastAsia="Calibri" w:hAnsi="Calibri" w:cs="Times New Roman"/>
          <w:sz w:val="24"/>
          <w:szCs w:val="24"/>
        </w:rPr>
        <w:t xml:space="preserve">a </w:t>
      </w:r>
      <w:r w:rsidR="00C0201E" w:rsidRPr="00C0201E">
        <w:rPr>
          <w:rFonts w:ascii="Calibri" w:eastAsia="Calibri" w:hAnsi="Calibri" w:cs="Times New Roman"/>
          <w:sz w:val="24"/>
          <w:szCs w:val="24"/>
        </w:rPr>
        <w:t>na informační kampaň ke změnám v zákoně o silničním o provozu</w:t>
      </w:r>
      <w:r w:rsidR="00A819EB">
        <w:rPr>
          <w:rFonts w:ascii="Calibri" w:eastAsia="Calibri" w:hAnsi="Calibri" w:cs="Times New Roman"/>
          <w:sz w:val="24"/>
          <w:szCs w:val="24"/>
        </w:rPr>
        <w:t xml:space="preserve">                    </w:t>
      </w:r>
      <w:proofErr w:type="gramStart"/>
      <w:r w:rsidR="00A819EB">
        <w:rPr>
          <w:rFonts w:ascii="Calibri" w:eastAsia="Calibri" w:hAnsi="Calibri" w:cs="Times New Roman"/>
          <w:sz w:val="24"/>
          <w:szCs w:val="24"/>
        </w:rPr>
        <w:t xml:space="preserve">  </w:t>
      </w:r>
      <w:r w:rsidR="00C0201E" w:rsidRPr="00C0201E">
        <w:rPr>
          <w:rFonts w:ascii="Calibri" w:eastAsia="Calibri" w:hAnsi="Calibri" w:cs="Times New Roman"/>
          <w:sz w:val="24"/>
          <w:szCs w:val="24"/>
        </w:rPr>
        <w:t xml:space="preserve"> (</w:t>
      </w:r>
      <w:proofErr w:type="gramEnd"/>
      <w:r w:rsidR="00C0201E" w:rsidRPr="00C0201E">
        <w:rPr>
          <w:rFonts w:ascii="Calibri" w:eastAsia="Calibri" w:hAnsi="Calibri" w:cs="Times New Roman"/>
          <w:sz w:val="24"/>
          <w:szCs w:val="24"/>
        </w:rPr>
        <w:t>705 tis. Kč).</w:t>
      </w:r>
    </w:p>
    <w:p w14:paraId="53AD802F" w14:textId="77777777" w:rsidR="00AD0195" w:rsidRPr="006B589E" w:rsidRDefault="00AD0195" w:rsidP="00AD0195">
      <w:pPr>
        <w:keepLines/>
        <w:spacing w:before="120" w:after="120" w:line="276" w:lineRule="auto"/>
        <w:ind w:left="720"/>
        <w:contextualSpacing/>
        <w:jc w:val="both"/>
        <w:rPr>
          <w:rFonts w:ascii="Calibri" w:eastAsia="Times New Roman" w:hAnsi="Calibri" w:cs="Calibri"/>
          <w:sz w:val="24"/>
          <w:szCs w:val="24"/>
          <w:lang w:eastAsia="cs-CZ"/>
        </w:rPr>
      </w:pPr>
    </w:p>
    <w:p w14:paraId="421B643D" w14:textId="096F4550" w:rsidR="00AD0195" w:rsidRPr="006B589E" w:rsidRDefault="00AD0195" w:rsidP="00E54955">
      <w:pPr>
        <w:keepLines/>
        <w:numPr>
          <w:ilvl w:val="0"/>
          <w:numId w:val="25"/>
        </w:numPr>
        <w:spacing w:before="120" w:after="120" w:line="276" w:lineRule="auto"/>
        <w:contextualSpacing/>
        <w:jc w:val="both"/>
        <w:rPr>
          <w:rFonts w:ascii="Calibri" w:eastAsia="Times New Roman" w:hAnsi="Calibri" w:cs="Calibri"/>
          <w:sz w:val="24"/>
          <w:szCs w:val="24"/>
          <w:lang w:eastAsia="cs-CZ"/>
        </w:rPr>
      </w:pPr>
      <w:r w:rsidRPr="006B589E">
        <w:rPr>
          <w:rFonts w:ascii="Calibri" w:eastAsia="Times New Roman" w:hAnsi="Calibri" w:cs="Calibri"/>
          <w:i/>
          <w:sz w:val="24"/>
          <w:szCs w:val="24"/>
          <w:lang w:eastAsia="cs-CZ"/>
        </w:rPr>
        <w:t>127V07</w:t>
      </w:r>
      <w:r w:rsidR="002B30B7" w:rsidRPr="006B589E">
        <w:rPr>
          <w:rFonts w:ascii="Calibri" w:eastAsia="Times New Roman" w:hAnsi="Calibri" w:cs="Calibri"/>
          <w:i/>
          <w:sz w:val="24"/>
          <w:szCs w:val="24"/>
          <w:lang w:eastAsia="cs-CZ"/>
        </w:rPr>
        <w:t>3</w:t>
      </w:r>
      <w:r w:rsidRPr="006B589E">
        <w:rPr>
          <w:rFonts w:ascii="Calibri" w:eastAsia="Times New Roman" w:hAnsi="Calibri" w:cs="Calibri"/>
          <w:i/>
          <w:sz w:val="24"/>
          <w:szCs w:val="24"/>
          <w:lang w:eastAsia="cs-CZ"/>
        </w:rPr>
        <w:t xml:space="preserve">0 „Rozvoj a obnova MTZ </w:t>
      </w:r>
      <w:r w:rsidR="002B30B7" w:rsidRPr="006B589E">
        <w:rPr>
          <w:rFonts w:ascii="Calibri" w:eastAsia="Times New Roman" w:hAnsi="Calibri" w:cs="Calibri"/>
          <w:i/>
          <w:sz w:val="24"/>
          <w:szCs w:val="24"/>
          <w:lang w:eastAsia="cs-CZ"/>
        </w:rPr>
        <w:t>Drážního úřadu</w:t>
      </w:r>
      <w:r w:rsidRPr="006B589E">
        <w:rPr>
          <w:rFonts w:ascii="Calibri" w:eastAsia="Times New Roman" w:hAnsi="Calibri" w:cs="Calibri"/>
          <w:i/>
          <w:sz w:val="24"/>
          <w:szCs w:val="24"/>
          <w:lang w:eastAsia="cs-CZ"/>
        </w:rPr>
        <w:t>“</w:t>
      </w:r>
    </w:p>
    <w:p w14:paraId="2FE157D8" w14:textId="5340CB4C" w:rsidR="00AD0195" w:rsidRPr="006B589E" w:rsidRDefault="00AD0195" w:rsidP="00AD0195">
      <w:pPr>
        <w:keepLines/>
        <w:spacing w:before="240" w:after="240" w:line="276" w:lineRule="auto"/>
        <w:jc w:val="both"/>
        <w:rPr>
          <w:rFonts w:ascii="Calibri" w:eastAsia="Times New Roman" w:hAnsi="Calibri" w:cs="Times New Roman"/>
          <w:sz w:val="24"/>
          <w:szCs w:val="20"/>
          <w:lang w:eastAsia="cs-CZ"/>
        </w:rPr>
      </w:pPr>
      <w:r w:rsidRPr="006B589E">
        <w:rPr>
          <w:rFonts w:ascii="Calibri" w:eastAsia="Times New Roman" w:hAnsi="Calibri" w:cs="Times New Roman"/>
          <w:sz w:val="24"/>
          <w:szCs w:val="20"/>
          <w:lang w:eastAsia="cs-CZ"/>
        </w:rPr>
        <w:t xml:space="preserve">V rámci tohoto </w:t>
      </w:r>
      <w:proofErr w:type="spellStart"/>
      <w:r w:rsidRPr="006B589E">
        <w:rPr>
          <w:rFonts w:ascii="Calibri" w:eastAsia="Times New Roman" w:hAnsi="Calibri" w:cs="Times New Roman"/>
          <w:sz w:val="24"/>
          <w:szCs w:val="20"/>
          <w:lang w:eastAsia="cs-CZ"/>
        </w:rPr>
        <w:t>subtitulu</w:t>
      </w:r>
      <w:proofErr w:type="spellEnd"/>
      <w:r w:rsidRPr="006B589E">
        <w:rPr>
          <w:rFonts w:ascii="Calibri" w:eastAsia="Times New Roman" w:hAnsi="Calibri" w:cs="Times New Roman"/>
          <w:sz w:val="24"/>
          <w:szCs w:val="20"/>
          <w:lang w:eastAsia="cs-CZ"/>
        </w:rPr>
        <w:t xml:space="preserve"> byly čerpány investiční prostředky ve výši </w:t>
      </w:r>
      <w:r w:rsidR="002B30B7" w:rsidRPr="006B6D61">
        <w:rPr>
          <w:rFonts w:ascii="Calibri" w:eastAsia="Times New Roman" w:hAnsi="Calibri" w:cs="Times New Roman"/>
          <w:b/>
          <w:bCs/>
          <w:sz w:val="24"/>
          <w:szCs w:val="20"/>
          <w:lang w:eastAsia="cs-CZ"/>
        </w:rPr>
        <w:t>136</w:t>
      </w:r>
      <w:r w:rsidR="002B30B7" w:rsidRPr="006B589E">
        <w:rPr>
          <w:rFonts w:ascii="Calibri" w:eastAsia="Times New Roman" w:hAnsi="Calibri" w:cs="Times New Roman"/>
          <w:sz w:val="24"/>
          <w:szCs w:val="20"/>
          <w:lang w:eastAsia="cs-CZ"/>
        </w:rPr>
        <w:t xml:space="preserve"> </w:t>
      </w:r>
      <w:r w:rsidRPr="006B6D61">
        <w:rPr>
          <w:rFonts w:ascii="Calibri" w:eastAsia="Times New Roman" w:hAnsi="Calibri" w:cs="Times New Roman"/>
          <w:b/>
          <w:bCs/>
          <w:sz w:val="24"/>
          <w:szCs w:val="20"/>
          <w:lang w:eastAsia="cs-CZ"/>
        </w:rPr>
        <w:t>tis. Kč</w:t>
      </w:r>
      <w:r w:rsidRPr="006B589E">
        <w:rPr>
          <w:rFonts w:ascii="Calibri" w:eastAsia="Times New Roman" w:hAnsi="Calibri" w:cs="Times New Roman"/>
          <w:sz w:val="24"/>
          <w:szCs w:val="20"/>
          <w:lang w:eastAsia="cs-CZ"/>
        </w:rPr>
        <w:t xml:space="preserve"> na pořízení kancelářské techniky. </w:t>
      </w:r>
    </w:p>
    <w:p w14:paraId="72F3D195" w14:textId="32AF5D4D" w:rsidR="00AD0195" w:rsidRPr="00AD0195" w:rsidRDefault="00AD0195" w:rsidP="00AD0195">
      <w:pPr>
        <w:keepNext/>
        <w:numPr>
          <w:ilvl w:val="0"/>
          <w:numId w:val="14"/>
        </w:numPr>
        <w:suppressAutoHyphens/>
        <w:spacing w:before="240" w:after="120" w:line="240" w:lineRule="auto"/>
        <w:ind w:left="709" w:hanging="425"/>
        <w:jc w:val="both"/>
        <w:rPr>
          <w:rFonts w:ascii="Calibri" w:eastAsia="Times New Roman" w:hAnsi="Calibri" w:cs="Calibri"/>
          <w:sz w:val="24"/>
          <w:szCs w:val="24"/>
          <w:lang w:eastAsia="cs-CZ"/>
        </w:rPr>
      </w:pPr>
      <w:r w:rsidRPr="00AD0195">
        <w:rPr>
          <w:rFonts w:ascii="Calibri" w:eastAsia="Times New Roman" w:hAnsi="Calibri" w:cs="Calibri"/>
          <w:i/>
          <w:sz w:val="24"/>
          <w:szCs w:val="24"/>
          <w:lang w:eastAsia="cs-CZ"/>
        </w:rPr>
        <w:t>127V0</w:t>
      </w:r>
      <w:r>
        <w:rPr>
          <w:rFonts w:ascii="Calibri" w:eastAsia="Times New Roman" w:hAnsi="Calibri" w:cs="Calibri"/>
          <w:i/>
          <w:sz w:val="24"/>
          <w:szCs w:val="24"/>
          <w:lang w:eastAsia="cs-CZ"/>
        </w:rPr>
        <w:t>7</w:t>
      </w:r>
      <w:r w:rsidRPr="00AD0195">
        <w:rPr>
          <w:rFonts w:ascii="Calibri" w:eastAsia="Times New Roman" w:hAnsi="Calibri" w:cs="Calibri"/>
          <w:i/>
          <w:sz w:val="24"/>
          <w:szCs w:val="24"/>
          <w:lang w:eastAsia="cs-CZ"/>
        </w:rPr>
        <w:t xml:space="preserve">50 „Rozvoj a obnova MTZ Státní plavební správy“ </w:t>
      </w:r>
    </w:p>
    <w:p w14:paraId="0EBC3259" w14:textId="4DF37400" w:rsidR="00AD0195" w:rsidRPr="00ED31D5" w:rsidRDefault="00AD0195" w:rsidP="00AD0195">
      <w:pPr>
        <w:keepLines/>
        <w:spacing w:before="240" w:after="240" w:line="276" w:lineRule="auto"/>
        <w:jc w:val="both"/>
        <w:rPr>
          <w:rFonts w:ascii="Calibri" w:eastAsia="Times New Roman" w:hAnsi="Calibri" w:cs="Times New Roman"/>
          <w:sz w:val="24"/>
          <w:szCs w:val="20"/>
          <w:lang w:eastAsia="cs-CZ"/>
        </w:rPr>
      </w:pPr>
      <w:r w:rsidRPr="00ED31D5">
        <w:rPr>
          <w:rFonts w:ascii="Calibri" w:eastAsia="Times New Roman" w:hAnsi="Calibri" w:cs="Times New Roman"/>
          <w:sz w:val="24"/>
          <w:szCs w:val="20"/>
          <w:lang w:eastAsia="cs-CZ"/>
        </w:rPr>
        <w:t xml:space="preserve">V rámci tohoto </w:t>
      </w:r>
      <w:proofErr w:type="spellStart"/>
      <w:r w:rsidRPr="00ED31D5">
        <w:rPr>
          <w:rFonts w:ascii="Calibri" w:eastAsia="Times New Roman" w:hAnsi="Calibri" w:cs="Times New Roman"/>
          <w:sz w:val="24"/>
          <w:szCs w:val="20"/>
          <w:lang w:eastAsia="cs-CZ"/>
        </w:rPr>
        <w:t>subtitulu</w:t>
      </w:r>
      <w:proofErr w:type="spellEnd"/>
      <w:r w:rsidRPr="00ED31D5">
        <w:rPr>
          <w:rFonts w:ascii="Calibri" w:eastAsia="Times New Roman" w:hAnsi="Calibri" w:cs="Times New Roman"/>
          <w:sz w:val="24"/>
          <w:szCs w:val="20"/>
          <w:lang w:eastAsia="cs-CZ"/>
        </w:rPr>
        <w:t xml:space="preserve"> byly využity investiční prostředky státního rozpočtu ve výši </w:t>
      </w:r>
      <w:r w:rsidR="00ED31D5" w:rsidRPr="00ED31D5">
        <w:rPr>
          <w:rFonts w:ascii="Calibri" w:eastAsia="Times New Roman" w:hAnsi="Calibri" w:cs="Times New Roman"/>
          <w:sz w:val="24"/>
          <w:szCs w:val="20"/>
          <w:lang w:eastAsia="cs-CZ"/>
        </w:rPr>
        <w:t xml:space="preserve">                             </w:t>
      </w:r>
      <w:r w:rsidR="00ED31D5" w:rsidRPr="006B6D61">
        <w:rPr>
          <w:rFonts w:ascii="Calibri" w:eastAsia="Times New Roman" w:hAnsi="Calibri" w:cs="Times New Roman"/>
          <w:b/>
          <w:bCs/>
          <w:sz w:val="24"/>
          <w:szCs w:val="20"/>
          <w:lang w:eastAsia="cs-CZ"/>
        </w:rPr>
        <w:t>137</w:t>
      </w:r>
      <w:r w:rsidRPr="00ED31D5">
        <w:rPr>
          <w:rFonts w:ascii="Calibri" w:eastAsia="Times New Roman" w:hAnsi="Calibri" w:cs="Times New Roman"/>
          <w:sz w:val="24"/>
          <w:szCs w:val="20"/>
          <w:lang w:eastAsia="cs-CZ"/>
        </w:rPr>
        <w:t xml:space="preserve"> </w:t>
      </w:r>
      <w:r w:rsidRPr="00ED31D5">
        <w:rPr>
          <w:rFonts w:ascii="Calibri" w:eastAsia="Times New Roman" w:hAnsi="Calibri" w:cs="Times New Roman"/>
          <w:b/>
          <w:i/>
          <w:sz w:val="24"/>
          <w:szCs w:val="20"/>
          <w:lang w:eastAsia="cs-CZ"/>
        </w:rPr>
        <w:t>tis. Kč</w:t>
      </w:r>
      <w:r w:rsidRPr="00ED31D5">
        <w:rPr>
          <w:rFonts w:ascii="Calibri" w:eastAsia="Times New Roman" w:hAnsi="Calibri" w:cs="Times New Roman"/>
          <w:sz w:val="24"/>
          <w:szCs w:val="20"/>
          <w:lang w:eastAsia="cs-CZ"/>
        </w:rPr>
        <w:t xml:space="preserve"> pořízení kancelářské</w:t>
      </w:r>
      <w:r w:rsidR="00ED31D5" w:rsidRPr="00ED31D5">
        <w:rPr>
          <w:rFonts w:ascii="Calibri" w:eastAsia="Times New Roman" w:hAnsi="Calibri" w:cs="Times New Roman"/>
          <w:sz w:val="24"/>
          <w:szCs w:val="20"/>
          <w:lang w:eastAsia="cs-CZ"/>
        </w:rPr>
        <w:t>ho vybavení.</w:t>
      </w:r>
      <w:r w:rsidRPr="00ED31D5">
        <w:rPr>
          <w:rFonts w:ascii="Calibri" w:eastAsia="Times New Roman" w:hAnsi="Calibri" w:cs="Times New Roman"/>
          <w:sz w:val="24"/>
          <w:szCs w:val="20"/>
          <w:lang w:eastAsia="cs-CZ"/>
        </w:rPr>
        <w:t xml:space="preserve"> </w:t>
      </w:r>
    </w:p>
    <w:p w14:paraId="45E06BEA" w14:textId="7B83E583" w:rsidR="00AD0195" w:rsidRDefault="00AD0195" w:rsidP="00AD0195">
      <w:pPr>
        <w:keepLines/>
        <w:spacing w:before="240" w:after="240" w:line="276" w:lineRule="auto"/>
        <w:jc w:val="both"/>
        <w:rPr>
          <w:rFonts w:ascii="Calibri" w:eastAsia="Times New Roman" w:hAnsi="Calibri" w:cs="Times New Roman"/>
          <w:sz w:val="24"/>
          <w:szCs w:val="20"/>
          <w:lang w:eastAsia="cs-CZ"/>
        </w:rPr>
      </w:pPr>
      <w:r w:rsidRPr="00253C04">
        <w:rPr>
          <w:rFonts w:ascii="Calibri" w:eastAsia="Times New Roman" w:hAnsi="Calibri" w:cs="Times New Roman"/>
          <w:sz w:val="24"/>
          <w:szCs w:val="20"/>
          <w:lang w:eastAsia="cs-CZ"/>
        </w:rPr>
        <w:t xml:space="preserve">V rámci </w:t>
      </w:r>
      <w:proofErr w:type="spellStart"/>
      <w:r w:rsidRPr="00253C04">
        <w:rPr>
          <w:rFonts w:ascii="Calibri" w:eastAsia="Times New Roman" w:hAnsi="Calibri" w:cs="Times New Roman"/>
          <w:sz w:val="24"/>
          <w:szCs w:val="20"/>
          <w:lang w:eastAsia="cs-CZ"/>
        </w:rPr>
        <w:t>subtitul</w:t>
      </w:r>
      <w:r w:rsidR="002B707B" w:rsidRPr="00253C04">
        <w:rPr>
          <w:rFonts w:ascii="Calibri" w:eastAsia="Times New Roman" w:hAnsi="Calibri" w:cs="Times New Roman"/>
          <w:sz w:val="24"/>
          <w:szCs w:val="20"/>
          <w:lang w:eastAsia="cs-CZ"/>
        </w:rPr>
        <w:t>ů</w:t>
      </w:r>
      <w:proofErr w:type="spellEnd"/>
      <w:r w:rsidRPr="00253C04">
        <w:rPr>
          <w:rFonts w:ascii="Calibri" w:eastAsia="Times New Roman" w:hAnsi="Calibri" w:cs="Times New Roman"/>
          <w:sz w:val="24"/>
          <w:szCs w:val="20"/>
          <w:lang w:eastAsia="cs-CZ"/>
        </w:rPr>
        <w:t xml:space="preserve"> 127V0</w:t>
      </w:r>
      <w:r w:rsidR="002B707B" w:rsidRPr="00253C04">
        <w:rPr>
          <w:rFonts w:ascii="Calibri" w:eastAsia="Times New Roman" w:hAnsi="Calibri" w:cs="Times New Roman"/>
          <w:sz w:val="24"/>
          <w:szCs w:val="20"/>
          <w:lang w:eastAsia="cs-CZ"/>
        </w:rPr>
        <w:t>7</w:t>
      </w:r>
      <w:r w:rsidR="00ED31D5" w:rsidRPr="00253C04">
        <w:rPr>
          <w:rFonts w:ascii="Calibri" w:eastAsia="Times New Roman" w:hAnsi="Calibri" w:cs="Times New Roman"/>
          <w:sz w:val="24"/>
          <w:szCs w:val="20"/>
          <w:lang w:eastAsia="cs-CZ"/>
        </w:rPr>
        <w:t>4</w:t>
      </w:r>
      <w:r w:rsidRPr="00253C04">
        <w:rPr>
          <w:rFonts w:ascii="Calibri" w:eastAsia="Times New Roman" w:hAnsi="Calibri" w:cs="Times New Roman"/>
          <w:sz w:val="24"/>
          <w:szCs w:val="20"/>
          <w:lang w:eastAsia="cs-CZ"/>
        </w:rPr>
        <w:t xml:space="preserve">0 „Rozvoj a obnova MTZ </w:t>
      </w:r>
      <w:r w:rsidR="00ED31D5" w:rsidRPr="00253C04">
        <w:rPr>
          <w:rFonts w:ascii="Calibri" w:eastAsia="Times New Roman" w:hAnsi="Calibri" w:cs="Times New Roman"/>
          <w:sz w:val="24"/>
          <w:szCs w:val="20"/>
          <w:lang w:eastAsia="cs-CZ"/>
        </w:rPr>
        <w:t>Úřadu pro civilní letectví</w:t>
      </w:r>
      <w:r w:rsidRPr="00253C04">
        <w:rPr>
          <w:rFonts w:ascii="Calibri" w:eastAsia="Times New Roman" w:hAnsi="Calibri" w:cs="Times New Roman"/>
          <w:sz w:val="24"/>
          <w:szCs w:val="20"/>
          <w:lang w:eastAsia="cs-CZ"/>
        </w:rPr>
        <w:t>“</w:t>
      </w:r>
      <w:r w:rsidR="00ED31D5" w:rsidRPr="00253C04">
        <w:rPr>
          <w:rFonts w:ascii="Calibri" w:eastAsia="Times New Roman" w:hAnsi="Calibri" w:cs="Times New Roman"/>
          <w:sz w:val="24"/>
          <w:szCs w:val="20"/>
          <w:lang w:eastAsia="cs-CZ"/>
        </w:rPr>
        <w:t>, 127V0760</w:t>
      </w:r>
      <w:r w:rsidRPr="00253C04">
        <w:rPr>
          <w:rFonts w:ascii="Calibri" w:eastAsia="Times New Roman" w:hAnsi="Calibri" w:cs="Times New Roman"/>
          <w:sz w:val="24"/>
          <w:szCs w:val="20"/>
          <w:lang w:eastAsia="cs-CZ"/>
        </w:rPr>
        <w:t xml:space="preserve"> </w:t>
      </w:r>
      <w:r w:rsidR="00253C04" w:rsidRPr="00253C04">
        <w:rPr>
          <w:rFonts w:ascii="Calibri" w:eastAsia="Times New Roman" w:hAnsi="Calibri" w:cs="Times New Roman"/>
          <w:sz w:val="24"/>
          <w:szCs w:val="20"/>
          <w:lang w:eastAsia="cs-CZ"/>
        </w:rPr>
        <w:t>„</w:t>
      </w:r>
      <w:r w:rsidR="00ED31D5" w:rsidRPr="00253C04">
        <w:rPr>
          <w:rFonts w:ascii="Calibri" w:eastAsia="Times New Roman" w:hAnsi="Calibri" w:cs="Times New Roman"/>
          <w:sz w:val="24"/>
          <w:szCs w:val="20"/>
          <w:lang w:eastAsia="cs-CZ"/>
        </w:rPr>
        <w:t>Rozvoj a obnova MTZ Ředitelství vodních cest</w:t>
      </w:r>
      <w:r w:rsidR="00253C04" w:rsidRPr="00253C04">
        <w:rPr>
          <w:rFonts w:ascii="Calibri" w:eastAsia="Times New Roman" w:hAnsi="Calibri" w:cs="Times New Roman"/>
          <w:sz w:val="24"/>
          <w:szCs w:val="20"/>
          <w:lang w:eastAsia="cs-CZ"/>
        </w:rPr>
        <w:t xml:space="preserve">“, 127V0770 „Rozvoj a obnova MTZ Drážní inspekce“, 127V0780 „Rozvoj a obnova MTZ Ústavu pro odborné zjišťování příčin leteckých nehod“ a 127V0790 „Rozvoj a obnova MTZ Dopravního a energetického stavebního úřadu“ </w:t>
      </w:r>
      <w:r w:rsidRPr="00253C04">
        <w:rPr>
          <w:rFonts w:ascii="Calibri" w:eastAsia="Times New Roman" w:hAnsi="Calibri" w:cs="Times New Roman"/>
          <w:sz w:val="24"/>
          <w:szCs w:val="20"/>
          <w:lang w:eastAsia="cs-CZ"/>
        </w:rPr>
        <w:t>nebyly v roce 2023 čerpány žádné investiční prostředky státního rozpočtu.</w:t>
      </w:r>
    </w:p>
    <w:p w14:paraId="0CEC3CE6" w14:textId="77777777" w:rsidR="00ED343A" w:rsidRDefault="00ED343A" w:rsidP="00AD0195">
      <w:pPr>
        <w:keepLines/>
        <w:spacing w:before="240" w:after="240" w:line="276" w:lineRule="auto"/>
        <w:jc w:val="both"/>
        <w:rPr>
          <w:rFonts w:ascii="Calibri" w:eastAsia="Times New Roman" w:hAnsi="Calibri" w:cs="Times New Roman"/>
          <w:sz w:val="24"/>
          <w:szCs w:val="20"/>
          <w:lang w:eastAsia="cs-CZ"/>
        </w:rPr>
      </w:pPr>
    </w:p>
    <w:p w14:paraId="4E42951A" w14:textId="77777777" w:rsidR="00ED343A" w:rsidRDefault="00ED343A" w:rsidP="00AD0195">
      <w:pPr>
        <w:keepLines/>
        <w:spacing w:before="240" w:after="240" w:line="276" w:lineRule="auto"/>
        <w:jc w:val="both"/>
        <w:rPr>
          <w:rFonts w:ascii="Calibri" w:eastAsia="Times New Roman" w:hAnsi="Calibri" w:cs="Times New Roman"/>
          <w:sz w:val="24"/>
          <w:szCs w:val="20"/>
          <w:lang w:eastAsia="cs-CZ"/>
        </w:rPr>
      </w:pPr>
    </w:p>
    <w:p w14:paraId="3375AF2E" w14:textId="77777777" w:rsidR="00ED343A" w:rsidRDefault="00ED343A" w:rsidP="00AD0195">
      <w:pPr>
        <w:keepLines/>
        <w:spacing w:before="240" w:after="240" w:line="276" w:lineRule="auto"/>
        <w:jc w:val="both"/>
        <w:rPr>
          <w:rFonts w:ascii="Calibri" w:eastAsia="Times New Roman" w:hAnsi="Calibri" w:cs="Times New Roman"/>
          <w:sz w:val="24"/>
          <w:szCs w:val="20"/>
          <w:lang w:eastAsia="cs-CZ"/>
        </w:rPr>
      </w:pPr>
    </w:p>
    <w:p w14:paraId="39399C7B" w14:textId="77777777" w:rsidR="00097694" w:rsidRPr="002F1BE7" w:rsidRDefault="00097694" w:rsidP="00097694">
      <w:pPr>
        <w:keepLines/>
        <w:spacing w:before="120" w:after="120" w:line="276" w:lineRule="auto"/>
        <w:jc w:val="both"/>
        <w:rPr>
          <w:rFonts w:ascii="Times New Roman" w:eastAsia="Times New Roman" w:hAnsi="Times New Roman" w:cs="Times New Roman"/>
          <w:color w:val="FF0000"/>
          <w:sz w:val="24"/>
          <w:szCs w:val="20"/>
          <w:lang w:eastAsia="cs-CZ"/>
        </w:rPr>
      </w:pPr>
      <w:r w:rsidRPr="0077128B">
        <w:rPr>
          <w:noProof/>
          <w:color w:val="FF0000"/>
          <w:lang w:eastAsia="cs-CZ"/>
        </w:rPr>
        <w:lastRenderedPageBreak/>
        <w:t xml:space="preserve"> </w:t>
      </w:r>
      <w:r w:rsidRPr="0077128B">
        <w:rPr>
          <w:noProof/>
          <w:color w:val="FF0000"/>
          <w:lang w:eastAsia="cs-CZ"/>
        </w:rPr>
        <w:drawing>
          <wp:inline distT="0" distB="0" distL="0" distR="0" wp14:anchorId="2906C369" wp14:editId="5C6B4F7B">
            <wp:extent cx="5638800" cy="981075"/>
            <wp:effectExtent l="19050" t="19050" r="57150" b="28575"/>
            <wp:docPr id="1704355586" name="Diagram 17043555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7234F8B7" w14:textId="77777777" w:rsidR="00097694" w:rsidRPr="0077128B" w:rsidRDefault="00097694" w:rsidP="00097694">
      <w:pPr>
        <w:keepLines/>
        <w:spacing w:before="120" w:after="120" w:line="276" w:lineRule="auto"/>
        <w:jc w:val="both"/>
        <w:rPr>
          <w:rFonts w:eastAsia="Times New Roman" w:cstheme="minorHAnsi"/>
          <w:color w:val="FF0000"/>
          <w:lang w:eastAsia="cs-CZ"/>
        </w:rPr>
      </w:pPr>
      <w:r w:rsidRPr="0077128B">
        <w:rPr>
          <w:rFonts w:eastAsia="Times New Roman" w:cstheme="minorHAnsi"/>
          <w:noProof/>
          <w:color w:val="FF0000"/>
          <w:lang w:eastAsia="cs-CZ"/>
        </w:rPr>
        <w:drawing>
          <wp:inline distT="0" distB="0" distL="0" distR="0" wp14:anchorId="633DF9A0" wp14:editId="10A11E69">
            <wp:extent cx="5353050" cy="1314450"/>
            <wp:effectExtent l="0" t="19050" r="0" b="38100"/>
            <wp:docPr id="1704355587" name="Diagram 170435558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14:paraId="7536831B" w14:textId="6BE95DEA" w:rsidR="00097694" w:rsidRDefault="00097694" w:rsidP="003F0A7C">
      <w:pPr>
        <w:pStyle w:val="KOMtext"/>
      </w:pPr>
      <w:r w:rsidRPr="006B6D61">
        <w:t>S ohledem na zahájení realizace programu od 1. 10. 2021, došlo k čerpání prostředků státního rozpočtu až od následujícího roku 2022.</w:t>
      </w:r>
    </w:p>
    <w:p w14:paraId="1E7D63A0" w14:textId="77777777" w:rsidR="00080D2F" w:rsidRPr="0018553F" w:rsidRDefault="00080D2F" w:rsidP="00080D2F">
      <w:pPr>
        <w:keepNext/>
        <w:tabs>
          <w:tab w:val="left" w:pos="360"/>
        </w:tabs>
        <w:suppressAutoHyphens/>
        <w:spacing w:before="240" w:after="120" w:line="240" w:lineRule="auto"/>
        <w:jc w:val="both"/>
        <w:rPr>
          <w:rFonts w:eastAsia="Times New Roman" w:cstheme="minorHAnsi"/>
          <w:b/>
          <w:bCs/>
          <w:i/>
          <w:sz w:val="24"/>
          <w:szCs w:val="24"/>
          <w:lang w:eastAsia="cs-CZ"/>
        </w:rPr>
      </w:pPr>
      <w:r w:rsidRPr="0018553F">
        <w:rPr>
          <w:rFonts w:eastAsia="Times New Roman" w:cstheme="minorHAnsi"/>
          <w:b/>
          <w:bCs/>
          <w:i/>
          <w:sz w:val="24"/>
          <w:szCs w:val="24"/>
          <w:lang w:eastAsia="cs-CZ"/>
        </w:rPr>
        <w:t>Skutečné čerpání za rok 2023</w:t>
      </w:r>
      <w:r w:rsidRPr="008C7AC5">
        <w:rPr>
          <w:rFonts w:eastAsia="Times New Roman" w:cstheme="minorHAnsi"/>
          <w:b/>
          <w:bCs/>
          <w:i/>
          <w:sz w:val="24"/>
          <w:szCs w:val="24"/>
          <w:lang w:eastAsia="cs-CZ"/>
        </w:rPr>
        <w:t xml:space="preserve">: </w:t>
      </w:r>
    </w:p>
    <w:tbl>
      <w:tblPr>
        <w:tblW w:w="9312" w:type="dxa"/>
        <w:tblLayout w:type="fixed"/>
        <w:tblCellMar>
          <w:left w:w="70" w:type="dxa"/>
          <w:right w:w="70" w:type="dxa"/>
        </w:tblCellMar>
        <w:tblLook w:val="04A0" w:firstRow="1" w:lastRow="0" w:firstColumn="1" w:lastColumn="0" w:noHBand="0" w:noVBand="1"/>
      </w:tblPr>
      <w:tblGrid>
        <w:gridCol w:w="7426"/>
        <w:gridCol w:w="1886"/>
      </w:tblGrid>
      <w:tr w:rsidR="0018553F" w:rsidRPr="0018553F" w14:paraId="287AF7EF" w14:textId="77777777" w:rsidTr="00043B98">
        <w:trPr>
          <w:trHeight w:val="246"/>
        </w:trPr>
        <w:tc>
          <w:tcPr>
            <w:tcW w:w="7426" w:type="dxa"/>
            <w:hideMark/>
          </w:tcPr>
          <w:p w14:paraId="4B63A92C" w14:textId="77777777" w:rsidR="00080D2F" w:rsidRPr="0018553F" w:rsidRDefault="00080D2F" w:rsidP="00E54955">
            <w:pPr>
              <w:numPr>
                <w:ilvl w:val="0"/>
                <w:numId w:val="22"/>
              </w:numPr>
              <w:suppressAutoHyphens/>
              <w:snapToGrid w:val="0"/>
              <w:spacing w:after="0" w:line="240" w:lineRule="auto"/>
              <w:ind w:left="492" w:hanging="425"/>
              <w:rPr>
                <w:rFonts w:eastAsia="Times New Roman" w:cstheme="minorHAnsi"/>
                <w:b/>
                <w:i/>
                <w:sz w:val="24"/>
                <w:szCs w:val="24"/>
                <w:lang w:eastAsia="cs-CZ"/>
              </w:rPr>
            </w:pPr>
            <w:r w:rsidRPr="0018553F">
              <w:rPr>
                <w:rFonts w:eastAsia="Times New Roman" w:cstheme="minorHAnsi"/>
                <w:b/>
                <w:i/>
                <w:sz w:val="24"/>
                <w:szCs w:val="24"/>
                <w:lang w:eastAsia="cs-CZ"/>
              </w:rPr>
              <w:t xml:space="preserve">ze státního rozpočtu (systémově určené výdaje investiční) </w:t>
            </w:r>
            <w:proofErr w:type="gramStart"/>
            <w:r w:rsidRPr="0018553F">
              <w:rPr>
                <w:rFonts w:eastAsia="Times New Roman" w:cstheme="minorHAnsi"/>
                <w:b/>
                <w:i/>
                <w:sz w:val="24"/>
                <w:szCs w:val="24"/>
                <w:lang w:eastAsia="cs-CZ"/>
              </w:rPr>
              <w:t>*)</w:t>
            </w:r>
            <w:r w:rsidRPr="0018553F">
              <w:rPr>
                <w:rFonts w:eastAsia="Times New Roman" w:cstheme="minorHAnsi"/>
                <w:b/>
                <w:i/>
                <w:sz w:val="24"/>
                <w:szCs w:val="24"/>
                <w:vertAlign w:val="superscript"/>
                <w:lang w:eastAsia="cs-CZ"/>
              </w:rPr>
              <w:t>x</w:t>
            </w:r>
            <w:proofErr w:type="gramEnd"/>
            <w:r w:rsidRPr="0018553F">
              <w:rPr>
                <w:rFonts w:eastAsia="Times New Roman" w:cstheme="minorHAnsi"/>
                <w:b/>
                <w:i/>
                <w:sz w:val="24"/>
                <w:szCs w:val="24"/>
                <w:lang w:eastAsia="cs-CZ"/>
              </w:rPr>
              <w:t>)</w:t>
            </w:r>
          </w:p>
          <w:p w14:paraId="40C92FC5" w14:textId="77777777" w:rsidR="00577079" w:rsidRDefault="00577079" w:rsidP="00577079">
            <w:pPr>
              <w:numPr>
                <w:ilvl w:val="0"/>
                <w:numId w:val="22"/>
              </w:numPr>
              <w:suppressAutoHyphens/>
              <w:spacing w:after="0" w:line="240" w:lineRule="auto"/>
              <w:ind w:left="492" w:hanging="425"/>
              <w:rPr>
                <w:rFonts w:eastAsia="Times New Roman" w:cstheme="minorHAnsi"/>
                <w:b/>
                <w:i/>
                <w:sz w:val="24"/>
                <w:szCs w:val="24"/>
                <w:lang w:eastAsia="cs-CZ"/>
              </w:rPr>
            </w:pPr>
            <w:r>
              <w:rPr>
                <w:rFonts w:eastAsia="Times New Roman" w:cstheme="minorHAnsi"/>
                <w:b/>
                <w:i/>
                <w:sz w:val="24"/>
                <w:szCs w:val="24"/>
                <w:lang w:eastAsia="cs-CZ"/>
              </w:rPr>
              <w:t xml:space="preserve">ze státního rozpočtu (investiční prostředky EU) </w:t>
            </w:r>
            <w:proofErr w:type="gramStart"/>
            <w:r w:rsidRPr="006B6D61">
              <w:rPr>
                <w:rFonts w:eastAsia="Times New Roman" w:cstheme="minorHAnsi"/>
                <w:b/>
                <w:i/>
                <w:sz w:val="24"/>
                <w:szCs w:val="24"/>
                <w:lang w:eastAsia="cs-CZ"/>
              </w:rPr>
              <w:t>*)</w:t>
            </w:r>
            <w:r w:rsidRPr="006B6D61">
              <w:rPr>
                <w:rFonts w:eastAsia="Times New Roman" w:cstheme="minorHAnsi"/>
                <w:b/>
                <w:i/>
                <w:sz w:val="24"/>
                <w:szCs w:val="24"/>
                <w:vertAlign w:val="superscript"/>
                <w:lang w:eastAsia="cs-CZ"/>
              </w:rPr>
              <w:t>x</w:t>
            </w:r>
            <w:proofErr w:type="gramEnd"/>
            <w:r w:rsidRPr="006B6D61">
              <w:rPr>
                <w:rFonts w:eastAsia="Times New Roman" w:cstheme="minorHAnsi"/>
                <w:b/>
                <w:i/>
                <w:sz w:val="24"/>
                <w:szCs w:val="24"/>
                <w:lang w:eastAsia="cs-CZ"/>
              </w:rPr>
              <w:t>)</w:t>
            </w:r>
          </w:p>
          <w:p w14:paraId="495DD1BA" w14:textId="4E3F1CFB" w:rsidR="00080D2F" w:rsidRPr="0018553F" w:rsidRDefault="00080D2F" w:rsidP="00E54955">
            <w:pPr>
              <w:numPr>
                <w:ilvl w:val="0"/>
                <w:numId w:val="22"/>
              </w:numPr>
              <w:suppressAutoHyphens/>
              <w:spacing w:after="0" w:line="240" w:lineRule="auto"/>
              <w:ind w:left="492" w:hanging="425"/>
              <w:rPr>
                <w:rFonts w:eastAsia="Times New Roman" w:cstheme="minorHAnsi"/>
                <w:b/>
                <w:i/>
                <w:sz w:val="24"/>
                <w:szCs w:val="24"/>
                <w:lang w:eastAsia="cs-CZ"/>
              </w:rPr>
            </w:pPr>
            <w:r w:rsidRPr="0018553F">
              <w:rPr>
                <w:rFonts w:eastAsia="Times New Roman" w:cstheme="minorHAnsi"/>
                <w:b/>
                <w:i/>
                <w:sz w:val="24"/>
                <w:szCs w:val="24"/>
                <w:lang w:eastAsia="cs-CZ"/>
              </w:rPr>
              <w:t xml:space="preserve">ze státního rozpočtu (individuálně </w:t>
            </w:r>
            <w:proofErr w:type="spellStart"/>
            <w:r w:rsidRPr="0018553F">
              <w:rPr>
                <w:rFonts w:eastAsia="Times New Roman" w:cstheme="minorHAnsi"/>
                <w:b/>
                <w:i/>
                <w:sz w:val="24"/>
                <w:szCs w:val="24"/>
                <w:lang w:eastAsia="cs-CZ"/>
              </w:rPr>
              <w:t>posuz</w:t>
            </w:r>
            <w:proofErr w:type="spellEnd"/>
            <w:r w:rsidRPr="0018553F">
              <w:rPr>
                <w:rFonts w:eastAsia="Times New Roman" w:cstheme="minorHAnsi"/>
                <w:b/>
                <w:i/>
                <w:sz w:val="24"/>
                <w:szCs w:val="24"/>
                <w:lang w:eastAsia="cs-CZ"/>
              </w:rPr>
              <w:t xml:space="preserve">. výdaje </w:t>
            </w:r>
            <w:proofErr w:type="gramStart"/>
            <w:r w:rsidRPr="0018553F">
              <w:rPr>
                <w:rFonts w:eastAsia="Times New Roman" w:cstheme="minorHAnsi"/>
                <w:b/>
                <w:i/>
                <w:sz w:val="24"/>
                <w:szCs w:val="24"/>
                <w:lang w:eastAsia="cs-CZ"/>
              </w:rPr>
              <w:t>investiční)*</w:t>
            </w:r>
            <w:proofErr w:type="gramEnd"/>
            <w:r w:rsidRPr="0018553F">
              <w:rPr>
                <w:rFonts w:eastAsia="Times New Roman" w:cstheme="minorHAnsi"/>
                <w:b/>
                <w:i/>
                <w:sz w:val="24"/>
                <w:szCs w:val="24"/>
                <w:lang w:eastAsia="cs-CZ"/>
              </w:rPr>
              <w:t xml:space="preserve">) </w:t>
            </w:r>
          </w:p>
        </w:tc>
        <w:tc>
          <w:tcPr>
            <w:tcW w:w="1886" w:type="dxa"/>
            <w:hideMark/>
          </w:tcPr>
          <w:p w14:paraId="2F43B71F" w14:textId="27390EB0" w:rsidR="00080D2F" w:rsidRPr="0018553F" w:rsidRDefault="00577079" w:rsidP="00043B98">
            <w:pPr>
              <w:snapToGrid w:val="0"/>
              <w:spacing w:after="0" w:line="240" w:lineRule="auto"/>
              <w:ind w:left="492" w:hanging="425"/>
              <w:jc w:val="right"/>
              <w:rPr>
                <w:rFonts w:eastAsia="Times New Roman" w:cstheme="minorHAnsi"/>
                <w:b/>
                <w:bCs/>
                <w:i/>
                <w:sz w:val="24"/>
                <w:szCs w:val="24"/>
                <w:lang w:eastAsia="cs-CZ"/>
              </w:rPr>
            </w:pPr>
            <w:r>
              <w:rPr>
                <w:rFonts w:eastAsia="Times New Roman" w:cstheme="minorHAnsi"/>
                <w:b/>
                <w:bCs/>
                <w:i/>
                <w:sz w:val="24"/>
                <w:szCs w:val="24"/>
                <w:lang w:eastAsia="cs-CZ"/>
              </w:rPr>
              <w:t>25 737</w:t>
            </w:r>
            <w:r w:rsidR="00B81593" w:rsidRPr="0018553F">
              <w:rPr>
                <w:rFonts w:eastAsia="Times New Roman" w:cstheme="minorHAnsi"/>
                <w:b/>
                <w:bCs/>
                <w:i/>
                <w:sz w:val="24"/>
                <w:szCs w:val="24"/>
                <w:lang w:eastAsia="cs-CZ"/>
              </w:rPr>
              <w:t xml:space="preserve"> </w:t>
            </w:r>
            <w:r w:rsidR="00080D2F" w:rsidRPr="0018553F">
              <w:rPr>
                <w:rFonts w:eastAsia="Times New Roman" w:cstheme="minorHAnsi"/>
                <w:b/>
                <w:bCs/>
                <w:i/>
                <w:sz w:val="24"/>
                <w:szCs w:val="24"/>
                <w:lang w:eastAsia="cs-CZ"/>
              </w:rPr>
              <w:t>tis. Kč</w:t>
            </w:r>
          </w:p>
          <w:p w14:paraId="040EA47E" w14:textId="03A45CC8" w:rsidR="00577079" w:rsidRDefault="00577079" w:rsidP="00043B98">
            <w:pPr>
              <w:spacing w:after="0" w:line="240" w:lineRule="auto"/>
              <w:ind w:left="492" w:hanging="425"/>
              <w:jc w:val="right"/>
              <w:rPr>
                <w:rFonts w:eastAsia="Times New Roman" w:cstheme="minorHAnsi"/>
                <w:b/>
                <w:bCs/>
                <w:i/>
                <w:sz w:val="24"/>
                <w:szCs w:val="24"/>
                <w:lang w:eastAsia="cs-CZ"/>
              </w:rPr>
            </w:pPr>
            <w:r>
              <w:rPr>
                <w:rFonts w:eastAsia="Times New Roman" w:cstheme="minorHAnsi"/>
                <w:b/>
                <w:bCs/>
                <w:i/>
                <w:sz w:val="24"/>
                <w:szCs w:val="24"/>
                <w:lang w:eastAsia="cs-CZ"/>
              </w:rPr>
              <w:t>6 708 tis. Kč</w:t>
            </w:r>
          </w:p>
          <w:p w14:paraId="53D4DEFA" w14:textId="64AAB5D5" w:rsidR="00080D2F" w:rsidRPr="0018553F" w:rsidRDefault="00080D2F" w:rsidP="00043B98">
            <w:pPr>
              <w:spacing w:after="0" w:line="240" w:lineRule="auto"/>
              <w:ind w:left="492" w:hanging="425"/>
              <w:jc w:val="right"/>
              <w:rPr>
                <w:rFonts w:eastAsia="Times New Roman" w:cstheme="minorHAnsi"/>
                <w:b/>
                <w:bCs/>
                <w:i/>
                <w:sz w:val="24"/>
                <w:szCs w:val="24"/>
                <w:lang w:eastAsia="cs-CZ"/>
              </w:rPr>
            </w:pPr>
            <w:r w:rsidRPr="0018553F">
              <w:rPr>
                <w:rFonts w:eastAsia="Times New Roman" w:cstheme="minorHAnsi"/>
                <w:b/>
                <w:bCs/>
                <w:i/>
                <w:sz w:val="24"/>
                <w:szCs w:val="24"/>
                <w:lang w:eastAsia="cs-CZ"/>
              </w:rPr>
              <w:t xml:space="preserve"> </w:t>
            </w:r>
            <w:r w:rsidR="00B81593" w:rsidRPr="0018553F">
              <w:rPr>
                <w:rFonts w:eastAsia="Times New Roman" w:cstheme="minorHAnsi"/>
                <w:b/>
                <w:bCs/>
                <w:i/>
                <w:sz w:val="24"/>
                <w:szCs w:val="24"/>
                <w:lang w:eastAsia="cs-CZ"/>
              </w:rPr>
              <w:t>10 507</w:t>
            </w:r>
            <w:r w:rsidRPr="0018553F">
              <w:rPr>
                <w:rFonts w:eastAsia="Times New Roman" w:cstheme="minorHAnsi"/>
                <w:b/>
                <w:bCs/>
                <w:i/>
                <w:sz w:val="24"/>
                <w:szCs w:val="24"/>
                <w:lang w:eastAsia="cs-CZ"/>
              </w:rPr>
              <w:t xml:space="preserve"> tis. Kč</w:t>
            </w:r>
          </w:p>
        </w:tc>
      </w:tr>
      <w:tr w:rsidR="0018553F" w:rsidRPr="0018553F" w14:paraId="02FEDCE0" w14:textId="77777777" w:rsidTr="00043B98">
        <w:trPr>
          <w:trHeight w:val="684"/>
        </w:trPr>
        <w:tc>
          <w:tcPr>
            <w:tcW w:w="7426" w:type="dxa"/>
          </w:tcPr>
          <w:p w14:paraId="108660DF" w14:textId="77777777" w:rsidR="00080D2F" w:rsidRPr="0018553F" w:rsidRDefault="00080D2F" w:rsidP="00E54955">
            <w:pPr>
              <w:numPr>
                <w:ilvl w:val="0"/>
                <w:numId w:val="23"/>
              </w:numPr>
              <w:suppressAutoHyphens/>
              <w:spacing w:after="0" w:line="240" w:lineRule="auto"/>
              <w:ind w:left="492" w:hanging="425"/>
              <w:rPr>
                <w:rFonts w:eastAsia="Times New Roman" w:cstheme="minorHAnsi"/>
                <w:i/>
                <w:sz w:val="24"/>
                <w:szCs w:val="24"/>
                <w:lang w:eastAsia="cs-CZ"/>
              </w:rPr>
            </w:pPr>
            <w:r w:rsidRPr="0018553F">
              <w:rPr>
                <w:rFonts w:eastAsia="Times New Roman" w:cstheme="minorHAnsi"/>
                <w:b/>
                <w:i/>
                <w:sz w:val="24"/>
                <w:szCs w:val="24"/>
                <w:lang w:eastAsia="cs-CZ"/>
              </w:rPr>
              <w:t>ze státního rozpočtu (systémově určené výdaje neinvestiční) *)</w:t>
            </w:r>
            <w:r w:rsidRPr="0018553F">
              <w:rPr>
                <w:rFonts w:eastAsia="Times New Roman" w:cstheme="minorHAnsi"/>
                <w:b/>
                <w:i/>
                <w:sz w:val="24"/>
                <w:szCs w:val="24"/>
                <w:vertAlign w:val="superscript"/>
                <w:lang w:eastAsia="cs-CZ"/>
              </w:rPr>
              <w:t xml:space="preserve"> x</w:t>
            </w:r>
            <w:r w:rsidRPr="0018553F">
              <w:rPr>
                <w:rFonts w:eastAsia="Times New Roman" w:cstheme="minorHAnsi"/>
                <w:b/>
                <w:i/>
                <w:sz w:val="24"/>
                <w:szCs w:val="24"/>
                <w:lang w:eastAsia="cs-CZ"/>
              </w:rPr>
              <w:t>)</w:t>
            </w:r>
          </w:p>
          <w:p w14:paraId="435CF609" w14:textId="03016EE0" w:rsidR="0063335B" w:rsidRPr="0063335B" w:rsidRDefault="0063335B" w:rsidP="00E54955">
            <w:pPr>
              <w:numPr>
                <w:ilvl w:val="0"/>
                <w:numId w:val="23"/>
              </w:numPr>
              <w:suppressAutoHyphens/>
              <w:spacing w:after="0" w:line="240" w:lineRule="auto"/>
              <w:ind w:left="492" w:hanging="425"/>
              <w:rPr>
                <w:rFonts w:eastAsia="Times New Roman" w:cstheme="minorHAnsi"/>
                <w:b/>
                <w:bCs/>
                <w:iCs/>
                <w:sz w:val="24"/>
                <w:szCs w:val="24"/>
                <w:lang w:eastAsia="cs-CZ"/>
              </w:rPr>
            </w:pPr>
            <w:r w:rsidRPr="0063335B">
              <w:rPr>
                <w:rFonts w:eastAsia="Times New Roman" w:cstheme="minorHAnsi"/>
                <w:b/>
                <w:bCs/>
                <w:iCs/>
                <w:sz w:val="24"/>
                <w:szCs w:val="24"/>
                <w:lang w:eastAsia="cs-CZ"/>
              </w:rPr>
              <w:t xml:space="preserve">ze státního rozpočtu (neinvestiční prostředky EU) </w:t>
            </w:r>
            <w:proofErr w:type="gramStart"/>
            <w:r w:rsidRPr="0063335B">
              <w:rPr>
                <w:rFonts w:eastAsia="Times New Roman" w:cstheme="minorHAnsi"/>
                <w:b/>
                <w:bCs/>
                <w:iCs/>
                <w:sz w:val="24"/>
                <w:szCs w:val="24"/>
                <w:lang w:eastAsia="cs-CZ"/>
              </w:rPr>
              <w:t>*)</w:t>
            </w:r>
            <w:r w:rsidRPr="0063335B">
              <w:rPr>
                <w:rFonts w:eastAsia="Times New Roman" w:cstheme="minorHAnsi"/>
                <w:b/>
                <w:bCs/>
                <w:iCs/>
                <w:sz w:val="24"/>
                <w:szCs w:val="24"/>
                <w:vertAlign w:val="superscript"/>
                <w:lang w:eastAsia="cs-CZ"/>
              </w:rPr>
              <w:t>x</w:t>
            </w:r>
            <w:proofErr w:type="gramEnd"/>
            <w:r w:rsidRPr="0063335B">
              <w:rPr>
                <w:rFonts w:eastAsia="Times New Roman" w:cstheme="minorHAnsi"/>
                <w:b/>
                <w:bCs/>
                <w:iCs/>
                <w:sz w:val="24"/>
                <w:szCs w:val="24"/>
                <w:lang w:eastAsia="cs-CZ"/>
              </w:rPr>
              <w:t>)</w:t>
            </w:r>
          </w:p>
          <w:p w14:paraId="0E3F04B6" w14:textId="70493401" w:rsidR="00080D2F" w:rsidRPr="0018553F" w:rsidRDefault="00080D2F" w:rsidP="00E54955">
            <w:pPr>
              <w:numPr>
                <w:ilvl w:val="0"/>
                <w:numId w:val="23"/>
              </w:numPr>
              <w:suppressAutoHyphens/>
              <w:spacing w:after="0" w:line="240" w:lineRule="auto"/>
              <w:ind w:left="492" w:hanging="425"/>
              <w:rPr>
                <w:rFonts w:eastAsia="Times New Roman" w:cstheme="minorHAnsi"/>
                <w:i/>
                <w:sz w:val="24"/>
                <w:szCs w:val="24"/>
                <w:lang w:eastAsia="cs-CZ"/>
              </w:rPr>
            </w:pPr>
            <w:r w:rsidRPr="0018553F">
              <w:rPr>
                <w:rFonts w:eastAsia="Times New Roman" w:cstheme="minorHAnsi"/>
                <w:b/>
                <w:i/>
                <w:sz w:val="24"/>
                <w:szCs w:val="24"/>
                <w:lang w:eastAsia="cs-CZ"/>
              </w:rPr>
              <w:t xml:space="preserve">ze státního rozpočtu (individuálně </w:t>
            </w:r>
            <w:proofErr w:type="spellStart"/>
            <w:r w:rsidRPr="0018553F">
              <w:rPr>
                <w:rFonts w:eastAsia="Times New Roman" w:cstheme="minorHAnsi"/>
                <w:b/>
                <w:i/>
                <w:sz w:val="24"/>
                <w:szCs w:val="24"/>
                <w:lang w:eastAsia="cs-CZ"/>
              </w:rPr>
              <w:t>posuz</w:t>
            </w:r>
            <w:proofErr w:type="spellEnd"/>
            <w:r w:rsidRPr="0018553F">
              <w:rPr>
                <w:rFonts w:eastAsia="Times New Roman" w:cstheme="minorHAnsi"/>
                <w:b/>
                <w:i/>
                <w:sz w:val="24"/>
                <w:szCs w:val="24"/>
                <w:lang w:eastAsia="cs-CZ"/>
              </w:rPr>
              <w:t>. výdaje neinvestiční) *)</w:t>
            </w:r>
            <w:r w:rsidR="00577079" w:rsidRPr="0018553F">
              <w:rPr>
                <w:rFonts w:eastAsia="Times New Roman" w:cstheme="minorHAnsi"/>
                <w:b/>
                <w:i/>
                <w:sz w:val="24"/>
                <w:szCs w:val="24"/>
                <w:vertAlign w:val="superscript"/>
                <w:lang w:eastAsia="cs-CZ"/>
              </w:rPr>
              <w:t xml:space="preserve"> x</w:t>
            </w:r>
            <w:r w:rsidR="00577079" w:rsidRPr="0018553F">
              <w:rPr>
                <w:rFonts w:eastAsia="Times New Roman" w:cstheme="minorHAnsi"/>
                <w:b/>
                <w:i/>
                <w:sz w:val="24"/>
                <w:szCs w:val="24"/>
                <w:lang w:eastAsia="cs-CZ"/>
              </w:rPr>
              <w:t>)</w:t>
            </w:r>
            <w:r w:rsidRPr="0018553F">
              <w:rPr>
                <w:rFonts w:eastAsia="Times New Roman" w:cstheme="minorHAnsi"/>
                <w:b/>
                <w:i/>
                <w:sz w:val="24"/>
                <w:szCs w:val="24"/>
                <w:vertAlign w:val="superscript"/>
                <w:lang w:eastAsia="cs-CZ"/>
              </w:rPr>
              <w:t xml:space="preserve"> </w:t>
            </w:r>
          </w:p>
        </w:tc>
        <w:tc>
          <w:tcPr>
            <w:tcW w:w="1886" w:type="dxa"/>
            <w:hideMark/>
          </w:tcPr>
          <w:p w14:paraId="22A4685A" w14:textId="5A59425C" w:rsidR="00080D2F" w:rsidRPr="0018553F" w:rsidRDefault="00080D2F" w:rsidP="00043B98">
            <w:pPr>
              <w:spacing w:after="0" w:line="240" w:lineRule="auto"/>
              <w:ind w:left="492" w:hanging="425"/>
              <w:jc w:val="right"/>
              <w:rPr>
                <w:rFonts w:eastAsia="Times New Roman" w:cstheme="minorHAnsi"/>
                <w:b/>
                <w:bCs/>
                <w:i/>
                <w:sz w:val="24"/>
                <w:szCs w:val="24"/>
                <w:lang w:eastAsia="cs-CZ"/>
              </w:rPr>
            </w:pPr>
            <w:r w:rsidRPr="0018553F">
              <w:rPr>
                <w:rFonts w:eastAsia="Times New Roman" w:cstheme="minorHAnsi"/>
                <w:b/>
                <w:bCs/>
                <w:i/>
                <w:sz w:val="24"/>
                <w:szCs w:val="24"/>
                <w:lang w:eastAsia="cs-CZ"/>
              </w:rPr>
              <w:t xml:space="preserve"> </w:t>
            </w:r>
            <w:r w:rsidR="0018553F" w:rsidRPr="0018553F">
              <w:rPr>
                <w:rFonts w:eastAsia="Times New Roman" w:cstheme="minorHAnsi"/>
                <w:b/>
                <w:bCs/>
                <w:i/>
                <w:sz w:val="24"/>
                <w:szCs w:val="24"/>
                <w:lang w:eastAsia="cs-CZ"/>
              </w:rPr>
              <w:t xml:space="preserve">37 </w:t>
            </w:r>
            <w:r w:rsidR="0063335B">
              <w:rPr>
                <w:rFonts w:eastAsia="Times New Roman" w:cstheme="minorHAnsi"/>
                <w:b/>
                <w:bCs/>
                <w:i/>
                <w:sz w:val="24"/>
                <w:szCs w:val="24"/>
                <w:lang w:eastAsia="cs-CZ"/>
              </w:rPr>
              <w:t>657</w:t>
            </w:r>
            <w:r w:rsidRPr="0018553F">
              <w:rPr>
                <w:rFonts w:eastAsia="Times New Roman" w:cstheme="minorHAnsi"/>
                <w:b/>
                <w:bCs/>
                <w:i/>
                <w:sz w:val="24"/>
                <w:szCs w:val="24"/>
                <w:lang w:eastAsia="cs-CZ"/>
              </w:rPr>
              <w:t xml:space="preserve"> tis. Kč</w:t>
            </w:r>
          </w:p>
          <w:p w14:paraId="1A836F8E" w14:textId="4CB73D3A" w:rsidR="0063335B" w:rsidRDefault="0063335B" w:rsidP="00043B98">
            <w:pPr>
              <w:spacing w:after="0" w:line="240" w:lineRule="auto"/>
              <w:ind w:left="492" w:hanging="425"/>
              <w:jc w:val="right"/>
              <w:rPr>
                <w:rFonts w:eastAsia="Times New Roman" w:cstheme="minorHAnsi"/>
                <w:b/>
                <w:bCs/>
                <w:i/>
                <w:sz w:val="24"/>
                <w:szCs w:val="24"/>
                <w:lang w:eastAsia="cs-CZ"/>
              </w:rPr>
            </w:pPr>
            <w:r>
              <w:rPr>
                <w:rFonts w:eastAsia="Times New Roman" w:cstheme="minorHAnsi"/>
                <w:b/>
                <w:bCs/>
                <w:i/>
                <w:sz w:val="24"/>
                <w:szCs w:val="24"/>
                <w:lang w:eastAsia="cs-CZ"/>
              </w:rPr>
              <w:t>233 tis. Kč</w:t>
            </w:r>
          </w:p>
          <w:p w14:paraId="1843FAF2" w14:textId="605791DB" w:rsidR="00080D2F" w:rsidRPr="0018553F" w:rsidRDefault="005E07DF" w:rsidP="00043B98">
            <w:pPr>
              <w:spacing w:after="0" w:line="240" w:lineRule="auto"/>
              <w:ind w:left="492" w:hanging="425"/>
              <w:jc w:val="right"/>
              <w:rPr>
                <w:rFonts w:eastAsia="Times New Roman" w:cstheme="minorHAnsi"/>
                <w:b/>
                <w:bCs/>
                <w:i/>
                <w:sz w:val="24"/>
                <w:szCs w:val="24"/>
                <w:lang w:eastAsia="cs-CZ"/>
              </w:rPr>
            </w:pPr>
            <w:r w:rsidRPr="0018553F">
              <w:rPr>
                <w:rFonts w:eastAsia="Times New Roman" w:cstheme="minorHAnsi"/>
                <w:b/>
                <w:bCs/>
                <w:i/>
                <w:sz w:val="24"/>
                <w:szCs w:val="24"/>
                <w:lang w:eastAsia="cs-CZ"/>
              </w:rPr>
              <w:t>51 668</w:t>
            </w:r>
            <w:r w:rsidR="00080D2F" w:rsidRPr="0018553F">
              <w:rPr>
                <w:rFonts w:eastAsia="Times New Roman" w:cstheme="minorHAnsi"/>
                <w:b/>
                <w:bCs/>
                <w:i/>
                <w:sz w:val="24"/>
                <w:szCs w:val="24"/>
                <w:lang w:eastAsia="cs-CZ"/>
              </w:rPr>
              <w:t xml:space="preserve"> tis. Kč </w:t>
            </w:r>
          </w:p>
        </w:tc>
      </w:tr>
    </w:tbl>
    <w:p w14:paraId="066C3161" w14:textId="77777777" w:rsidR="00080D2F" w:rsidRPr="00833589" w:rsidRDefault="00080D2F" w:rsidP="00080D2F">
      <w:pPr>
        <w:spacing w:after="0" w:line="240" w:lineRule="auto"/>
        <w:jc w:val="both"/>
        <w:rPr>
          <w:rFonts w:eastAsia="Times New Roman" w:cstheme="minorHAnsi"/>
          <w:sz w:val="24"/>
          <w:szCs w:val="24"/>
          <w:lang w:eastAsia="cs-CZ"/>
        </w:rPr>
      </w:pPr>
      <w:r w:rsidRPr="00833589">
        <w:rPr>
          <w:rFonts w:eastAsia="Times New Roman" w:cstheme="minorHAnsi"/>
          <w:sz w:val="24"/>
          <w:szCs w:val="24"/>
          <w:lang w:eastAsia="cs-CZ"/>
        </w:rPr>
        <w:t xml:space="preserve">*) z toho: prostředky na financování informačních a komunikačních technologií (ICT) </w:t>
      </w:r>
    </w:p>
    <w:p w14:paraId="7FAF0BF6" w14:textId="0F31D9AC" w:rsidR="00080D2F" w:rsidRPr="00833589" w:rsidRDefault="00080D2F" w:rsidP="00080D2F">
      <w:pPr>
        <w:keepLines/>
        <w:numPr>
          <w:ilvl w:val="0"/>
          <w:numId w:val="17"/>
        </w:numPr>
        <w:spacing w:before="120" w:after="120" w:line="276" w:lineRule="auto"/>
        <w:ind w:left="709" w:hanging="425"/>
        <w:jc w:val="both"/>
        <w:rPr>
          <w:rFonts w:cstheme="minorHAnsi"/>
          <w:sz w:val="24"/>
          <w:szCs w:val="24"/>
        </w:rPr>
      </w:pPr>
      <w:r w:rsidRPr="00833589">
        <w:rPr>
          <w:rFonts w:cstheme="minorHAnsi"/>
          <w:sz w:val="24"/>
          <w:szCs w:val="24"/>
        </w:rPr>
        <w:t xml:space="preserve">kapitálové výdaje </w:t>
      </w:r>
      <w:r w:rsidR="006623EC">
        <w:rPr>
          <w:rFonts w:cstheme="minorHAnsi"/>
          <w:sz w:val="24"/>
          <w:szCs w:val="24"/>
        </w:rPr>
        <w:t xml:space="preserve">40 </w:t>
      </w:r>
      <w:r w:rsidR="00762CEA">
        <w:rPr>
          <w:rFonts w:cstheme="minorHAnsi"/>
          <w:sz w:val="24"/>
          <w:szCs w:val="24"/>
        </w:rPr>
        <w:t>177</w:t>
      </w:r>
      <w:r w:rsidRPr="00833589">
        <w:rPr>
          <w:rFonts w:cstheme="minorHAnsi"/>
          <w:sz w:val="24"/>
          <w:szCs w:val="24"/>
        </w:rPr>
        <w:t xml:space="preserve"> tis. Kč, z toho nároky </w:t>
      </w:r>
      <w:r w:rsidR="00F26AE0">
        <w:rPr>
          <w:rFonts w:cstheme="minorHAnsi"/>
          <w:sz w:val="24"/>
          <w:szCs w:val="24"/>
        </w:rPr>
        <w:t xml:space="preserve">23 </w:t>
      </w:r>
      <w:r w:rsidR="00762CEA">
        <w:rPr>
          <w:rFonts w:cstheme="minorHAnsi"/>
          <w:sz w:val="24"/>
          <w:szCs w:val="24"/>
        </w:rPr>
        <w:t>127</w:t>
      </w:r>
      <w:r w:rsidRPr="00833589">
        <w:rPr>
          <w:rFonts w:cstheme="minorHAnsi"/>
          <w:sz w:val="24"/>
          <w:szCs w:val="24"/>
        </w:rPr>
        <w:t xml:space="preserve"> tis. Kč</w:t>
      </w:r>
      <w:r w:rsidR="00F26AE0">
        <w:rPr>
          <w:rFonts w:cstheme="minorHAnsi"/>
          <w:sz w:val="24"/>
          <w:szCs w:val="24"/>
        </w:rPr>
        <w:t xml:space="preserve"> (z toho prostředky EU 6 </w:t>
      </w:r>
      <w:r w:rsidR="00762CEA">
        <w:rPr>
          <w:rFonts w:cstheme="minorHAnsi"/>
          <w:sz w:val="24"/>
          <w:szCs w:val="24"/>
        </w:rPr>
        <w:t>708</w:t>
      </w:r>
      <w:r w:rsidR="00F26AE0">
        <w:rPr>
          <w:rFonts w:cstheme="minorHAnsi"/>
          <w:sz w:val="24"/>
          <w:szCs w:val="24"/>
        </w:rPr>
        <w:t xml:space="preserve"> tis. Kč)</w:t>
      </w:r>
    </w:p>
    <w:p w14:paraId="796AD643" w14:textId="207539C1" w:rsidR="00080D2F" w:rsidRPr="00833589" w:rsidRDefault="00080D2F" w:rsidP="00080D2F">
      <w:pPr>
        <w:keepLines/>
        <w:numPr>
          <w:ilvl w:val="0"/>
          <w:numId w:val="17"/>
        </w:numPr>
        <w:spacing w:before="120" w:after="120" w:line="276" w:lineRule="auto"/>
        <w:ind w:left="709" w:hanging="425"/>
        <w:jc w:val="both"/>
        <w:rPr>
          <w:rFonts w:cstheme="minorHAnsi"/>
          <w:sz w:val="24"/>
          <w:szCs w:val="24"/>
        </w:rPr>
      </w:pPr>
      <w:r w:rsidRPr="00833589">
        <w:rPr>
          <w:rFonts w:cstheme="minorHAnsi"/>
          <w:sz w:val="24"/>
          <w:szCs w:val="24"/>
        </w:rPr>
        <w:t xml:space="preserve">běžné výdaje </w:t>
      </w:r>
      <w:r w:rsidR="00F26AE0">
        <w:rPr>
          <w:rFonts w:cstheme="minorHAnsi"/>
          <w:sz w:val="24"/>
          <w:szCs w:val="24"/>
        </w:rPr>
        <w:t xml:space="preserve">89 </w:t>
      </w:r>
      <w:r w:rsidR="00762CEA">
        <w:rPr>
          <w:rFonts w:cstheme="minorHAnsi"/>
          <w:sz w:val="24"/>
          <w:szCs w:val="24"/>
        </w:rPr>
        <w:t>558</w:t>
      </w:r>
      <w:r w:rsidRPr="00833589">
        <w:rPr>
          <w:rFonts w:cstheme="minorHAnsi"/>
          <w:sz w:val="24"/>
          <w:szCs w:val="24"/>
        </w:rPr>
        <w:t xml:space="preserve"> tis. Kč, z toho nároky 4</w:t>
      </w:r>
      <w:r w:rsidR="00F26AE0">
        <w:rPr>
          <w:rFonts w:cstheme="minorHAnsi"/>
          <w:sz w:val="24"/>
          <w:szCs w:val="24"/>
        </w:rPr>
        <w:t>9 </w:t>
      </w:r>
      <w:r w:rsidR="00762CEA">
        <w:rPr>
          <w:rFonts w:cstheme="minorHAnsi"/>
          <w:sz w:val="24"/>
          <w:szCs w:val="24"/>
        </w:rPr>
        <w:t>612</w:t>
      </w:r>
      <w:r w:rsidR="00F26AE0">
        <w:rPr>
          <w:rFonts w:cstheme="minorHAnsi"/>
          <w:sz w:val="24"/>
          <w:szCs w:val="24"/>
        </w:rPr>
        <w:t xml:space="preserve"> </w:t>
      </w:r>
      <w:r w:rsidRPr="00833589">
        <w:rPr>
          <w:rFonts w:cstheme="minorHAnsi"/>
          <w:sz w:val="24"/>
          <w:szCs w:val="24"/>
        </w:rPr>
        <w:t>tis. Kč</w:t>
      </w:r>
      <w:r w:rsidR="00762CEA">
        <w:rPr>
          <w:rFonts w:cstheme="minorHAnsi"/>
          <w:sz w:val="24"/>
          <w:szCs w:val="24"/>
        </w:rPr>
        <w:t xml:space="preserve"> (z toho prostředky EU                          233 tis. Kč)</w:t>
      </w:r>
    </w:p>
    <w:p w14:paraId="06538331" w14:textId="67BBE165" w:rsidR="00080D2F" w:rsidRPr="001A1506" w:rsidRDefault="00080D2F" w:rsidP="00080D2F">
      <w:pPr>
        <w:pStyle w:val="KOMtext"/>
      </w:pPr>
      <w:r w:rsidRPr="001A1506">
        <w:rPr>
          <w:rFonts w:cstheme="minorHAnsi"/>
          <w:i/>
          <w:szCs w:val="24"/>
          <w:vertAlign w:val="superscript"/>
        </w:rPr>
        <w:t>x</w:t>
      </w:r>
      <w:r w:rsidRPr="001A1506">
        <w:rPr>
          <w:rFonts w:cstheme="minorHAnsi"/>
          <w:i/>
          <w:szCs w:val="24"/>
        </w:rPr>
        <w:t>)</w:t>
      </w:r>
      <w:r w:rsidRPr="001A1506">
        <w:rPr>
          <w:rFonts w:cstheme="minorHAnsi"/>
          <w:szCs w:val="24"/>
        </w:rPr>
        <w:t xml:space="preserve"> z toho: nároky ve výši </w:t>
      </w:r>
      <w:r w:rsidR="00AA56EC" w:rsidRPr="001A1506">
        <w:rPr>
          <w:rFonts w:cstheme="minorHAnsi"/>
          <w:szCs w:val="24"/>
        </w:rPr>
        <w:t>16 420</w:t>
      </w:r>
      <w:r w:rsidRPr="001A1506">
        <w:rPr>
          <w:rFonts w:cstheme="minorHAnsi"/>
          <w:szCs w:val="24"/>
        </w:rPr>
        <w:t xml:space="preserve"> tis. Kč (investiční prostředky SR), ve výši </w:t>
      </w:r>
      <w:r w:rsidR="001A1506" w:rsidRPr="001A1506">
        <w:rPr>
          <w:rFonts w:cstheme="minorHAnsi"/>
          <w:szCs w:val="24"/>
        </w:rPr>
        <w:t>6 708</w:t>
      </w:r>
      <w:r w:rsidRPr="001A1506">
        <w:rPr>
          <w:rFonts w:cstheme="minorHAnsi"/>
          <w:szCs w:val="24"/>
        </w:rPr>
        <w:t xml:space="preserve"> tis. Kč (investiční prostředky EU), ve výši 4</w:t>
      </w:r>
      <w:r w:rsidR="008C7AC5" w:rsidRPr="001A1506">
        <w:rPr>
          <w:rFonts w:cstheme="minorHAnsi"/>
          <w:szCs w:val="24"/>
        </w:rPr>
        <w:t>9 378</w:t>
      </w:r>
      <w:r w:rsidRPr="001A1506">
        <w:rPr>
          <w:rFonts w:cstheme="minorHAnsi"/>
          <w:szCs w:val="24"/>
        </w:rPr>
        <w:t xml:space="preserve"> tis. Kč (neinvestiční prostředky SR)</w:t>
      </w:r>
      <w:r w:rsidR="008C7AC5" w:rsidRPr="001A1506">
        <w:rPr>
          <w:rFonts w:cstheme="minorHAnsi"/>
          <w:szCs w:val="24"/>
        </w:rPr>
        <w:t xml:space="preserve">, ve výši </w:t>
      </w:r>
      <w:r w:rsidR="00793360" w:rsidRPr="001A1506">
        <w:rPr>
          <w:rFonts w:cstheme="minorHAnsi"/>
          <w:szCs w:val="24"/>
        </w:rPr>
        <w:t>233</w:t>
      </w:r>
      <w:r w:rsidR="003A4C43" w:rsidRPr="001A1506">
        <w:rPr>
          <w:rFonts w:cstheme="minorHAnsi"/>
          <w:szCs w:val="24"/>
        </w:rPr>
        <w:t xml:space="preserve"> tis. Kč </w:t>
      </w:r>
      <w:r w:rsidR="00793360" w:rsidRPr="001A1506">
        <w:rPr>
          <w:rFonts w:cstheme="minorHAnsi"/>
          <w:szCs w:val="24"/>
        </w:rPr>
        <w:t>(neinvestiční prostředky EU)</w:t>
      </w:r>
      <w:r w:rsidR="00762CEA">
        <w:rPr>
          <w:rFonts w:cstheme="minorHAnsi"/>
          <w:szCs w:val="24"/>
        </w:rPr>
        <w:t xml:space="preserve"> a rezervní fond ve výši </w:t>
      </w:r>
      <w:r w:rsidR="007E4046">
        <w:rPr>
          <w:rFonts w:cstheme="minorHAnsi"/>
          <w:szCs w:val="24"/>
        </w:rPr>
        <w:t>705 tis. Kč (investiční prostředky SR)</w:t>
      </w:r>
      <w:r w:rsidR="00793360" w:rsidRPr="001A1506">
        <w:rPr>
          <w:rFonts w:cstheme="minorHAnsi"/>
          <w:szCs w:val="24"/>
        </w:rPr>
        <w:t>.</w:t>
      </w:r>
    </w:p>
    <w:p w14:paraId="68DF93BA" w14:textId="77777777" w:rsidR="00A17419" w:rsidRPr="006B6D61" w:rsidRDefault="00A17419" w:rsidP="008A0E44">
      <w:pPr>
        <w:pStyle w:val="KOMnadp4"/>
        <w:rPr>
          <w:lang w:eastAsia="ar-SA"/>
        </w:rPr>
      </w:pPr>
      <w:r w:rsidRPr="006B6D61">
        <w:rPr>
          <w:lang w:eastAsia="ar-SA"/>
        </w:rPr>
        <w:t>127 65 Pořízení a modernizace železničních kolejových vozidel</w:t>
      </w:r>
    </w:p>
    <w:p w14:paraId="3644B31E" w14:textId="77777777" w:rsidR="009239B4" w:rsidRPr="009239B4" w:rsidRDefault="009239B4" w:rsidP="009239B4">
      <w:pPr>
        <w:keepLines/>
        <w:spacing w:before="240" w:after="240" w:line="276" w:lineRule="auto"/>
        <w:jc w:val="both"/>
        <w:rPr>
          <w:rFonts w:eastAsia="Times New Roman" w:cs="Times New Roman"/>
          <w:sz w:val="24"/>
          <w:szCs w:val="20"/>
          <w:lang w:eastAsia="cs-CZ"/>
        </w:rPr>
      </w:pPr>
      <w:r w:rsidRPr="009239B4">
        <w:rPr>
          <w:rFonts w:eastAsia="Times New Roman" w:cs="Times New Roman"/>
          <w:sz w:val="24"/>
          <w:szCs w:val="20"/>
          <w:lang w:eastAsia="cs-CZ"/>
        </w:rPr>
        <w:t xml:space="preserve">Program byl určen pro implementaci projektů zaměřených na podporu pořízení železničních kolejových vozidel v rámci oblasti podpory 1.3 OPD 2007-2013 a v rámci specifického cíle 1.5 OPD 2014-2020. Program byl zaměřen na podporu dopravní obslužnosti na území České republiky formou zvýšení konkurenceschopnosti železniční dopravy. </w:t>
      </w:r>
    </w:p>
    <w:p w14:paraId="04985181" w14:textId="77777777" w:rsidR="009239B4" w:rsidRPr="009239B4" w:rsidRDefault="009239B4" w:rsidP="009239B4">
      <w:pPr>
        <w:keepLines/>
        <w:spacing w:before="240" w:after="240" w:line="276" w:lineRule="auto"/>
        <w:jc w:val="both"/>
        <w:rPr>
          <w:rFonts w:eastAsia="Times New Roman" w:cs="Times New Roman"/>
          <w:sz w:val="24"/>
          <w:szCs w:val="20"/>
          <w:lang w:eastAsia="cs-CZ"/>
        </w:rPr>
      </w:pPr>
      <w:r w:rsidRPr="009239B4">
        <w:rPr>
          <w:rFonts w:eastAsia="Times New Roman" w:cs="Times New Roman"/>
          <w:sz w:val="24"/>
          <w:szCs w:val="20"/>
          <w:lang w:eastAsia="cs-CZ"/>
        </w:rPr>
        <w:t>Termín ukončení realizace programu byl stanoven na 31. 12. 2023.</w:t>
      </w:r>
    </w:p>
    <w:p w14:paraId="627B7FE7" w14:textId="77777777" w:rsidR="009239B4" w:rsidRPr="009239B4" w:rsidRDefault="009239B4" w:rsidP="009239B4">
      <w:pPr>
        <w:keepLines/>
        <w:spacing w:before="240" w:after="240" w:line="276" w:lineRule="auto"/>
        <w:jc w:val="both"/>
        <w:rPr>
          <w:rFonts w:eastAsia="Times New Roman" w:cs="Times New Roman"/>
          <w:sz w:val="24"/>
          <w:szCs w:val="20"/>
          <w:lang w:eastAsia="cs-CZ"/>
        </w:rPr>
      </w:pPr>
      <w:r w:rsidRPr="009239B4">
        <w:rPr>
          <w:rFonts w:eastAsia="Times New Roman" w:cs="Times New Roman"/>
          <w:sz w:val="24"/>
          <w:szCs w:val="20"/>
          <w:lang w:eastAsia="cs-CZ"/>
        </w:rPr>
        <w:t>Dokumentace programu byla schválena usnesením vlády č. 923 ze dne 9. 11. 2015.</w:t>
      </w:r>
    </w:p>
    <w:p w14:paraId="0BB2DF0B" w14:textId="754C5937" w:rsidR="00A17419" w:rsidRPr="0077128B" w:rsidRDefault="00A17419" w:rsidP="003F0A7C">
      <w:pPr>
        <w:pStyle w:val="KOMtext"/>
        <w:rPr>
          <w:color w:val="FF0000"/>
        </w:rPr>
      </w:pPr>
    </w:p>
    <w:p w14:paraId="50A2D0C0" w14:textId="601DE233" w:rsidR="00BA6E96" w:rsidRPr="006B6D61" w:rsidRDefault="00A13670" w:rsidP="00BA4E5A">
      <w:pPr>
        <w:pStyle w:val="KOMGrafy"/>
      </w:pPr>
      <w:bookmarkStart w:id="608" w:name="_Toc160457134"/>
      <w:r w:rsidRPr="006B6D61">
        <w:t xml:space="preserve">Graf č. </w:t>
      </w:r>
      <w:fldSimple w:instr=" SEQ Graf_č. \* ARABIC ">
        <w:r w:rsidR="00013820">
          <w:rPr>
            <w:noProof/>
          </w:rPr>
          <w:t>17</w:t>
        </w:r>
      </w:fldSimple>
      <w:r w:rsidRPr="006B6D61">
        <w:t>: Celkové schválené výdaje programu 127 65 (v tis. Kč)</w:t>
      </w:r>
      <w:bookmarkEnd w:id="608"/>
    </w:p>
    <w:p w14:paraId="682365B0" w14:textId="77777777" w:rsidR="00A17419" w:rsidRPr="0077128B" w:rsidRDefault="00A17419" w:rsidP="00A17419">
      <w:pPr>
        <w:spacing w:after="120" w:line="276" w:lineRule="auto"/>
        <w:rPr>
          <w:rFonts w:cstheme="minorHAnsi"/>
          <w:color w:val="FF0000"/>
        </w:rPr>
      </w:pPr>
      <w:r w:rsidRPr="0077128B">
        <w:rPr>
          <w:rFonts w:eastAsia="Times New Roman" w:cstheme="minorHAnsi"/>
          <w:noProof/>
          <w:color w:val="FF0000"/>
          <w:lang w:eastAsia="cs-CZ"/>
        </w:rPr>
        <w:drawing>
          <wp:anchor distT="0" distB="0" distL="114300" distR="114300" simplePos="0" relativeHeight="251658240" behindDoc="0" locked="0" layoutInCell="1" allowOverlap="1" wp14:anchorId="78821AE7" wp14:editId="0DB45B83">
            <wp:simplePos x="0" y="0"/>
            <wp:positionH relativeFrom="margin">
              <wp:align>left</wp:align>
            </wp:positionH>
            <wp:positionV relativeFrom="paragraph">
              <wp:posOffset>0</wp:posOffset>
            </wp:positionV>
            <wp:extent cx="5760000" cy="2160000"/>
            <wp:effectExtent l="0" t="0" r="12700" b="12065"/>
            <wp:wrapSquare wrapText="bothSides"/>
            <wp:docPr id="8"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14:sizeRelH relativeFrom="margin">
              <wp14:pctWidth>0</wp14:pctWidth>
            </wp14:sizeRelH>
            <wp14:sizeRelV relativeFrom="margin">
              <wp14:pctHeight>0</wp14:pctHeight>
            </wp14:sizeRelV>
          </wp:anchor>
        </w:drawing>
      </w:r>
    </w:p>
    <w:p w14:paraId="01588C0D" w14:textId="77777777" w:rsidR="00B43196" w:rsidRPr="00B43196" w:rsidRDefault="00B43196" w:rsidP="00B43196">
      <w:pPr>
        <w:keepLines/>
        <w:spacing w:before="240" w:after="240" w:line="276" w:lineRule="auto"/>
        <w:jc w:val="both"/>
        <w:rPr>
          <w:rFonts w:eastAsia="Times New Roman" w:cs="Times New Roman"/>
          <w:bCs/>
          <w:iCs/>
          <w:sz w:val="24"/>
          <w:szCs w:val="20"/>
          <w:lang w:eastAsia="cs-CZ"/>
        </w:rPr>
      </w:pPr>
      <w:r w:rsidRPr="00B43196">
        <w:rPr>
          <w:rFonts w:eastAsia="Times New Roman" w:cs="Times New Roman"/>
          <w:sz w:val="24"/>
          <w:szCs w:val="20"/>
          <w:lang w:eastAsia="cs-CZ"/>
        </w:rPr>
        <w:t xml:space="preserve">V průběhu roku byly rozpracovány dva projekty. Na pořízení 36 kusů moderních elektrických jednotek byla Jihomoravskému kraji poskytnuta dotace ve výši </w:t>
      </w:r>
      <w:r w:rsidRPr="00B43196">
        <w:rPr>
          <w:rFonts w:eastAsia="Times New Roman" w:cs="Times New Roman"/>
          <w:b/>
          <w:i/>
          <w:sz w:val="24"/>
          <w:szCs w:val="20"/>
          <w:lang w:eastAsia="cs-CZ"/>
        </w:rPr>
        <w:t xml:space="preserve">3 009 548 tis. Kč </w:t>
      </w:r>
      <w:r w:rsidRPr="00B43196">
        <w:rPr>
          <w:rFonts w:eastAsia="Times New Roman" w:cs="Times New Roman"/>
          <w:bCs/>
          <w:iCs/>
          <w:sz w:val="24"/>
          <w:szCs w:val="20"/>
          <w:lang w:eastAsia="cs-CZ"/>
        </w:rPr>
        <w:t xml:space="preserve">a na pořízení 15 kusů vozidel osobní železniční dopravy v Moravskoslezském kraji byla Českým dráhám, a.s. poskytnuta dotace ve výši </w:t>
      </w:r>
      <w:r w:rsidRPr="00B43196">
        <w:rPr>
          <w:rFonts w:eastAsia="Times New Roman" w:cs="Times New Roman"/>
          <w:b/>
          <w:i/>
          <w:sz w:val="24"/>
          <w:szCs w:val="20"/>
          <w:lang w:eastAsia="cs-CZ"/>
        </w:rPr>
        <w:t>688 534 tis. Kč</w:t>
      </w:r>
      <w:r w:rsidRPr="00B43196">
        <w:rPr>
          <w:rFonts w:eastAsia="Times New Roman" w:cs="Times New Roman"/>
          <w:bCs/>
          <w:iCs/>
          <w:sz w:val="24"/>
          <w:szCs w:val="20"/>
          <w:lang w:eastAsia="cs-CZ"/>
        </w:rPr>
        <w:t xml:space="preserve">. </w:t>
      </w:r>
    </w:p>
    <w:p w14:paraId="3D018280" w14:textId="77777777" w:rsidR="00B43196" w:rsidRPr="00B43196" w:rsidRDefault="00B43196" w:rsidP="00B43196">
      <w:pPr>
        <w:rPr>
          <w:rFonts w:ascii="Times New Roman" w:hAnsi="Times New Roman" w:cs="Times New Roman"/>
          <w:sz w:val="24"/>
          <w:szCs w:val="24"/>
        </w:rPr>
      </w:pPr>
      <w:r w:rsidRPr="00B43196">
        <w:rPr>
          <w:noProof/>
          <w:lang w:eastAsia="cs-CZ"/>
        </w:rPr>
        <w:drawing>
          <wp:inline distT="0" distB="0" distL="0" distR="0" wp14:anchorId="354A20F2" wp14:editId="77DEABC4">
            <wp:extent cx="5638800" cy="981075"/>
            <wp:effectExtent l="19050" t="19050" r="57150" b="28575"/>
            <wp:docPr id="61" name="Diagram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inline>
        </w:drawing>
      </w:r>
    </w:p>
    <w:p w14:paraId="1461A736" w14:textId="7DF82FAE" w:rsidR="00B43196" w:rsidRDefault="00B43196" w:rsidP="00B43196">
      <w:pPr>
        <w:pStyle w:val="KOMtext"/>
        <w:rPr>
          <w:color w:val="FF0000"/>
        </w:rPr>
      </w:pPr>
      <w:r w:rsidRPr="00B43196">
        <w:rPr>
          <w:rFonts w:eastAsiaTheme="minorHAnsi" w:cstheme="minorHAnsi"/>
          <w:noProof/>
          <w:sz w:val="22"/>
          <w:szCs w:val="22"/>
        </w:rPr>
        <w:drawing>
          <wp:inline distT="0" distB="0" distL="0" distR="0" wp14:anchorId="347085D3" wp14:editId="5BCAC0CC">
            <wp:extent cx="5737860" cy="1314450"/>
            <wp:effectExtent l="19050" t="0" r="34290" b="38100"/>
            <wp:docPr id="62" name="Diagram 6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p>
    <w:p w14:paraId="06F031AA" w14:textId="77777777" w:rsidR="000B1399" w:rsidRPr="000B1399" w:rsidRDefault="000B1399" w:rsidP="000B1399">
      <w:pPr>
        <w:keepLines/>
        <w:spacing w:before="240" w:after="240" w:line="276" w:lineRule="auto"/>
        <w:jc w:val="both"/>
        <w:rPr>
          <w:rFonts w:eastAsia="Times New Roman" w:cs="Times New Roman"/>
          <w:sz w:val="24"/>
          <w:szCs w:val="20"/>
          <w:lang w:eastAsia="cs-CZ"/>
        </w:rPr>
      </w:pPr>
      <w:r w:rsidRPr="000B1399">
        <w:rPr>
          <w:rFonts w:eastAsia="Times New Roman" w:cs="Times New Roman"/>
          <w:sz w:val="24"/>
          <w:szCs w:val="20"/>
          <w:lang w:eastAsia="cs-CZ"/>
        </w:rPr>
        <w:t>Porovnání skutečností za roky 2022 a 2021 nemá vypovídací schopnost, neboť v roce 2021, stejně jako v letech 2018 a 2019, nebyly čerpány žádné prostředky. Technologické postupy při výrobě kolejových vozidel negenerovaly projektům během těchto let žádné fakturační celky. Čerpání v roce 2023 bylo ovlivněno ukončením dvou projektů a následnou </w:t>
      </w:r>
      <w:r w:rsidRPr="000B1399">
        <w:rPr>
          <w:rFonts w:eastAsia="Times New Roman" w:cs="Times New Roman"/>
          <w:sz w:val="24"/>
          <w:szCs w:val="20"/>
          <w:lang w:eastAsia="cs-CZ"/>
        </w:rPr>
        <w:br/>
        <w:t>úhradou výdajů s nimi spojených.</w:t>
      </w:r>
    </w:p>
    <w:p w14:paraId="47ADED0C" w14:textId="77777777" w:rsidR="000B1399" w:rsidRPr="000B1399" w:rsidRDefault="000B1399" w:rsidP="000B1399">
      <w:pPr>
        <w:keepLines/>
        <w:spacing w:before="120" w:after="120" w:line="276" w:lineRule="auto"/>
        <w:jc w:val="both"/>
        <w:rPr>
          <w:rFonts w:eastAsia="Times New Roman" w:cstheme="minorHAnsi"/>
          <w:b/>
          <w:bCs/>
          <w:i/>
          <w:lang w:eastAsia="ar-SA"/>
        </w:rPr>
      </w:pPr>
      <w:r w:rsidRPr="000B1399">
        <w:rPr>
          <w:rFonts w:eastAsia="Times New Roman" w:cstheme="minorHAnsi"/>
          <w:b/>
          <w:bCs/>
          <w:i/>
          <w:lang w:eastAsia="ar-SA"/>
        </w:rPr>
        <w:t>Skutečné čerpání za rok 2023:</w:t>
      </w:r>
      <w:r w:rsidRPr="000B1399">
        <w:rPr>
          <w:rFonts w:eastAsia="Times New Roman" w:cstheme="minorHAnsi"/>
          <w:b/>
          <w:bCs/>
          <w:i/>
          <w:lang w:eastAsia="ar-SA"/>
        </w:rPr>
        <w:tab/>
      </w:r>
    </w:p>
    <w:tbl>
      <w:tblPr>
        <w:tblW w:w="9154" w:type="dxa"/>
        <w:tblLayout w:type="fixed"/>
        <w:tblCellMar>
          <w:left w:w="70" w:type="dxa"/>
          <w:right w:w="70" w:type="dxa"/>
        </w:tblCellMar>
        <w:tblLook w:val="0000" w:firstRow="0" w:lastRow="0" w:firstColumn="0" w:lastColumn="0" w:noHBand="0" w:noVBand="0"/>
      </w:tblPr>
      <w:tblGrid>
        <w:gridCol w:w="7250"/>
        <w:gridCol w:w="1904"/>
      </w:tblGrid>
      <w:tr w:rsidR="000B1399" w:rsidRPr="000B1399" w14:paraId="11482D62" w14:textId="77777777" w:rsidTr="00190991">
        <w:trPr>
          <w:trHeight w:val="540"/>
        </w:trPr>
        <w:tc>
          <w:tcPr>
            <w:tcW w:w="7250" w:type="dxa"/>
          </w:tcPr>
          <w:p w14:paraId="766BB83A" w14:textId="77777777" w:rsidR="000B1399" w:rsidRPr="000B1399" w:rsidRDefault="000B1399" w:rsidP="000B1399">
            <w:pPr>
              <w:numPr>
                <w:ilvl w:val="0"/>
                <w:numId w:val="16"/>
              </w:numPr>
              <w:tabs>
                <w:tab w:val="left" w:pos="283"/>
              </w:tabs>
              <w:suppressAutoHyphens/>
              <w:snapToGrid w:val="0"/>
              <w:spacing w:after="0" w:line="240" w:lineRule="auto"/>
              <w:ind w:left="283"/>
              <w:rPr>
                <w:rFonts w:eastAsia="Times New Roman" w:cstheme="minorHAnsi"/>
                <w:b/>
                <w:i/>
                <w:sz w:val="24"/>
                <w:szCs w:val="24"/>
                <w:lang w:eastAsia="ar-SA"/>
              </w:rPr>
            </w:pPr>
            <w:r w:rsidRPr="000B1399">
              <w:rPr>
                <w:rFonts w:eastAsia="Times New Roman" w:cstheme="minorHAnsi"/>
                <w:b/>
                <w:i/>
                <w:sz w:val="24"/>
                <w:szCs w:val="24"/>
                <w:lang w:eastAsia="ar-SA"/>
              </w:rPr>
              <w:t>ze státního rozpočtu (investiční dotace z fondů EU)</w:t>
            </w:r>
            <w:r w:rsidRPr="000B1399">
              <w:rPr>
                <w:rFonts w:eastAsia="Times New Roman" w:cstheme="minorHAnsi"/>
                <w:b/>
                <w:i/>
                <w:sz w:val="24"/>
                <w:szCs w:val="24"/>
                <w:vertAlign w:val="superscript"/>
                <w:lang w:eastAsia="ar-SA"/>
              </w:rPr>
              <w:t xml:space="preserve"> </w:t>
            </w:r>
            <w:r w:rsidRPr="000B1399">
              <w:rPr>
                <w:rFonts w:eastAsia="Times New Roman" w:cstheme="minorHAnsi"/>
                <w:i/>
                <w:sz w:val="24"/>
                <w:szCs w:val="24"/>
                <w:vertAlign w:val="superscript"/>
                <w:lang w:eastAsia="cs-CZ"/>
              </w:rPr>
              <w:t>x</w:t>
            </w:r>
            <w:r w:rsidRPr="000B1399">
              <w:rPr>
                <w:rFonts w:eastAsia="Times New Roman" w:cstheme="minorHAnsi"/>
                <w:i/>
                <w:sz w:val="24"/>
                <w:szCs w:val="24"/>
                <w:lang w:eastAsia="cs-CZ"/>
              </w:rPr>
              <w:t>)</w:t>
            </w:r>
          </w:p>
          <w:p w14:paraId="1D87853B" w14:textId="77777777" w:rsidR="000B1399" w:rsidRPr="000B1399" w:rsidRDefault="000B1399" w:rsidP="000B1399">
            <w:pPr>
              <w:numPr>
                <w:ilvl w:val="0"/>
                <w:numId w:val="16"/>
              </w:numPr>
              <w:tabs>
                <w:tab w:val="left" w:pos="283"/>
              </w:tabs>
              <w:suppressAutoHyphens/>
              <w:snapToGrid w:val="0"/>
              <w:spacing w:after="0" w:line="240" w:lineRule="auto"/>
              <w:ind w:left="283"/>
              <w:rPr>
                <w:rFonts w:eastAsia="Times New Roman" w:cstheme="minorHAnsi"/>
                <w:b/>
                <w:i/>
                <w:sz w:val="24"/>
                <w:szCs w:val="24"/>
                <w:lang w:eastAsia="ar-SA"/>
              </w:rPr>
            </w:pPr>
            <w:r w:rsidRPr="000B1399">
              <w:rPr>
                <w:rFonts w:eastAsia="Times New Roman" w:cstheme="minorHAnsi"/>
                <w:b/>
                <w:i/>
                <w:sz w:val="24"/>
                <w:szCs w:val="24"/>
                <w:lang w:eastAsia="ar-SA"/>
              </w:rPr>
              <w:lastRenderedPageBreak/>
              <w:t>ze státního rozpočtu (neinvestiční dotace z fondů EU</w:t>
            </w:r>
            <w:proofErr w:type="gramStart"/>
            <w:r w:rsidRPr="000B1399">
              <w:rPr>
                <w:rFonts w:eastAsia="Times New Roman" w:cstheme="minorHAnsi"/>
                <w:b/>
                <w:i/>
                <w:sz w:val="24"/>
                <w:szCs w:val="24"/>
                <w:lang w:eastAsia="ar-SA"/>
              </w:rPr>
              <w:t>) )</w:t>
            </w:r>
            <w:proofErr w:type="gramEnd"/>
            <w:r w:rsidRPr="000B1399">
              <w:rPr>
                <w:rFonts w:eastAsia="Times New Roman" w:cstheme="minorHAnsi"/>
                <w:b/>
                <w:i/>
                <w:sz w:val="24"/>
                <w:szCs w:val="24"/>
                <w:vertAlign w:val="superscript"/>
                <w:lang w:eastAsia="ar-SA"/>
              </w:rPr>
              <w:t xml:space="preserve"> </w:t>
            </w:r>
            <w:r w:rsidRPr="000B1399">
              <w:rPr>
                <w:rFonts w:eastAsia="Times New Roman" w:cstheme="minorHAnsi"/>
                <w:i/>
                <w:sz w:val="24"/>
                <w:szCs w:val="24"/>
                <w:vertAlign w:val="superscript"/>
                <w:lang w:eastAsia="cs-CZ"/>
              </w:rPr>
              <w:t>x</w:t>
            </w:r>
            <w:r w:rsidRPr="000B1399">
              <w:rPr>
                <w:rFonts w:eastAsia="Times New Roman" w:cstheme="minorHAnsi"/>
                <w:i/>
                <w:sz w:val="24"/>
                <w:szCs w:val="24"/>
                <w:lang w:eastAsia="cs-CZ"/>
              </w:rPr>
              <w:t>)</w:t>
            </w:r>
          </w:p>
          <w:p w14:paraId="730EDB28" w14:textId="77777777" w:rsidR="000B1399" w:rsidRPr="000B1399" w:rsidRDefault="000B1399" w:rsidP="000B1399">
            <w:pPr>
              <w:numPr>
                <w:ilvl w:val="0"/>
                <w:numId w:val="16"/>
              </w:numPr>
              <w:tabs>
                <w:tab w:val="left" w:pos="283"/>
              </w:tabs>
              <w:suppressAutoHyphens/>
              <w:snapToGrid w:val="0"/>
              <w:spacing w:after="0" w:line="240" w:lineRule="auto"/>
              <w:ind w:left="283"/>
              <w:rPr>
                <w:rFonts w:eastAsia="Times New Roman" w:cstheme="minorHAnsi"/>
                <w:i/>
                <w:sz w:val="24"/>
                <w:szCs w:val="24"/>
                <w:lang w:eastAsia="ar-SA"/>
              </w:rPr>
            </w:pPr>
            <w:r w:rsidRPr="000B1399">
              <w:rPr>
                <w:rFonts w:eastAsia="Times New Roman" w:cstheme="minorHAnsi"/>
                <w:b/>
                <w:i/>
                <w:sz w:val="24"/>
                <w:szCs w:val="24"/>
                <w:lang w:eastAsia="ar-SA"/>
              </w:rPr>
              <w:t>vlastní zdroje účastníka programu</w:t>
            </w:r>
          </w:p>
        </w:tc>
        <w:tc>
          <w:tcPr>
            <w:tcW w:w="1904" w:type="dxa"/>
          </w:tcPr>
          <w:p w14:paraId="1BFA8C9D" w14:textId="77777777" w:rsidR="000B1399" w:rsidRPr="000B1399" w:rsidRDefault="000B1399" w:rsidP="000B1399">
            <w:pPr>
              <w:snapToGrid w:val="0"/>
              <w:spacing w:after="0" w:line="240" w:lineRule="auto"/>
              <w:jc w:val="right"/>
              <w:rPr>
                <w:rFonts w:eastAsia="Times New Roman" w:cstheme="minorHAnsi"/>
                <w:b/>
                <w:bCs/>
                <w:i/>
                <w:sz w:val="24"/>
                <w:szCs w:val="24"/>
                <w:lang w:eastAsia="ar-SA"/>
              </w:rPr>
            </w:pPr>
            <w:r w:rsidRPr="000B1399">
              <w:rPr>
                <w:rFonts w:eastAsia="Times New Roman" w:cstheme="minorHAnsi"/>
                <w:b/>
                <w:bCs/>
                <w:i/>
                <w:sz w:val="24"/>
                <w:szCs w:val="24"/>
                <w:lang w:eastAsia="ar-SA"/>
              </w:rPr>
              <w:lastRenderedPageBreak/>
              <w:t>3 698 015 tis. Kč</w:t>
            </w:r>
          </w:p>
          <w:p w14:paraId="75F118E8" w14:textId="77777777" w:rsidR="000B1399" w:rsidRPr="000B1399" w:rsidRDefault="000B1399" w:rsidP="000B1399">
            <w:pPr>
              <w:spacing w:after="0" w:line="240" w:lineRule="auto"/>
              <w:jc w:val="right"/>
              <w:rPr>
                <w:rFonts w:eastAsia="Times New Roman" w:cstheme="minorHAnsi"/>
                <w:b/>
                <w:bCs/>
                <w:i/>
                <w:sz w:val="24"/>
                <w:szCs w:val="24"/>
                <w:lang w:eastAsia="ar-SA"/>
              </w:rPr>
            </w:pPr>
            <w:r w:rsidRPr="000B1399">
              <w:rPr>
                <w:rFonts w:eastAsia="Times New Roman" w:cstheme="minorHAnsi"/>
                <w:b/>
                <w:bCs/>
                <w:i/>
                <w:sz w:val="24"/>
                <w:szCs w:val="24"/>
                <w:lang w:eastAsia="ar-SA"/>
              </w:rPr>
              <w:lastRenderedPageBreak/>
              <w:t>67 tis. Kč</w:t>
            </w:r>
          </w:p>
          <w:p w14:paraId="3D556D20" w14:textId="77777777" w:rsidR="000B1399" w:rsidRPr="000B1399" w:rsidRDefault="000B1399" w:rsidP="000B1399">
            <w:pPr>
              <w:spacing w:after="0" w:line="240" w:lineRule="auto"/>
              <w:jc w:val="right"/>
              <w:rPr>
                <w:rFonts w:eastAsia="Times New Roman" w:cstheme="minorHAnsi"/>
                <w:bCs/>
                <w:i/>
                <w:sz w:val="24"/>
                <w:szCs w:val="24"/>
                <w:lang w:eastAsia="ar-SA"/>
              </w:rPr>
            </w:pPr>
            <w:r w:rsidRPr="000B1399">
              <w:rPr>
                <w:rFonts w:eastAsia="Times New Roman" w:cstheme="minorHAnsi"/>
                <w:b/>
                <w:bCs/>
                <w:i/>
                <w:sz w:val="24"/>
                <w:szCs w:val="24"/>
                <w:lang w:eastAsia="ar-SA"/>
              </w:rPr>
              <w:t>666 103 tis. Kč</w:t>
            </w:r>
          </w:p>
        </w:tc>
      </w:tr>
    </w:tbl>
    <w:p w14:paraId="1901CA64" w14:textId="77777777" w:rsidR="000B1399" w:rsidRPr="000B1399" w:rsidRDefault="000B1399" w:rsidP="000B1399">
      <w:pPr>
        <w:keepLines/>
        <w:spacing w:before="120" w:after="0" w:line="276" w:lineRule="auto"/>
        <w:jc w:val="both"/>
        <w:rPr>
          <w:rFonts w:eastAsia="Times New Roman" w:cstheme="minorHAnsi"/>
          <w:sz w:val="20"/>
          <w:szCs w:val="20"/>
          <w:lang w:eastAsia="cs-CZ"/>
        </w:rPr>
      </w:pPr>
      <w:r w:rsidRPr="000B1399">
        <w:rPr>
          <w:rFonts w:eastAsia="Times New Roman" w:cstheme="minorHAnsi"/>
          <w:i/>
          <w:sz w:val="20"/>
          <w:szCs w:val="20"/>
          <w:vertAlign w:val="superscript"/>
          <w:lang w:eastAsia="cs-CZ"/>
        </w:rPr>
        <w:lastRenderedPageBreak/>
        <w:t>x</w:t>
      </w:r>
      <w:r w:rsidRPr="000B1399">
        <w:rPr>
          <w:rFonts w:eastAsia="Times New Roman" w:cstheme="minorHAnsi"/>
          <w:i/>
          <w:sz w:val="20"/>
          <w:szCs w:val="20"/>
          <w:lang w:eastAsia="cs-CZ"/>
        </w:rPr>
        <w:t>)</w:t>
      </w:r>
      <w:r w:rsidRPr="000B1399">
        <w:rPr>
          <w:rFonts w:eastAsia="Times New Roman" w:cstheme="minorHAnsi"/>
          <w:sz w:val="20"/>
          <w:szCs w:val="20"/>
          <w:lang w:eastAsia="cs-CZ"/>
        </w:rPr>
        <w:t xml:space="preserve"> v tom: nároky ve výši 3 698 015 tis. Kč (investiční dotace z fondů EU) </w:t>
      </w:r>
    </w:p>
    <w:p w14:paraId="74BE243C" w14:textId="77777777" w:rsidR="000B1399" w:rsidRPr="000B1399" w:rsidRDefault="000B1399" w:rsidP="000B1399">
      <w:pPr>
        <w:keepLines/>
        <w:spacing w:after="0" w:line="276" w:lineRule="auto"/>
        <w:jc w:val="both"/>
        <w:rPr>
          <w:rFonts w:eastAsia="Times New Roman" w:cstheme="minorHAnsi"/>
          <w:sz w:val="20"/>
          <w:szCs w:val="20"/>
          <w:lang w:eastAsia="cs-CZ"/>
        </w:rPr>
      </w:pPr>
      <w:r w:rsidRPr="000B1399">
        <w:rPr>
          <w:rFonts w:eastAsia="Times New Roman" w:cstheme="minorHAnsi"/>
          <w:sz w:val="20"/>
          <w:szCs w:val="20"/>
          <w:lang w:eastAsia="cs-CZ"/>
        </w:rPr>
        <w:t xml:space="preserve">                 nároky ve výši 67 tis. Kč (neinvestiční dotace z fondů EU)</w:t>
      </w:r>
    </w:p>
    <w:p w14:paraId="5BB7E61C" w14:textId="29A0AFB8" w:rsidR="00A17419" w:rsidRPr="006B6D61" w:rsidRDefault="00A17419" w:rsidP="008A0E44">
      <w:pPr>
        <w:pStyle w:val="KOMnadp4"/>
        <w:rPr>
          <w:rFonts w:ascii="Times New Roman" w:hAnsi="Times New Roman" w:cs="Times New Roman"/>
          <w:i/>
        </w:rPr>
      </w:pPr>
      <w:r w:rsidRPr="006B6D61">
        <w:rPr>
          <w:lang w:eastAsia="ar-SA"/>
        </w:rPr>
        <w:t>127 67 Podpora obnovy historických železničních kolejových vozidel v období 2021-2023</w:t>
      </w:r>
    </w:p>
    <w:p w14:paraId="553A22C6" w14:textId="77777777" w:rsidR="00141E06" w:rsidRPr="00141E06" w:rsidRDefault="00141E06" w:rsidP="00141E06">
      <w:pPr>
        <w:keepLines/>
        <w:spacing w:before="240" w:after="240" w:line="276" w:lineRule="auto"/>
        <w:jc w:val="both"/>
        <w:rPr>
          <w:rFonts w:eastAsia="Times New Roman" w:cs="Times New Roman"/>
          <w:sz w:val="24"/>
          <w:szCs w:val="20"/>
          <w:lang w:eastAsia="cs-CZ"/>
        </w:rPr>
      </w:pPr>
      <w:r w:rsidRPr="00141E06">
        <w:rPr>
          <w:rFonts w:eastAsia="Times New Roman" w:cs="Times New Roman"/>
          <w:sz w:val="24"/>
          <w:szCs w:val="20"/>
          <w:lang w:eastAsia="cs-CZ"/>
        </w:rPr>
        <w:t xml:space="preserve">Cílem programu byla podpora obnovy historických železničních kolejových vozidel, </w:t>
      </w:r>
      <w:r w:rsidRPr="00141E06">
        <w:rPr>
          <w:rFonts w:eastAsia="Times New Roman" w:cs="Times New Roman"/>
          <w:sz w:val="24"/>
          <w:szCs w:val="20"/>
          <w:lang w:eastAsia="cs-CZ"/>
        </w:rPr>
        <w:br/>
        <w:t>a to především z pohledu zachování technického a kulturního dědictví pro současnou i příští generace, což přispívá ke zvýšení zájmu o historii v dopravním oboru železnice.</w:t>
      </w:r>
    </w:p>
    <w:p w14:paraId="3254F1AD" w14:textId="77777777" w:rsidR="00141E06" w:rsidRPr="00141E06" w:rsidRDefault="00141E06" w:rsidP="00141E06">
      <w:pPr>
        <w:keepLines/>
        <w:spacing w:before="240" w:after="240" w:line="276" w:lineRule="auto"/>
        <w:jc w:val="both"/>
        <w:rPr>
          <w:rFonts w:eastAsia="Times New Roman" w:cs="Times New Roman"/>
          <w:sz w:val="24"/>
          <w:szCs w:val="20"/>
          <w:lang w:eastAsia="cs-CZ"/>
        </w:rPr>
      </w:pPr>
      <w:r w:rsidRPr="00141E06">
        <w:rPr>
          <w:rFonts w:eastAsia="Times New Roman" w:cs="Times New Roman"/>
          <w:sz w:val="24"/>
          <w:szCs w:val="20"/>
          <w:lang w:eastAsia="cs-CZ"/>
        </w:rPr>
        <w:t>Náplní programu byla pokračující podpora obnovy historických železničních kolejových vozidel. Účastníky programu byli právnické i fyzické podnikatelské subjekty, spolky a obecně prospěšné společnosti.</w:t>
      </w:r>
    </w:p>
    <w:p w14:paraId="7FC85B53" w14:textId="77777777" w:rsidR="00141E06" w:rsidRPr="00141E06" w:rsidRDefault="00141E06" w:rsidP="00141E06">
      <w:pPr>
        <w:keepLines/>
        <w:spacing w:before="240" w:after="240" w:line="276" w:lineRule="auto"/>
        <w:jc w:val="both"/>
        <w:rPr>
          <w:rFonts w:eastAsia="Times New Roman" w:cs="Times New Roman"/>
          <w:sz w:val="24"/>
          <w:szCs w:val="20"/>
          <w:lang w:eastAsia="cs-CZ"/>
        </w:rPr>
      </w:pPr>
      <w:r w:rsidRPr="00141E06">
        <w:rPr>
          <w:rFonts w:eastAsia="Times New Roman" w:cs="Times New Roman"/>
          <w:sz w:val="24"/>
          <w:szCs w:val="20"/>
          <w:lang w:eastAsia="cs-CZ"/>
        </w:rPr>
        <w:t>Termín ukončení realizace programu byl stanoven na 31. 12. 2023.</w:t>
      </w:r>
    </w:p>
    <w:p w14:paraId="44648B6B" w14:textId="77777777" w:rsidR="00141E06" w:rsidRPr="00141E06" w:rsidRDefault="00141E06" w:rsidP="00141E06">
      <w:pPr>
        <w:keepLines/>
        <w:spacing w:before="240" w:after="240" w:line="276" w:lineRule="auto"/>
        <w:jc w:val="both"/>
        <w:rPr>
          <w:rFonts w:eastAsia="Times New Roman" w:cs="Times New Roman"/>
          <w:sz w:val="24"/>
          <w:szCs w:val="20"/>
          <w:lang w:eastAsia="cs-CZ"/>
        </w:rPr>
      </w:pPr>
      <w:r w:rsidRPr="00141E06">
        <w:rPr>
          <w:rFonts w:eastAsia="Times New Roman" w:cs="Times New Roman"/>
          <w:sz w:val="24"/>
          <w:szCs w:val="20"/>
          <w:lang w:eastAsia="cs-CZ"/>
        </w:rPr>
        <w:t>Dokumentace programu byla schválena Ministerstvem financí č.j. 4 950/2021/1903-3 ze dne 11. 3. 2021.</w:t>
      </w:r>
    </w:p>
    <w:p w14:paraId="35B956D3" w14:textId="0D9B1330" w:rsidR="002C0F0D" w:rsidRPr="006B6D61" w:rsidRDefault="002C0F0D" w:rsidP="00BA4E5A">
      <w:pPr>
        <w:pStyle w:val="KOMGrafy"/>
      </w:pPr>
      <w:bookmarkStart w:id="609" w:name="_Toc160457135"/>
      <w:r w:rsidRPr="006B6D61">
        <w:t xml:space="preserve">Graf č. </w:t>
      </w:r>
      <w:fldSimple w:instr=" SEQ Graf_č. \* ARABIC ">
        <w:r w:rsidR="00013820">
          <w:rPr>
            <w:noProof/>
          </w:rPr>
          <w:t>18</w:t>
        </w:r>
      </w:fldSimple>
      <w:r w:rsidRPr="006B6D61">
        <w:t>: Celkové schválené výdaje programu 127 67 (v tis. Kč)</w:t>
      </w:r>
      <w:bookmarkEnd w:id="609"/>
    </w:p>
    <w:p w14:paraId="74158531" w14:textId="6EB0F823" w:rsidR="00A17419" w:rsidRPr="002F1BE7" w:rsidRDefault="00A17419" w:rsidP="00BA4E5A">
      <w:pPr>
        <w:pStyle w:val="KOMtext"/>
        <w:rPr>
          <w:color w:val="FF0000"/>
        </w:rPr>
      </w:pPr>
      <w:r w:rsidRPr="0077128B">
        <w:rPr>
          <w:noProof/>
          <w:color w:val="FF0000"/>
        </w:rPr>
        <w:drawing>
          <wp:inline distT="0" distB="0" distL="0" distR="0" wp14:anchorId="7FB79B9C" wp14:editId="0DE1EA86">
            <wp:extent cx="5760000" cy="2160000"/>
            <wp:effectExtent l="0" t="0" r="12700" b="12065"/>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7779BE13" w14:textId="00884DD3" w:rsidR="0049637C" w:rsidRPr="0049637C" w:rsidRDefault="0049637C" w:rsidP="0049637C">
      <w:pPr>
        <w:keepLines/>
        <w:spacing w:before="240" w:after="240" w:line="276" w:lineRule="auto"/>
        <w:jc w:val="both"/>
        <w:rPr>
          <w:rFonts w:eastAsia="Times New Roman" w:cs="Times New Roman"/>
          <w:sz w:val="24"/>
          <w:szCs w:val="20"/>
          <w:lang w:eastAsia="cs-CZ"/>
        </w:rPr>
      </w:pPr>
      <w:r w:rsidRPr="0049637C">
        <w:rPr>
          <w:rFonts w:eastAsia="Times New Roman" w:cs="Times New Roman"/>
          <w:sz w:val="24"/>
          <w:szCs w:val="20"/>
          <w:lang w:eastAsia="cs-CZ"/>
        </w:rPr>
        <w:t xml:space="preserve">Neinvestiční prostředky byly za rok 2023 čerpány ve výši </w:t>
      </w:r>
      <w:r w:rsidRPr="0049637C">
        <w:rPr>
          <w:rFonts w:eastAsia="Times New Roman" w:cs="Times New Roman"/>
          <w:b/>
          <w:i/>
          <w:sz w:val="24"/>
          <w:szCs w:val="20"/>
          <w:lang w:eastAsia="cs-CZ"/>
        </w:rPr>
        <w:t xml:space="preserve">6 600 tis. Kč </w:t>
      </w:r>
      <w:r w:rsidRPr="0049637C">
        <w:rPr>
          <w:rFonts w:eastAsia="Times New Roman" w:cs="Times New Roman"/>
          <w:bCs/>
          <w:iCs/>
          <w:sz w:val="24"/>
          <w:szCs w:val="20"/>
          <w:lang w:eastAsia="cs-CZ"/>
        </w:rPr>
        <w:t>(z toho nároky                             1 60</w:t>
      </w:r>
      <w:r w:rsidR="00226C2F">
        <w:rPr>
          <w:rFonts w:eastAsia="Times New Roman" w:cs="Times New Roman"/>
          <w:bCs/>
          <w:iCs/>
          <w:sz w:val="24"/>
          <w:szCs w:val="20"/>
          <w:lang w:eastAsia="cs-CZ"/>
        </w:rPr>
        <w:t>6</w:t>
      </w:r>
      <w:r w:rsidRPr="0049637C">
        <w:rPr>
          <w:rFonts w:eastAsia="Times New Roman" w:cs="Times New Roman"/>
          <w:bCs/>
          <w:iCs/>
          <w:sz w:val="24"/>
          <w:szCs w:val="20"/>
          <w:lang w:eastAsia="cs-CZ"/>
        </w:rPr>
        <w:t xml:space="preserve"> tis. Kč)</w:t>
      </w:r>
      <w:r w:rsidRPr="0049637C">
        <w:rPr>
          <w:rFonts w:eastAsia="Times New Roman" w:cs="Times New Roman"/>
          <w:sz w:val="24"/>
          <w:szCs w:val="20"/>
          <w:lang w:eastAsia="cs-CZ"/>
        </w:rPr>
        <w:t xml:space="preserve"> tj. 132 </w:t>
      </w:r>
      <w:proofErr w:type="gramStart"/>
      <w:r w:rsidRPr="0049637C">
        <w:rPr>
          <w:rFonts w:eastAsia="Times New Roman" w:cs="Times New Roman"/>
          <w:sz w:val="24"/>
          <w:szCs w:val="20"/>
          <w:lang w:eastAsia="cs-CZ"/>
        </w:rPr>
        <w:t>%  schváleného</w:t>
      </w:r>
      <w:proofErr w:type="gramEnd"/>
      <w:r w:rsidRPr="0049637C">
        <w:rPr>
          <w:rFonts w:eastAsia="Times New Roman" w:cs="Times New Roman"/>
          <w:sz w:val="24"/>
          <w:szCs w:val="20"/>
          <w:lang w:eastAsia="cs-CZ"/>
        </w:rPr>
        <w:t xml:space="preserve">  rozpočtu, na realizaci 17 akcí. Prostředky byly poskytnuty 5 společnostem - právnickým osobám – </w:t>
      </w:r>
      <w:proofErr w:type="gramStart"/>
      <w:r w:rsidRPr="0049637C">
        <w:rPr>
          <w:rFonts w:eastAsia="Times New Roman" w:cs="Times New Roman"/>
          <w:sz w:val="24"/>
          <w:szCs w:val="20"/>
          <w:lang w:eastAsia="cs-CZ"/>
        </w:rPr>
        <w:t>HERKULES  KHKD</w:t>
      </w:r>
      <w:proofErr w:type="gramEnd"/>
      <w:r w:rsidRPr="0049637C">
        <w:rPr>
          <w:rFonts w:eastAsia="Times New Roman" w:cs="Times New Roman"/>
          <w:sz w:val="24"/>
          <w:szCs w:val="20"/>
          <w:lang w:eastAsia="cs-CZ"/>
        </w:rPr>
        <w:t xml:space="preserve">, s.r.o.  (619 tis. Kč), České </w:t>
      </w:r>
      <w:proofErr w:type="gramStart"/>
      <w:r w:rsidRPr="0049637C">
        <w:rPr>
          <w:rFonts w:eastAsia="Times New Roman" w:cs="Times New Roman"/>
          <w:sz w:val="24"/>
          <w:szCs w:val="20"/>
          <w:lang w:eastAsia="cs-CZ"/>
        </w:rPr>
        <w:t>dráhy,  a.s.</w:t>
      </w:r>
      <w:proofErr w:type="gramEnd"/>
      <w:r w:rsidRPr="0049637C">
        <w:rPr>
          <w:rFonts w:eastAsia="Times New Roman" w:cs="Times New Roman"/>
          <w:sz w:val="24"/>
          <w:szCs w:val="20"/>
          <w:lang w:eastAsia="cs-CZ"/>
        </w:rPr>
        <w:t xml:space="preserve">  (759 tis. Kč), Junior market, s.r.o. (2 akce za 906 tis. Kč a 643 tis. Kč), TRAK </w:t>
      </w:r>
      <w:proofErr w:type="spellStart"/>
      <w:r w:rsidRPr="0049637C">
        <w:rPr>
          <w:rFonts w:eastAsia="Times New Roman" w:cs="Times New Roman"/>
          <w:sz w:val="24"/>
          <w:szCs w:val="20"/>
          <w:lang w:eastAsia="cs-CZ"/>
        </w:rPr>
        <w:t>Rail</w:t>
      </w:r>
      <w:proofErr w:type="spellEnd"/>
      <w:r w:rsidRPr="0049637C">
        <w:rPr>
          <w:rFonts w:eastAsia="Times New Roman" w:cs="Times New Roman"/>
          <w:sz w:val="24"/>
          <w:szCs w:val="20"/>
          <w:lang w:eastAsia="cs-CZ"/>
        </w:rPr>
        <w:t xml:space="preserve">, s.r.o.                              (372 tis. Kč) a KŽC Doprava, s.r.o. (547 tis. Kč), 3 fyzickým osobám – Petr Nepil (300 tis. Kč), Ing. Bohumil Pokorný (28 tis. Kč) a Oldřich Čížek (250 tis. Kč) a 6 spolkům - Pardubický spolek historie železniční dopravy  (2 akce za 167 tis. Kč a 194 tis. Kč), Muzeum starých strojů                                 a technologií, </w:t>
      </w:r>
      <w:proofErr w:type="spellStart"/>
      <w:r w:rsidRPr="0049637C">
        <w:rPr>
          <w:rFonts w:eastAsia="Times New Roman" w:cs="Times New Roman"/>
          <w:sz w:val="24"/>
          <w:szCs w:val="20"/>
          <w:lang w:eastAsia="cs-CZ"/>
        </w:rPr>
        <w:t>z.s</w:t>
      </w:r>
      <w:proofErr w:type="spellEnd"/>
      <w:r w:rsidRPr="0049637C">
        <w:rPr>
          <w:rFonts w:eastAsia="Times New Roman" w:cs="Times New Roman"/>
          <w:sz w:val="24"/>
          <w:szCs w:val="20"/>
          <w:lang w:eastAsia="cs-CZ"/>
        </w:rPr>
        <w:t xml:space="preserve">. (700 tis. Kč), Klub přátel železnic Českého ráje (556 tis. Kč), Společnost železniční výtopna Jaroměř, </w:t>
      </w:r>
      <w:proofErr w:type="spellStart"/>
      <w:r w:rsidRPr="0049637C">
        <w:rPr>
          <w:rFonts w:eastAsia="Times New Roman" w:cs="Times New Roman"/>
          <w:sz w:val="24"/>
          <w:szCs w:val="20"/>
          <w:lang w:eastAsia="cs-CZ"/>
        </w:rPr>
        <w:t>z.s</w:t>
      </w:r>
      <w:proofErr w:type="spellEnd"/>
      <w:r w:rsidRPr="0049637C">
        <w:rPr>
          <w:rFonts w:eastAsia="Times New Roman" w:cs="Times New Roman"/>
          <w:sz w:val="24"/>
          <w:szCs w:val="20"/>
          <w:lang w:eastAsia="cs-CZ"/>
        </w:rPr>
        <w:t xml:space="preserve">. (2 akce za 70 tis. Kč a 100 tis. Kč), Zubrnická museální železnice, </w:t>
      </w:r>
      <w:proofErr w:type="spellStart"/>
      <w:r w:rsidRPr="0049637C">
        <w:rPr>
          <w:rFonts w:eastAsia="Times New Roman" w:cs="Times New Roman"/>
          <w:sz w:val="24"/>
          <w:szCs w:val="20"/>
          <w:lang w:eastAsia="cs-CZ"/>
        </w:rPr>
        <w:t>z.s</w:t>
      </w:r>
      <w:proofErr w:type="spellEnd"/>
      <w:r w:rsidRPr="0049637C">
        <w:rPr>
          <w:rFonts w:eastAsia="Times New Roman" w:cs="Times New Roman"/>
          <w:sz w:val="24"/>
          <w:szCs w:val="20"/>
          <w:lang w:eastAsia="cs-CZ"/>
        </w:rPr>
        <w:t xml:space="preserve">.  (68 tis. Kč) a Letohradský železniční klub, </w:t>
      </w:r>
      <w:proofErr w:type="spellStart"/>
      <w:r w:rsidRPr="0049637C">
        <w:rPr>
          <w:rFonts w:eastAsia="Times New Roman" w:cs="Times New Roman"/>
          <w:sz w:val="24"/>
          <w:szCs w:val="20"/>
          <w:lang w:eastAsia="cs-CZ"/>
        </w:rPr>
        <w:t>z.s</w:t>
      </w:r>
      <w:proofErr w:type="spellEnd"/>
      <w:r w:rsidRPr="0049637C">
        <w:rPr>
          <w:rFonts w:eastAsia="Times New Roman" w:cs="Times New Roman"/>
          <w:sz w:val="24"/>
          <w:szCs w:val="20"/>
          <w:lang w:eastAsia="cs-CZ"/>
        </w:rPr>
        <w:t>. (321 tis. Kč).</w:t>
      </w:r>
    </w:p>
    <w:p w14:paraId="147DD9CA" w14:textId="77777777" w:rsidR="0049637C" w:rsidRPr="0049637C" w:rsidRDefault="0049637C" w:rsidP="0049637C">
      <w:pPr>
        <w:spacing w:before="120" w:after="120" w:line="276" w:lineRule="auto"/>
        <w:jc w:val="both"/>
        <w:rPr>
          <w:rFonts w:cstheme="minorHAnsi"/>
        </w:rPr>
      </w:pPr>
      <w:r w:rsidRPr="0049637C">
        <w:rPr>
          <w:noProof/>
          <w:lang w:eastAsia="cs-CZ"/>
        </w:rPr>
        <w:lastRenderedPageBreak/>
        <w:drawing>
          <wp:inline distT="0" distB="0" distL="0" distR="0" wp14:anchorId="40FD49D6" wp14:editId="500670BB">
            <wp:extent cx="5638800" cy="981075"/>
            <wp:effectExtent l="19050" t="0" r="38100" b="9525"/>
            <wp:docPr id="63" name="Diagram 6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14:paraId="3B18C9AA" w14:textId="77777777" w:rsidR="0049637C" w:rsidRPr="0049637C" w:rsidRDefault="0049637C" w:rsidP="0049637C">
      <w:pPr>
        <w:spacing w:line="276" w:lineRule="auto"/>
        <w:jc w:val="both"/>
        <w:rPr>
          <w:rFonts w:ascii="Times New Roman" w:hAnsi="Times New Roman" w:cs="Times New Roman"/>
          <w:sz w:val="24"/>
          <w:szCs w:val="24"/>
        </w:rPr>
      </w:pPr>
      <w:r w:rsidRPr="0049637C">
        <w:rPr>
          <w:rFonts w:cstheme="minorHAnsi"/>
          <w:noProof/>
          <w:lang w:eastAsia="cs-CZ"/>
        </w:rPr>
        <w:drawing>
          <wp:inline distT="0" distB="0" distL="0" distR="0" wp14:anchorId="221F958B" wp14:editId="30B8C6A5">
            <wp:extent cx="5353050" cy="914400"/>
            <wp:effectExtent l="19050" t="0" r="38100" b="19050"/>
            <wp:docPr id="1704355588" name="Diagram 170435558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14:paraId="4896DC30" w14:textId="77777777" w:rsidR="00666BBD" w:rsidRPr="00666BBD" w:rsidRDefault="00666BBD" w:rsidP="00666BBD">
      <w:pPr>
        <w:keepLines/>
        <w:spacing w:before="240" w:after="240" w:line="276" w:lineRule="auto"/>
        <w:jc w:val="both"/>
        <w:rPr>
          <w:rFonts w:eastAsia="Times New Roman" w:cs="Times New Roman"/>
          <w:sz w:val="24"/>
          <w:szCs w:val="20"/>
          <w:lang w:eastAsia="cs-CZ"/>
        </w:rPr>
      </w:pPr>
      <w:r w:rsidRPr="00666BBD">
        <w:rPr>
          <w:rFonts w:eastAsia="Times New Roman" w:cs="Times New Roman"/>
          <w:sz w:val="24"/>
          <w:szCs w:val="20"/>
          <w:lang w:eastAsia="cs-CZ"/>
        </w:rPr>
        <w:t>Při porovnání skutečností za roky 2023 a 2022 dosáhlo čerpání výdajů 193,3 % úrovně roku 2022. Vyšší čerpání v roce 2023 bylo způsobeno odkladem plateb za dvě realizované akce            z roku 2022.</w:t>
      </w:r>
    </w:p>
    <w:p w14:paraId="5E89EA2A" w14:textId="77777777" w:rsidR="00666BBD" w:rsidRPr="00666BBD" w:rsidRDefault="00666BBD" w:rsidP="00666BBD">
      <w:pPr>
        <w:keepLines/>
        <w:spacing w:before="120" w:after="120" w:line="276" w:lineRule="auto"/>
        <w:jc w:val="both"/>
        <w:rPr>
          <w:rFonts w:eastAsia="Times New Roman" w:cstheme="minorHAnsi"/>
          <w:b/>
          <w:bCs/>
          <w:i/>
          <w:lang w:eastAsia="ar-SA"/>
        </w:rPr>
      </w:pPr>
      <w:r w:rsidRPr="00666BBD">
        <w:rPr>
          <w:rFonts w:eastAsia="Times New Roman" w:cstheme="minorHAnsi"/>
          <w:b/>
          <w:bCs/>
          <w:i/>
          <w:lang w:eastAsia="ar-SA"/>
        </w:rPr>
        <w:t>Skutečné čerpání za rok 2023:</w:t>
      </w:r>
      <w:r w:rsidRPr="00666BBD">
        <w:rPr>
          <w:rFonts w:eastAsia="Times New Roman" w:cstheme="minorHAnsi"/>
          <w:b/>
          <w:bCs/>
          <w:i/>
          <w:lang w:eastAsia="ar-SA"/>
        </w:rPr>
        <w:tab/>
      </w:r>
    </w:p>
    <w:tbl>
      <w:tblPr>
        <w:tblW w:w="9228" w:type="dxa"/>
        <w:tblLayout w:type="fixed"/>
        <w:tblCellMar>
          <w:left w:w="70" w:type="dxa"/>
          <w:right w:w="70" w:type="dxa"/>
        </w:tblCellMar>
        <w:tblLook w:val="0000" w:firstRow="0" w:lastRow="0" w:firstColumn="0" w:lastColumn="0" w:noHBand="0" w:noVBand="0"/>
      </w:tblPr>
      <w:tblGrid>
        <w:gridCol w:w="7309"/>
        <w:gridCol w:w="1919"/>
      </w:tblGrid>
      <w:tr w:rsidR="00666BBD" w:rsidRPr="00666BBD" w14:paraId="2C951CE4" w14:textId="77777777" w:rsidTr="00190991">
        <w:trPr>
          <w:trHeight w:val="697"/>
        </w:trPr>
        <w:tc>
          <w:tcPr>
            <w:tcW w:w="7309" w:type="dxa"/>
          </w:tcPr>
          <w:p w14:paraId="6BE92718" w14:textId="77777777" w:rsidR="00666BBD" w:rsidRPr="00666BBD" w:rsidRDefault="00666BBD" w:rsidP="00666BBD">
            <w:pPr>
              <w:numPr>
                <w:ilvl w:val="0"/>
                <w:numId w:val="16"/>
              </w:numPr>
              <w:tabs>
                <w:tab w:val="left" w:pos="283"/>
              </w:tabs>
              <w:suppressAutoHyphens/>
              <w:snapToGrid w:val="0"/>
              <w:spacing w:after="0" w:line="240" w:lineRule="auto"/>
              <w:ind w:left="283"/>
              <w:rPr>
                <w:rFonts w:eastAsia="Times New Roman" w:cstheme="minorHAnsi"/>
                <w:b/>
                <w:i/>
                <w:sz w:val="24"/>
                <w:szCs w:val="24"/>
                <w:lang w:eastAsia="ar-SA"/>
              </w:rPr>
            </w:pPr>
            <w:r w:rsidRPr="00666BBD">
              <w:rPr>
                <w:rFonts w:eastAsia="Times New Roman" w:cstheme="minorHAnsi"/>
                <w:b/>
                <w:i/>
                <w:sz w:val="24"/>
                <w:szCs w:val="24"/>
                <w:lang w:eastAsia="ar-SA"/>
              </w:rPr>
              <w:t>ze státního rozpočtu (systémové dotace neinvestiční)</w:t>
            </w:r>
            <w:r w:rsidRPr="00666BBD">
              <w:rPr>
                <w:rFonts w:eastAsia="Times New Roman" w:cstheme="minorHAnsi"/>
                <w:i/>
                <w:vertAlign w:val="superscript"/>
                <w:lang w:eastAsia="cs-CZ"/>
              </w:rPr>
              <w:t xml:space="preserve"> x</w:t>
            </w:r>
            <w:r w:rsidRPr="00666BBD">
              <w:rPr>
                <w:rFonts w:eastAsia="Times New Roman" w:cstheme="minorHAnsi"/>
                <w:i/>
                <w:sz w:val="20"/>
                <w:szCs w:val="20"/>
                <w:lang w:eastAsia="cs-CZ"/>
              </w:rPr>
              <w:t>)</w:t>
            </w:r>
          </w:p>
          <w:p w14:paraId="6A8DBBC0" w14:textId="77777777" w:rsidR="00666BBD" w:rsidRPr="00666BBD" w:rsidRDefault="00666BBD" w:rsidP="00666BBD">
            <w:pPr>
              <w:numPr>
                <w:ilvl w:val="0"/>
                <w:numId w:val="16"/>
              </w:numPr>
              <w:tabs>
                <w:tab w:val="left" w:pos="283"/>
              </w:tabs>
              <w:suppressAutoHyphens/>
              <w:snapToGrid w:val="0"/>
              <w:spacing w:after="0" w:line="240" w:lineRule="auto"/>
              <w:ind w:left="283"/>
              <w:rPr>
                <w:rFonts w:eastAsia="Times New Roman" w:cstheme="minorHAnsi"/>
                <w:i/>
                <w:sz w:val="24"/>
                <w:szCs w:val="24"/>
                <w:lang w:eastAsia="ar-SA"/>
              </w:rPr>
            </w:pPr>
            <w:r w:rsidRPr="00666BBD">
              <w:rPr>
                <w:rFonts w:eastAsia="Times New Roman" w:cstheme="minorHAnsi"/>
                <w:b/>
                <w:i/>
                <w:sz w:val="24"/>
                <w:szCs w:val="24"/>
                <w:lang w:eastAsia="ar-SA"/>
              </w:rPr>
              <w:t>vlastní zdroje účastníka programu</w:t>
            </w:r>
          </w:p>
        </w:tc>
        <w:tc>
          <w:tcPr>
            <w:tcW w:w="1919" w:type="dxa"/>
          </w:tcPr>
          <w:p w14:paraId="5A68B4A7" w14:textId="77777777" w:rsidR="00666BBD" w:rsidRPr="00666BBD" w:rsidRDefault="00666BBD" w:rsidP="00666BBD">
            <w:pPr>
              <w:snapToGrid w:val="0"/>
              <w:spacing w:after="0" w:line="240" w:lineRule="auto"/>
              <w:jc w:val="right"/>
              <w:rPr>
                <w:rFonts w:eastAsia="Times New Roman" w:cstheme="minorHAnsi"/>
                <w:b/>
                <w:bCs/>
                <w:i/>
                <w:sz w:val="24"/>
                <w:szCs w:val="24"/>
                <w:lang w:eastAsia="ar-SA"/>
              </w:rPr>
            </w:pPr>
            <w:r w:rsidRPr="00666BBD">
              <w:rPr>
                <w:rFonts w:eastAsia="Times New Roman" w:cstheme="minorHAnsi"/>
                <w:b/>
                <w:bCs/>
                <w:i/>
                <w:sz w:val="24"/>
                <w:szCs w:val="24"/>
                <w:lang w:eastAsia="ar-SA"/>
              </w:rPr>
              <w:t>6 600 tis. Kč</w:t>
            </w:r>
          </w:p>
          <w:p w14:paraId="7DE746D4" w14:textId="77777777" w:rsidR="00666BBD" w:rsidRPr="00666BBD" w:rsidRDefault="00666BBD" w:rsidP="00666BBD">
            <w:pPr>
              <w:spacing w:after="0" w:line="240" w:lineRule="auto"/>
              <w:jc w:val="right"/>
              <w:rPr>
                <w:rFonts w:eastAsia="Times New Roman" w:cstheme="minorHAnsi"/>
                <w:bCs/>
                <w:i/>
                <w:sz w:val="24"/>
                <w:szCs w:val="24"/>
                <w:lang w:eastAsia="ar-SA"/>
              </w:rPr>
            </w:pPr>
            <w:r w:rsidRPr="00666BBD">
              <w:rPr>
                <w:rFonts w:eastAsia="Times New Roman" w:cstheme="minorHAnsi"/>
                <w:b/>
                <w:bCs/>
                <w:i/>
                <w:sz w:val="24"/>
                <w:szCs w:val="24"/>
                <w:lang w:eastAsia="ar-SA"/>
              </w:rPr>
              <w:t>3 885 tis. Kč</w:t>
            </w:r>
          </w:p>
        </w:tc>
      </w:tr>
    </w:tbl>
    <w:p w14:paraId="6F8223A1" w14:textId="0F3D4B42" w:rsidR="00666BBD" w:rsidRPr="00666BBD" w:rsidRDefault="00666BBD" w:rsidP="00666BBD">
      <w:pPr>
        <w:keepLines/>
        <w:spacing w:before="120" w:after="0" w:line="276" w:lineRule="auto"/>
        <w:jc w:val="both"/>
        <w:rPr>
          <w:rFonts w:eastAsia="Times New Roman" w:cstheme="minorHAnsi"/>
          <w:sz w:val="20"/>
          <w:szCs w:val="20"/>
          <w:lang w:eastAsia="cs-CZ"/>
        </w:rPr>
      </w:pPr>
      <w:r w:rsidRPr="00666BBD">
        <w:rPr>
          <w:rFonts w:eastAsia="Times New Roman" w:cstheme="minorHAnsi"/>
          <w:i/>
          <w:vertAlign w:val="superscript"/>
          <w:lang w:eastAsia="cs-CZ"/>
        </w:rPr>
        <w:t>x</w:t>
      </w:r>
      <w:r w:rsidRPr="00666BBD">
        <w:rPr>
          <w:rFonts w:eastAsia="Times New Roman" w:cstheme="minorHAnsi"/>
          <w:i/>
          <w:sz w:val="20"/>
          <w:szCs w:val="20"/>
          <w:lang w:eastAsia="cs-CZ"/>
        </w:rPr>
        <w:t>)</w:t>
      </w:r>
      <w:r w:rsidRPr="00666BBD">
        <w:rPr>
          <w:rFonts w:eastAsia="Times New Roman" w:cstheme="minorHAnsi"/>
          <w:sz w:val="20"/>
          <w:szCs w:val="20"/>
          <w:lang w:eastAsia="cs-CZ"/>
        </w:rPr>
        <w:t xml:space="preserve"> z </w:t>
      </w:r>
      <w:proofErr w:type="gramStart"/>
      <w:r w:rsidRPr="00666BBD">
        <w:rPr>
          <w:rFonts w:eastAsia="Times New Roman" w:cstheme="minorHAnsi"/>
          <w:sz w:val="20"/>
          <w:szCs w:val="20"/>
          <w:lang w:eastAsia="cs-CZ"/>
        </w:rPr>
        <w:t>toho:  nároky</w:t>
      </w:r>
      <w:proofErr w:type="gramEnd"/>
      <w:r w:rsidRPr="00666BBD">
        <w:rPr>
          <w:rFonts w:eastAsia="Times New Roman" w:cstheme="minorHAnsi"/>
          <w:sz w:val="20"/>
          <w:szCs w:val="20"/>
          <w:lang w:eastAsia="cs-CZ"/>
        </w:rPr>
        <w:t xml:space="preserve"> ve výši 1 60</w:t>
      </w:r>
      <w:r w:rsidR="00226C2F">
        <w:rPr>
          <w:rFonts w:eastAsia="Times New Roman" w:cstheme="minorHAnsi"/>
          <w:sz w:val="20"/>
          <w:szCs w:val="20"/>
          <w:lang w:eastAsia="cs-CZ"/>
        </w:rPr>
        <w:t>6</w:t>
      </w:r>
      <w:r w:rsidRPr="00666BBD">
        <w:rPr>
          <w:rFonts w:eastAsia="Times New Roman" w:cstheme="minorHAnsi"/>
          <w:sz w:val="20"/>
          <w:szCs w:val="20"/>
          <w:lang w:eastAsia="cs-CZ"/>
        </w:rPr>
        <w:t xml:space="preserve"> tis. Kč (systémová dotace neinvestiční)</w:t>
      </w:r>
    </w:p>
    <w:p w14:paraId="0414A4F3" w14:textId="77777777" w:rsidR="00A17419" w:rsidRPr="006B6D61" w:rsidRDefault="00A17419" w:rsidP="008A0E44">
      <w:pPr>
        <w:pStyle w:val="KOMnadp4"/>
        <w:rPr>
          <w:rFonts w:ascii="Times New Roman" w:hAnsi="Times New Roman" w:cs="Times New Roman"/>
          <w:i/>
        </w:rPr>
      </w:pPr>
      <w:r w:rsidRPr="006B6D61">
        <w:rPr>
          <w:lang w:eastAsia="ar-SA"/>
        </w:rPr>
        <w:t>127 77 Podpora financování dopravy</w:t>
      </w:r>
    </w:p>
    <w:p w14:paraId="7E025991" w14:textId="77777777" w:rsidR="00047743" w:rsidRPr="00047743" w:rsidRDefault="00047743" w:rsidP="00047743">
      <w:pPr>
        <w:keepLines/>
        <w:spacing w:before="240" w:after="240" w:line="276" w:lineRule="auto"/>
        <w:jc w:val="both"/>
        <w:rPr>
          <w:rFonts w:eastAsia="Times New Roman" w:cs="Times New Roman"/>
          <w:sz w:val="24"/>
          <w:szCs w:val="20"/>
          <w:lang w:eastAsia="cs-CZ"/>
        </w:rPr>
      </w:pPr>
      <w:r w:rsidRPr="00047743">
        <w:rPr>
          <w:rFonts w:eastAsia="Times New Roman" w:cs="Times New Roman"/>
          <w:sz w:val="24"/>
          <w:szCs w:val="20"/>
          <w:lang w:eastAsia="cs-CZ"/>
        </w:rPr>
        <w:t>Program je členěn na 4 podprogramy.</w:t>
      </w:r>
    </w:p>
    <w:p w14:paraId="3B330431" w14:textId="77777777" w:rsidR="00047743" w:rsidRPr="00047743" w:rsidRDefault="00047743" w:rsidP="00047743">
      <w:pPr>
        <w:numPr>
          <w:ilvl w:val="0"/>
          <w:numId w:val="18"/>
        </w:numPr>
        <w:spacing w:before="120" w:after="120" w:line="276" w:lineRule="auto"/>
        <w:ind w:left="709" w:hanging="425"/>
        <w:contextualSpacing/>
        <w:jc w:val="both"/>
        <w:rPr>
          <w:rFonts w:eastAsia="Times New Roman" w:cstheme="minorHAnsi"/>
          <w:i/>
          <w:sz w:val="24"/>
          <w:szCs w:val="24"/>
          <w:lang w:eastAsia="cs-CZ"/>
        </w:rPr>
      </w:pPr>
      <w:r w:rsidRPr="00047743">
        <w:rPr>
          <w:rFonts w:eastAsia="Times New Roman" w:cstheme="minorHAnsi"/>
          <w:i/>
          <w:sz w:val="24"/>
          <w:szCs w:val="24"/>
          <w:lang w:eastAsia="cs-CZ"/>
        </w:rPr>
        <w:t>127 772 „Operační program Doprava 2014–2020 – Ministerstvo dopravy“</w:t>
      </w:r>
    </w:p>
    <w:p w14:paraId="2F3490A9" w14:textId="77777777" w:rsidR="00047743" w:rsidRPr="00047743" w:rsidRDefault="00047743" w:rsidP="00047743">
      <w:pPr>
        <w:numPr>
          <w:ilvl w:val="0"/>
          <w:numId w:val="18"/>
        </w:numPr>
        <w:spacing w:before="120" w:after="120" w:line="276" w:lineRule="auto"/>
        <w:ind w:left="709" w:hanging="425"/>
        <w:contextualSpacing/>
        <w:jc w:val="both"/>
        <w:rPr>
          <w:rFonts w:eastAsia="Times New Roman" w:cstheme="minorHAnsi"/>
          <w:i/>
          <w:sz w:val="24"/>
          <w:szCs w:val="24"/>
          <w:lang w:eastAsia="cs-CZ"/>
        </w:rPr>
      </w:pPr>
      <w:r w:rsidRPr="00047743">
        <w:rPr>
          <w:rFonts w:eastAsia="Times New Roman" w:cstheme="minorHAnsi"/>
          <w:i/>
          <w:sz w:val="24"/>
          <w:szCs w:val="24"/>
          <w:lang w:eastAsia="cs-CZ"/>
        </w:rPr>
        <w:t xml:space="preserve">127 773 „Operační program Doprava 2014–2020 – Státní fond dopravní infrastruktury“ </w:t>
      </w:r>
    </w:p>
    <w:p w14:paraId="0E9E7A77" w14:textId="77777777" w:rsidR="00047743" w:rsidRPr="00047743" w:rsidRDefault="00047743" w:rsidP="00047743">
      <w:pPr>
        <w:keepLines/>
        <w:spacing w:before="240" w:after="240" w:line="276" w:lineRule="auto"/>
        <w:jc w:val="both"/>
        <w:rPr>
          <w:rFonts w:eastAsia="Times New Roman" w:cs="Times New Roman"/>
          <w:sz w:val="24"/>
          <w:szCs w:val="24"/>
          <w:lang w:eastAsia="cs-CZ"/>
        </w:rPr>
      </w:pPr>
      <w:r w:rsidRPr="00047743">
        <w:rPr>
          <w:rFonts w:eastAsia="Times New Roman" w:cs="Times New Roman"/>
          <w:sz w:val="24"/>
          <w:szCs w:val="24"/>
          <w:lang w:eastAsia="cs-CZ"/>
        </w:rPr>
        <w:t>Náplní obou podprogramů je podpora udržitelné dopravy a odstraňování nedostatků v klíčových síťových dopravních infrastrukturách.</w:t>
      </w:r>
    </w:p>
    <w:p w14:paraId="70CCDD40" w14:textId="77777777" w:rsidR="00047743" w:rsidRPr="00047743" w:rsidRDefault="00047743" w:rsidP="00047743">
      <w:pPr>
        <w:numPr>
          <w:ilvl w:val="0"/>
          <w:numId w:val="19"/>
        </w:numPr>
        <w:spacing w:before="120" w:after="120" w:line="276" w:lineRule="auto"/>
        <w:ind w:left="709" w:hanging="425"/>
        <w:contextualSpacing/>
        <w:jc w:val="both"/>
        <w:rPr>
          <w:rFonts w:eastAsia="Times New Roman" w:cstheme="minorHAnsi"/>
          <w:i/>
          <w:sz w:val="24"/>
          <w:szCs w:val="24"/>
          <w:lang w:eastAsia="cs-CZ"/>
        </w:rPr>
      </w:pPr>
      <w:r w:rsidRPr="00047743">
        <w:rPr>
          <w:rFonts w:eastAsia="Times New Roman" w:cstheme="minorHAnsi"/>
          <w:i/>
          <w:sz w:val="24"/>
          <w:szCs w:val="24"/>
          <w:lang w:eastAsia="cs-CZ"/>
        </w:rPr>
        <w:t>127 774 „Nástroj pro propojení Evropy (CEF)“</w:t>
      </w:r>
    </w:p>
    <w:p w14:paraId="7E50DF06" w14:textId="77777777" w:rsidR="00047743" w:rsidRPr="00047743" w:rsidRDefault="00047743" w:rsidP="00047743">
      <w:pPr>
        <w:keepLines/>
        <w:spacing w:before="240" w:after="240" w:line="276" w:lineRule="auto"/>
        <w:jc w:val="both"/>
        <w:rPr>
          <w:rFonts w:eastAsia="Times New Roman" w:cs="Times New Roman"/>
          <w:sz w:val="24"/>
          <w:szCs w:val="24"/>
          <w:lang w:eastAsia="cs-CZ"/>
        </w:rPr>
      </w:pPr>
      <w:r w:rsidRPr="00047743">
        <w:rPr>
          <w:rFonts w:eastAsia="Times New Roman" w:cs="Times New Roman"/>
          <w:sz w:val="24"/>
          <w:szCs w:val="24"/>
          <w:lang w:eastAsia="cs-CZ"/>
        </w:rPr>
        <w:t xml:space="preserve">Náplní podprogramu je podpora investic do nové a stávající infrastruktury se zaměřením </w:t>
      </w:r>
      <w:r w:rsidRPr="00047743">
        <w:rPr>
          <w:rFonts w:eastAsia="Times New Roman" w:cs="Times New Roman"/>
          <w:sz w:val="24"/>
          <w:szCs w:val="24"/>
          <w:lang w:eastAsia="cs-CZ"/>
        </w:rPr>
        <w:br/>
        <w:t>na přeshraniční úseky.</w:t>
      </w:r>
    </w:p>
    <w:p w14:paraId="7F88F644" w14:textId="77777777" w:rsidR="00047743" w:rsidRPr="00047743" w:rsidRDefault="00047743" w:rsidP="00047743">
      <w:pPr>
        <w:numPr>
          <w:ilvl w:val="0"/>
          <w:numId w:val="19"/>
        </w:numPr>
        <w:spacing w:before="120" w:after="120" w:line="276" w:lineRule="auto"/>
        <w:ind w:left="709" w:hanging="425"/>
        <w:contextualSpacing/>
        <w:jc w:val="both"/>
        <w:rPr>
          <w:rFonts w:eastAsia="Times New Roman" w:cstheme="minorHAnsi"/>
          <w:i/>
          <w:sz w:val="24"/>
          <w:szCs w:val="24"/>
          <w:lang w:eastAsia="cs-CZ"/>
        </w:rPr>
      </w:pPr>
      <w:r w:rsidRPr="00047743">
        <w:rPr>
          <w:rFonts w:eastAsia="Times New Roman" w:cstheme="minorHAnsi"/>
          <w:i/>
          <w:sz w:val="24"/>
          <w:szCs w:val="24"/>
          <w:lang w:eastAsia="cs-CZ"/>
        </w:rPr>
        <w:t>127 775 „Ostatní dotace Státnímu fondu dopravní infrastruktury“</w:t>
      </w:r>
    </w:p>
    <w:p w14:paraId="445C901B" w14:textId="77777777" w:rsidR="00047743" w:rsidRPr="00047743" w:rsidRDefault="00047743" w:rsidP="00047743">
      <w:pPr>
        <w:keepLines/>
        <w:spacing w:before="240" w:after="240" w:line="276" w:lineRule="auto"/>
        <w:jc w:val="both"/>
        <w:rPr>
          <w:rFonts w:eastAsia="Times New Roman" w:cs="Times New Roman"/>
          <w:sz w:val="24"/>
          <w:szCs w:val="24"/>
          <w:lang w:eastAsia="cs-CZ"/>
        </w:rPr>
      </w:pPr>
      <w:r w:rsidRPr="00047743">
        <w:rPr>
          <w:rFonts w:eastAsia="Times New Roman" w:cs="Times New Roman"/>
          <w:sz w:val="24"/>
          <w:szCs w:val="24"/>
          <w:lang w:eastAsia="cs-CZ"/>
        </w:rPr>
        <w:t xml:space="preserve">Náplní podprogramu je financování výstavby a modernizace dopravní infrastruktury v rozsahu stanoveném zákonem č. 104/2000 Sb., o Státním fondu dopravní infrastruktury, </w:t>
      </w:r>
      <w:r w:rsidRPr="00047743">
        <w:rPr>
          <w:rFonts w:eastAsia="Times New Roman" w:cs="Times New Roman"/>
          <w:sz w:val="24"/>
          <w:szCs w:val="24"/>
          <w:lang w:eastAsia="cs-CZ"/>
        </w:rPr>
        <w:br/>
        <w:t>a spolufinancování investičních projektů EU.</w:t>
      </w:r>
    </w:p>
    <w:p w14:paraId="2E1129F6" w14:textId="77777777" w:rsidR="00047743" w:rsidRPr="00047743" w:rsidRDefault="00047743" w:rsidP="00047743">
      <w:pPr>
        <w:numPr>
          <w:ilvl w:val="0"/>
          <w:numId w:val="19"/>
        </w:numPr>
        <w:spacing w:before="120" w:after="120" w:line="276" w:lineRule="auto"/>
        <w:ind w:left="709" w:hanging="425"/>
        <w:contextualSpacing/>
        <w:jc w:val="both"/>
        <w:rPr>
          <w:rFonts w:eastAsia="Times New Roman" w:cstheme="minorHAnsi"/>
          <w:i/>
          <w:sz w:val="24"/>
          <w:szCs w:val="24"/>
          <w:lang w:eastAsia="cs-CZ"/>
        </w:rPr>
      </w:pPr>
      <w:r w:rsidRPr="00047743">
        <w:rPr>
          <w:rFonts w:eastAsia="Times New Roman" w:cstheme="minorHAnsi"/>
          <w:i/>
          <w:sz w:val="24"/>
          <w:szCs w:val="24"/>
          <w:lang w:eastAsia="cs-CZ"/>
        </w:rPr>
        <w:t>127 776 „Facilita na podporu oživení a odolnosti“</w:t>
      </w:r>
    </w:p>
    <w:p w14:paraId="63838726" w14:textId="77777777" w:rsidR="00047743" w:rsidRPr="00047743" w:rsidRDefault="00047743" w:rsidP="00047743">
      <w:pPr>
        <w:keepLines/>
        <w:spacing w:before="240" w:after="240" w:line="276" w:lineRule="auto"/>
        <w:jc w:val="both"/>
        <w:rPr>
          <w:rFonts w:eastAsia="Times New Roman" w:cs="Times New Roman"/>
          <w:sz w:val="24"/>
          <w:szCs w:val="24"/>
          <w:lang w:eastAsia="cs-CZ"/>
        </w:rPr>
      </w:pPr>
      <w:r w:rsidRPr="00047743">
        <w:rPr>
          <w:rFonts w:eastAsia="Times New Roman" w:cs="Times New Roman"/>
          <w:sz w:val="24"/>
          <w:szCs w:val="24"/>
          <w:lang w:eastAsia="cs-CZ"/>
        </w:rPr>
        <w:t>Cílem podprogramu je zmírnění dopadů krize v nejvíce zasažených regionech a odvětvích prostřednictvím realizace projektů zařazených do Národního plánu obnovy.</w:t>
      </w:r>
    </w:p>
    <w:p w14:paraId="47E4B344" w14:textId="77777777" w:rsidR="00047743" w:rsidRPr="00047743" w:rsidRDefault="00047743" w:rsidP="00047743">
      <w:pPr>
        <w:keepLines/>
        <w:spacing w:before="240" w:after="240" w:line="276" w:lineRule="auto"/>
        <w:jc w:val="both"/>
        <w:rPr>
          <w:rFonts w:eastAsia="Times New Roman" w:cs="Times New Roman"/>
          <w:sz w:val="24"/>
          <w:szCs w:val="24"/>
          <w:lang w:eastAsia="cs-CZ"/>
        </w:rPr>
      </w:pPr>
      <w:r w:rsidRPr="00047743">
        <w:rPr>
          <w:rFonts w:eastAsia="Times New Roman" w:cs="Times New Roman"/>
          <w:sz w:val="24"/>
          <w:szCs w:val="24"/>
          <w:lang w:eastAsia="cs-CZ"/>
        </w:rPr>
        <w:lastRenderedPageBreak/>
        <w:t>Termín ukončení realizace programu je stanoven na 31. 12. 2025.</w:t>
      </w:r>
    </w:p>
    <w:p w14:paraId="0BA9E511" w14:textId="72AB1243" w:rsidR="004E2346" w:rsidRPr="006B6D61" w:rsidRDefault="00047743" w:rsidP="003F0A7C">
      <w:pPr>
        <w:pStyle w:val="KOMtext"/>
        <w:rPr>
          <w:szCs w:val="24"/>
        </w:rPr>
      </w:pPr>
      <w:r w:rsidRPr="00481D5B">
        <w:rPr>
          <w:szCs w:val="24"/>
        </w:rPr>
        <w:t xml:space="preserve">Struktura programu 127 77 a výše účasti státního rozpočtu na jeho financování byla určena </w:t>
      </w:r>
      <w:r w:rsidRPr="00D90BAA">
        <w:rPr>
          <w:szCs w:val="24"/>
        </w:rPr>
        <w:t>usnesením vlády č. 108 ze dne 8.2.2017. Poslední aktualizace dokumentace programu byla schválena usnesením vlády č. 924 ze dne 29.</w:t>
      </w:r>
      <w:r w:rsidRPr="00562C38">
        <w:rPr>
          <w:szCs w:val="24"/>
        </w:rPr>
        <w:t>11.</w:t>
      </w:r>
      <w:r w:rsidR="00562C38" w:rsidRPr="006B6D61">
        <w:rPr>
          <w:szCs w:val="24"/>
        </w:rPr>
        <w:t>2023.</w:t>
      </w:r>
    </w:p>
    <w:p w14:paraId="0988A167" w14:textId="0D991430" w:rsidR="002C0F0D" w:rsidRPr="006B6D61" w:rsidRDefault="009F5209" w:rsidP="00BA4E5A">
      <w:pPr>
        <w:pStyle w:val="KOMGrafy"/>
      </w:pPr>
      <w:bookmarkStart w:id="610" w:name="_Toc160457136"/>
      <w:r w:rsidRPr="006B6D61">
        <w:t xml:space="preserve">Graf č. </w:t>
      </w:r>
      <w:fldSimple w:instr=" SEQ Graf_č. \* ARABIC ">
        <w:r w:rsidR="00013820">
          <w:rPr>
            <w:noProof/>
          </w:rPr>
          <w:t>19</w:t>
        </w:r>
      </w:fldSimple>
      <w:r w:rsidRPr="006B6D61">
        <w:t>: Celkové schválené výdaje programu 127 77 (v tis. Kč)</w:t>
      </w:r>
      <w:bookmarkEnd w:id="610"/>
      <w:r w:rsidRPr="006B6D61">
        <w:t xml:space="preserve"> </w:t>
      </w:r>
    </w:p>
    <w:p w14:paraId="34686943" w14:textId="796A9951" w:rsidR="00A17419" w:rsidRPr="0077128B" w:rsidRDefault="00A17419" w:rsidP="00BA4E5A">
      <w:pPr>
        <w:pStyle w:val="KOMtext"/>
        <w:rPr>
          <w:color w:val="FF0000"/>
        </w:rPr>
      </w:pPr>
      <w:r w:rsidRPr="0077128B">
        <w:rPr>
          <w:noProof/>
          <w:color w:val="FF0000"/>
        </w:rPr>
        <w:drawing>
          <wp:inline distT="0" distB="0" distL="0" distR="0" wp14:anchorId="0A615E85" wp14:editId="3D4D5D54">
            <wp:extent cx="5760000" cy="2160000"/>
            <wp:effectExtent l="0" t="0" r="12700" b="1206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48780026" w14:textId="77777777" w:rsidR="00F462AC" w:rsidRPr="00F462AC" w:rsidRDefault="00F462AC" w:rsidP="00F462AC">
      <w:pPr>
        <w:keepLines/>
        <w:spacing w:before="240" w:after="240" w:line="276" w:lineRule="auto"/>
        <w:jc w:val="both"/>
        <w:rPr>
          <w:rFonts w:eastAsia="Times New Roman" w:cs="Times New Roman"/>
          <w:sz w:val="24"/>
          <w:szCs w:val="20"/>
          <w:lang w:eastAsia="cs-CZ"/>
        </w:rPr>
      </w:pPr>
      <w:r w:rsidRPr="00F462AC">
        <w:rPr>
          <w:rFonts w:eastAsia="Times New Roman" w:cs="Times New Roman"/>
          <w:sz w:val="24"/>
          <w:szCs w:val="20"/>
          <w:lang w:eastAsia="cs-CZ"/>
        </w:rPr>
        <w:t xml:space="preserve">V roce 2023 byly čerpány investiční prostředky (prostředky EU) v rámci podprogramu </w:t>
      </w:r>
      <w:r w:rsidRPr="00F462AC">
        <w:rPr>
          <w:rFonts w:eastAsia="Times New Roman" w:cs="Times New Roman"/>
          <w:i/>
          <w:sz w:val="24"/>
          <w:szCs w:val="20"/>
          <w:lang w:eastAsia="cs-CZ"/>
        </w:rPr>
        <w:t xml:space="preserve">127 772 „Operační program Doprava 2014-2020 - Ministerstvo dopravy“ </w:t>
      </w:r>
      <w:r w:rsidRPr="00F462AC">
        <w:rPr>
          <w:rFonts w:eastAsia="Times New Roman" w:cs="Times New Roman"/>
          <w:sz w:val="24"/>
          <w:szCs w:val="20"/>
          <w:lang w:eastAsia="cs-CZ"/>
        </w:rPr>
        <w:t xml:space="preserve">ve výši </w:t>
      </w:r>
      <w:r w:rsidRPr="00F462AC">
        <w:rPr>
          <w:rFonts w:eastAsia="Times New Roman" w:cs="Times New Roman"/>
          <w:b/>
          <w:i/>
          <w:sz w:val="24"/>
          <w:szCs w:val="20"/>
          <w:lang w:eastAsia="cs-CZ"/>
        </w:rPr>
        <w:t>285 864 tis. Kč</w:t>
      </w:r>
      <w:r w:rsidRPr="00F462AC">
        <w:rPr>
          <w:rFonts w:eastAsia="Times New Roman" w:cs="Times New Roman"/>
          <w:sz w:val="24"/>
          <w:szCs w:val="20"/>
          <w:lang w:eastAsia="cs-CZ"/>
        </w:rPr>
        <w:t>, vše nároky</w:t>
      </w:r>
      <w:r w:rsidRPr="00F462AC">
        <w:rPr>
          <w:rFonts w:eastAsia="Times New Roman" w:cs="Times New Roman"/>
          <w:b/>
          <w:i/>
          <w:sz w:val="24"/>
          <w:szCs w:val="20"/>
          <w:lang w:eastAsia="cs-CZ"/>
        </w:rPr>
        <w:t>.</w:t>
      </w:r>
      <w:r w:rsidRPr="00F462AC">
        <w:rPr>
          <w:rFonts w:eastAsia="Times New Roman" w:cs="Times New Roman"/>
          <w:sz w:val="24"/>
          <w:szCs w:val="20"/>
          <w:lang w:eastAsia="cs-CZ"/>
        </w:rPr>
        <w:t xml:space="preserve"> </w:t>
      </w:r>
    </w:p>
    <w:p w14:paraId="3EAA9D07" w14:textId="382DE36E" w:rsidR="00F462AC" w:rsidRPr="00F462AC" w:rsidRDefault="00F462AC" w:rsidP="00395837">
      <w:pPr>
        <w:pStyle w:val="KOMtext"/>
      </w:pPr>
      <w:bookmarkStart w:id="611" w:name="_Hlk158725331"/>
      <w:r w:rsidRPr="00F462AC">
        <w:t xml:space="preserve">Během roku bylo v různých stádiích realizace 9 akcí zaměřených na </w:t>
      </w:r>
      <w:r w:rsidRPr="00F462AC">
        <w:rPr>
          <w:b/>
          <w:i/>
        </w:rPr>
        <w:t>Zajištění interoperability                               v železniční dopravě</w:t>
      </w:r>
      <w:r w:rsidRPr="00F462AC">
        <w:t xml:space="preserve">. K 31. 12. 2023 byly čerpány prostředky státního rozpočtu (prostředky EU) na dvě akce v celkové výši 43 759 tis. Kč, vše nároky.  Konečným příjemcem obou transferů byl podnikatelský </w:t>
      </w:r>
      <w:proofErr w:type="gramStart"/>
      <w:r w:rsidRPr="00F462AC">
        <w:t>subjekt - právnická</w:t>
      </w:r>
      <w:proofErr w:type="gramEnd"/>
      <w:r w:rsidRPr="00F462AC">
        <w:t xml:space="preserve"> osoba (České dráhy, a.s.). </w:t>
      </w:r>
    </w:p>
    <w:p w14:paraId="3256EC9C" w14:textId="251EB38A" w:rsidR="00F462AC" w:rsidRPr="00F462AC" w:rsidRDefault="00F462AC" w:rsidP="00395837">
      <w:pPr>
        <w:pStyle w:val="KOMtext"/>
      </w:pPr>
      <w:r w:rsidRPr="00F462AC">
        <w:t xml:space="preserve">Během roku bylo v různých stádiích realizace 20 akcí orientovaných na </w:t>
      </w:r>
      <w:r w:rsidRPr="00F462AC">
        <w:rPr>
          <w:b/>
          <w:i/>
        </w:rPr>
        <w:t>Rozvoj čisté mobility</w:t>
      </w:r>
      <w:r w:rsidRPr="00F462AC">
        <w:t>.</w:t>
      </w:r>
      <w:r w:rsidRPr="00F462AC">
        <w:rPr>
          <w:b/>
          <w:i/>
        </w:rPr>
        <w:t xml:space="preserve">                        </w:t>
      </w:r>
      <w:r w:rsidRPr="00F462AC">
        <w:t xml:space="preserve"> K 31. 12. 2023 byly čerpány prostředky státního rozpočtu (prostředky EU) na osmnáct akcí </w:t>
      </w:r>
      <w:r w:rsidRPr="00F462AC">
        <w:br/>
        <w:t xml:space="preserve">v celkové výši 242 105 tis. Kč, vše nároky.  Konečnými příjemci transferů byly podnikatelské </w:t>
      </w:r>
      <w:proofErr w:type="gramStart"/>
      <w:r w:rsidRPr="00F462AC">
        <w:t>subjekty - právnické</w:t>
      </w:r>
      <w:proofErr w:type="gramEnd"/>
      <w:r w:rsidRPr="00F462AC">
        <w:t xml:space="preserve"> osoby. Čtyři akce byly z programu vyřazeny na žádost účastníků.  </w:t>
      </w:r>
    </w:p>
    <w:bookmarkEnd w:id="611"/>
    <w:p w14:paraId="4BBFF90F" w14:textId="25DA8336" w:rsidR="00F462AC" w:rsidRPr="00F462AC" w:rsidRDefault="00F462AC" w:rsidP="00395837">
      <w:pPr>
        <w:pStyle w:val="KOMtext"/>
      </w:pPr>
      <w:r w:rsidRPr="00F462AC">
        <w:t xml:space="preserve">V rámci podprogramu </w:t>
      </w:r>
      <w:r w:rsidRPr="00F462AC">
        <w:rPr>
          <w:i/>
        </w:rPr>
        <w:t>127 773 „Operační program Doprava 2014-2020 – Státní fond dopravní infrastruktury“</w:t>
      </w:r>
      <w:r w:rsidRPr="00F462AC">
        <w:t xml:space="preserve"> byly čerpány investiční prostředky (prostředky EU) ve výši </w:t>
      </w:r>
      <w:r w:rsidRPr="00F462AC">
        <w:rPr>
          <w:b/>
          <w:i/>
        </w:rPr>
        <w:t>3 632 933 tis. Kč</w:t>
      </w:r>
      <w:r w:rsidRPr="00F462AC">
        <w:t xml:space="preserve">, z toho nároky 1 918 081 tis. Kč a neinvestiční prostředky ve výši </w:t>
      </w:r>
      <w:r w:rsidRPr="00F462AC">
        <w:rPr>
          <w:b/>
          <w:i/>
        </w:rPr>
        <w:t xml:space="preserve">463 tis. Kč </w:t>
      </w:r>
      <w:r w:rsidRPr="00F462AC">
        <w:rPr>
          <w:bCs/>
          <w:iCs/>
        </w:rPr>
        <w:t>(nároky</w:t>
      </w:r>
      <w:r w:rsidRPr="00F462AC">
        <w:rPr>
          <w:bCs/>
          <w:i/>
        </w:rPr>
        <w:t>)</w:t>
      </w:r>
      <w:r w:rsidRPr="00F462AC">
        <w:rPr>
          <w:bCs/>
        </w:rPr>
        <w:t>.</w:t>
      </w:r>
      <w:r w:rsidRPr="00F462AC">
        <w:t xml:space="preserve"> Finanční prostředky byly použity na velké dopravní stavby, kdy konečnými příjemci byly Ředitelství silnic a dálnic ČR a Správa železniční dopravní cesty, s. o.</w:t>
      </w:r>
    </w:p>
    <w:p w14:paraId="1EC28CDE" w14:textId="77777777" w:rsidR="00F462AC" w:rsidRPr="00F462AC" w:rsidRDefault="00F462AC" w:rsidP="00395837">
      <w:pPr>
        <w:pStyle w:val="KOMtext"/>
      </w:pPr>
      <w:r w:rsidRPr="00F462AC">
        <w:t xml:space="preserve">V rámci podprogramu </w:t>
      </w:r>
      <w:r w:rsidRPr="00F462AC">
        <w:rPr>
          <w:i/>
        </w:rPr>
        <w:t>127 774 „Nástroj pro propojení Evropy“</w:t>
      </w:r>
      <w:r w:rsidRPr="00F462AC">
        <w:t xml:space="preserve"> byly čerpány investiční prostředky (prostředky EU) ve výši </w:t>
      </w:r>
      <w:r w:rsidRPr="00F462AC">
        <w:rPr>
          <w:b/>
          <w:i/>
        </w:rPr>
        <w:t>1 814 795 tis. Kč</w:t>
      </w:r>
      <w:r w:rsidRPr="00F462AC">
        <w:t xml:space="preserve">, z toho nároky 23 781 tis. Kč. </w:t>
      </w:r>
    </w:p>
    <w:p w14:paraId="28A2E103" w14:textId="77777777" w:rsidR="00F462AC" w:rsidRPr="00F462AC" w:rsidRDefault="00F462AC" w:rsidP="00395837">
      <w:pPr>
        <w:pStyle w:val="KOMtext"/>
        <w:keepNext/>
      </w:pPr>
      <w:r w:rsidRPr="00F462AC">
        <w:lastRenderedPageBreak/>
        <w:t>V rámci tohoto podprogramu byly čerpány prostředky EU na projekty:</w:t>
      </w:r>
    </w:p>
    <w:p w14:paraId="0B9F0B0E" w14:textId="77777777" w:rsidR="00F462AC" w:rsidRPr="00F462AC" w:rsidRDefault="00F462AC" w:rsidP="00F462AC">
      <w:pPr>
        <w:keepLines/>
        <w:numPr>
          <w:ilvl w:val="0"/>
          <w:numId w:val="21"/>
        </w:numPr>
        <w:spacing w:before="120" w:after="120" w:line="276" w:lineRule="auto"/>
        <w:contextualSpacing/>
        <w:jc w:val="both"/>
        <w:rPr>
          <w:rFonts w:eastAsia="Times New Roman" w:cstheme="minorHAnsi"/>
          <w:sz w:val="24"/>
          <w:szCs w:val="24"/>
          <w:lang w:eastAsia="cs-CZ"/>
        </w:rPr>
      </w:pPr>
      <w:r w:rsidRPr="00F462AC">
        <w:rPr>
          <w:rFonts w:eastAsia="Times New Roman" w:cstheme="minorHAnsi"/>
          <w:sz w:val="24"/>
          <w:szCs w:val="24"/>
          <w:lang w:eastAsia="cs-CZ"/>
        </w:rPr>
        <w:t>CEF ve výši 1 814 765 tis. Kč, z toho nároky 23 751 tis. Kč,</w:t>
      </w:r>
    </w:p>
    <w:p w14:paraId="6F77DF31" w14:textId="77777777" w:rsidR="00F462AC" w:rsidRPr="00F462AC" w:rsidRDefault="00F462AC" w:rsidP="00F462AC">
      <w:pPr>
        <w:keepLines/>
        <w:numPr>
          <w:ilvl w:val="0"/>
          <w:numId w:val="21"/>
        </w:numPr>
        <w:spacing w:before="120" w:after="120" w:line="276" w:lineRule="auto"/>
        <w:contextualSpacing/>
        <w:jc w:val="both"/>
        <w:rPr>
          <w:rFonts w:eastAsia="Times New Roman" w:cstheme="minorHAnsi"/>
          <w:sz w:val="24"/>
          <w:szCs w:val="24"/>
          <w:lang w:eastAsia="cs-CZ"/>
        </w:rPr>
      </w:pPr>
      <w:r w:rsidRPr="00F462AC">
        <w:rPr>
          <w:rFonts w:eastAsia="Times New Roman" w:cstheme="minorHAnsi"/>
          <w:sz w:val="24"/>
          <w:szCs w:val="24"/>
          <w:lang w:eastAsia="cs-CZ"/>
        </w:rPr>
        <w:t>Crocodile3 ve výši 30 tis. Kč (nároky).</w:t>
      </w:r>
    </w:p>
    <w:p w14:paraId="64BA4319" w14:textId="77777777" w:rsidR="00F462AC" w:rsidRPr="00F462AC" w:rsidRDefault="00F462AC" w:rsidP="00F462AC">
      <w:pPr>
        <w:keepLines/>
        <w:spacing w:before="240" w:after="240" w:line="276" w:lineRule="auto"/>
        <w:jc w:val="both"/>
        <w:rPr>
          <w:rFonts w:eastAsia="Times New Roman" w:cs="Times New Roman"/>
          <w:sz w:val="24"/>
          <w:szCs w:val="20"/>
          <w:lang w:eastAsia="cs-CZ"/>
        </w:rPr>
      </w:pPr>
      <w:r w:rsidRPr="00F462AC">
        <w:rPr>
          <w:rFonts w:eastAsia="Times New Roman" w:cs="Times New Roman"/>
          <w:sz w:val="24"/>
          <w:szCs w:val="20"/>
          <w:lang w:eastAsia="cs-CZ"/>
        </w:rPr>
        <w:t xml:space="preserve">Příjemcem dotací byl Státní fond dopravní infrastruktury. </w:t>
      </w:r>
    </w:p>
    <w:p w14:paraId="58AD104A" w14:textId="50432A29" w:rsidR="00F462AC" w:rsidRPr="00F462AC" w:rsidRDefault="00F462AC" w:rsidP="00395837">
      <w:pPr>
        <w:pStyle w:val="KOMtext"/>
      </w:pPr>
      <w:r w:rsidRPr="00F462AC">
        <w:t xml:space="preserve">V rámci podprogramu </w:t>
      </w:r>
      <w:r w:rsidRPr="00F462AC">
        <w:rPr>
          <w:i/>
        </w:rPr>
        <w:t xml:space="preserve">127 775 „Ostatní dotace Státního fondu dopravní infrastruktury“ </w:t>
      </w:r>
      <w:r w:rsidRPr="00F462AC">
        <w:t xml:space="preserve">byly čerpány investiční prostředky státního rozpočtu ve výši </w:t>
      </w:r>
      <w:r w:rsidRPr="00F462AC">
        <w:rPr>
          <w:b/>
          <w:i/>
        </w:rPr>
        <w:t>42 975 411 tis. Kč</w:t>
      </w:r>
      <w:r w:rsidRPr="00F462AC">
        <w:t xml:space="preserve">, z toho nároky                   429 949 tis. Kč, v tom: na krytí deficitu rozpočtu SFDI (40 000 000 tis. Kč) a na dotace </w:t>
      </w:r>
      <w:r w:rsidR="00395837">
        <w:br/>
      </w:r>
      <w:r w:rsidRPr="00F462AC">
        <w:t xml:space="preserve">na projekty spolufinancované z EIB (2 975 411 tis. Kč). Neinvestiční prostředky byly čerpány ve výši </w:t>
      </w:r>
      <w:r w:rsidRPr="00F462AC">
        <w:rPr>
          <w:b/>
          <w:i/>
        </w:rPr>
        <w:t>21 377 594 tis. Kč.</w:t>
      </w:r>
      <w:r w:rsidRPr="00F462AC">
        <w:t xml:space="preserve"> Tyto prostředky byly použity na krytí deficitu SFDI. Příjemcem dotací byl Státní fond dopravní infrastruktury.</w:t>
      </w:r>
    </w:p>
    <w:p w14:paraId="0256CA8B" w14:textId="77777777" w:rsidR="00F462AC" w:rsidRPr="00F462AC" w:rsidRDefault="00F462AC" w:rsidP="00F462AC">
      <w:pPr>
        <w:keepLines/>
        <w:spacing w:before="240" w:after="240" w:line="276" w:lineRule="auto"/>
        <w:jc w:val="both"/>
        <w:rPr>
          <w:rFonts w:eastAsia="Times New Roman" w:cs="Times New Roman"/>
          <w:sz w:val="24"/>
          <w:szCs w:val="20"/>
          <w:lang w:eastAsia="cs-CZ"/>
        </w:rPr>
      </w:pPr>
      <w:r w:rsidRPr="00F462AC">
        <w:rPr>
          <w:rFonts w:eastAsia="Times New Roman" w:cs="Times New Roman"/>
          <w:noProof/>
          <w:sz w:val="24"/>
          <w:szCs w:val="20"/>
          <w:lang w:eastAsia="cs-CZ"/>
        </w:rPr>
        <w:drawing>
          <wp:inline distT="0" distB="0" distL="0" distR="0" wp14:anchorId="0D49A2CF" wp14:editId="5CF7A8C7">
            <wp:extent cx="5638800" cy="981075"/>
            <wp:effectExtent l="19050" t="19050" r="38100" b="28575"/>
            <wp:docPr id="1704355589" name="Diagram 17043555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p>
    <w:p w14:paraId="56A4D9F0" w14:textId="77777777" w:rsidR="00F462AC" w:rsidRPr="00F462AC" w:rsidRDefault="00F462AC" w:rsidP="00F462AC">
      <w:pPr>
        <w:keepLines/>
        <w:spacing w:before="120" w:after="120" w:line="276" w:lineRule="auto"/>
        <w:jc w:val="both"/>
        <w:rPr>
          <w:rFonts w:eastAsia="Times New Roman" w:cstheme="minorHAnsi"/>
          <w:lang w:eastAsia="cs-CZ"/>
        </w:rPr>
      </w:pPr>
      <w:r w:rsidRPr="00F462AC">
        <w:rPr>
          <w:rFonts w:eastAsia="Times New Roman" w:cstheme="minorHAnsi"/>
          <w:noProof/>
          <w:lang w:eastAsia="cs-CZ"/>
        </w:rPr>
        <w:drawing>
          <wp:inline distT="0" distB="0" distL="0" distR="0" wp14:anchorId="2412C25F" wp14:editId="7EB77573">
            <wp:extent cx="6019800" cy="1323975"/>
            <wp:effectExtent l="19050" t="0" r="38100" b="28575"/>
            <wp:docPr id="1704355590" name="Diagram 170435559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8" r:lo="rId99" r:qs="rId100" r:cs="rId101"/>
              </a:graphicData>
            </a:graphic>
          </wp:inline>
        </w:drawing>
      </w:r>
    </w:p>
    <w:p w14:paraId="2AEC04D9" w14:textId="77777777" w:rsidR="00BA2ED3" w:rsidRPr="00BA2ED3" w:rsidRDefault="00BA2ED3" w:rsidP="00395837">
      <w:pPr>
        <w:pStyle w:val="KOMtext"/>
      </w:pPr>
      <w:r w:rsidRPr="00BA2ED3">
        <w:t>Při porovnání skutečností za roky 2023 a 2022 (prostředků EU) dosáhlo čerpání výdajů 28,4 % úrovně roku 2022. Nižší čerpání bylo ovlivněno skutečností, že v roce 2023 bylo postupně ukončováno financování z prostředků EU určených na programové období 2014+, prostředky EU určené na programové období 2021+ byly rozpočtovány a čerpány v rámci modulu ZED.</w:t>
      </w:r>
    </w:p>
    <w:p w14:paraId="3B82C290" w14:textId="77777777" w:rsidR="00BA2ED3" w:rsidRPr="00BA2ED3" w:rsidRDefault="00BA2ED3" w:rsidP="00395837">
      <w:pPr>
        <w:pStyle w:val="KOMtext"/>
      </w:pPr>
      <w:r w:rsidRPr="00BA2ED3">
        <w:t>Při porovnání skutečností za roky 2023 a 2022 (prostředky SR) dosáhlo čerpání 126,4 % úrovně roku 2022.</w:t>
      </w:r>
    </w:p>
    <w:p w14:paraId="226EDDF7" w14:textId="77777777" w:rsidR="00BA2ED3" w:rsidRPr="00BA2ED3" w:rsidRDefault="00BA2ED3" w:rsidP="00BA2ED3">
      <w:pPr>
        <w:spacing w:before="120" w:after="120" w:line="240" w:lineRule="auto"/>
        <w:jc w:val="both"/>
        <w:rPr>
          <w:rFonts w:eastAsia="Times New Roman" w:cstheme="minorHAnsi"/>
          <w:b/>
          <w:i/>
          <w:lang w:eastAsia="ar-SA"/>
        </w:rPr>
      </w:pPr>
      <w:r w:rsidRPr="00BA2ED3">
        <w:rPr>
          <w:rFonts w:eastAsia="Times New Roman" w:cstheme="minorHAnsi"/>
          <w:b/>
          <w:i/>
          <w:lang w:eastAsia="ar-SA"/>
        </w:rPr>
        <w:t>Skutečné čerpání v roce 2023:</w:t>
      </w:r>
    </w:p>
    <w:tbl>
      <w:tblPr>
        <w:tblW w:w="0" w:type="auto"/>
        <w:tblLayout w:type="fixed"/>
        <w:tblCellMar>
          <w:left w:w="70" w:type="dxa"/>
          <w:right w:w="70" w:type="dxa"/>
        </w:tblCellMar>
        <w:tblLook w:val="04A0" w:firstRow="1" w:lastRow="0" w:firstColumn="1" w:lastColumn="0" w:noHBand="0" w:noVBand="1"/>
      </w:tblPr>
      <w:tblGrid>
        <w:gridCol w:w="7270"/>
        <w:gridCol w:w="1911"/>
      </w:tblGrid>
      <w:tr w:rsidR="00BA2ED3" w:rsidRPr="00BA2ED3" w14:paraId="1350A0CA" w14:textId="77777777" w:rsidTr="00190991">
        <w:trPr>
          <w:trHeight w:val="377"/>
        </w:trPr>
        <w:tc>
          <w:tcPr>
            <w:tcW w:w="7270" w:type="dxa"/>
            <w:vAlign w:val="center"/>
            <w:hideMark/>
          </w:tcPr>
          <w:p w14:paraId="1246036E" w14:textId="77777777" w:rsidR="00BA2ED3" w:rsidRPr="00BA2ED3" w:rsidRDefault="00BA2ED3" w:rsidP="00BA2ED3">
            <w:pPr>
              <w:numPr>
                <w:ilvl w:val="0"/>
                <w:numId w:val="20"/>
              </w:numPr>
              <w:tabs>
                <w:tab w:val="left" w:pos="283"/>
              </w:tabs>
              <w:suppressAutoHyphens/>
              <w:snapToGrid w:val="0"/>
              <w:spacing w:after="0" w:line="276" w:lineRule="auto"/>
              <w:ind w:left="637"/>
              <w:contextualSpacing/>
              <w:rPr>
                <w:rFonts w:eastAsia="Times New Roman" w:cstheme="minorHAnsi"/>
                <w:i/>
                <w:sz w:val="24"/>
                <w:szCs w:val="24"/>
                <w:lang w:eastAsia="ar-SA"/>
              </w:rPr>
            </w:pPr>
            <w:r w:rsidRPr="00BA2ED3">
              <w:rPr>
                <w:rFonts w:eastAsia="Times New Roman" w:cstheme="minorHAnsi"/>
                <w:b/>
                <w:i/>
                <w:sz w:val="24"/>
                <w:szCs w:val="24"/>
                <w:lang w:eastAsia="ar-SA"/>
              </w:rPr>
              <w:t xml:space="preserve">ze státního rozpočtu </w:t>
            </w:r>
            <w:r w:rsidRPr="00BA2ED3">
              <w:rPr>
                <w:rFonts w:eastAsia="Times New Roman" w:cstheme="minorHAnsi"/>
                <w:b/>
                <w:i/>
                <w:sz w:val="24"/>
                <w:szCs w:val="24"/>
                <w:lang w:eastAsia="cs-CZ"/>
              </w:rPr>
              <w:t>(individuální dotace investiční)</w:t>
            </w:r>
            <w:r w:rsidRPr="00BA2ED3">
              <w:rPr>
                <w:rFonts w:eastAsia="Times New Roman" w:cstheme="minorHAnsi"/>
                <w:b/>
                <w:bCs/>
                <w:i/>
                <w:sz w:val="24"/>
                <w:szCs w:val="24"/>
                <w:vertAlign w:val="superscript"/>
                <w:lang w:eastAsia="ar-SA"/>
              </w:rPr>
              <w:t xml:space="preserve"> </w:t>
            </w:r>
            <w:r w:rsidRPr="00BA2ED3">
              <w:rPr>
                <w:rFonts w:eastAsia="Times New Roman" w:cstheme="minorHAnsi"/>
                <w:sz w:val="24"/>
                <w:szCs w:val="24"/>
                <w:vertAlign w:val="superscript"/>
                <w:lang w:eastAsia="ar-SA"/>
              </w:rPr>
              <w:t>x</w:t>
            </w:r>
            <w:r w:rsidRPr="00BA2ED3">
              <w:rPr>
                <w:rFonts w:eastAsia="Times New Roman" w:cstheme="minorHAnsi"/>
                <w:sz w:val="24"/>
                <w:szCs w:val="24"/>
                <w:lang w:eastAsia="ar-SA"/>
              </w:rPr>
              <w:t>)</w:t>
            </w:r>
          </w:p>
        </w:tc>
        <w:tc>
          <w:tcPr>
            <w:tcW w:w="1911" w:type="dxa"/>
            <w:vAlign w:val="center"/>
            <w:hideMark/>
          </w:tcPr>
          <w:p w14:paraId="22FE5D5E" w14:textId="77777777" w:rsidR="00BA2ED3" w:rsidRPr="00BA2ED3" w:rsidRDefault="00BA2ED3" w:rsidP="00BA2ED3">
            <w:pPr>
              <w:snapToGrid w:val="0"/>
              <w:spacing w:after="0" w:line="276" w:lineRule="auto"/>
              <w:jc w:val="right"/>
              <w:rPr>
                <w:rFonts w:eastAsia="Times New Roman" w:cstheme="minorHAnsi"/>
                <w:i/>
                <w:sz w:val="24"/>
                <w:szCs w:val="24"/>
                <w:lang w:eastAsia="ar-SA"/>
              </w:rPr>
            </w:pPr>
            <w:r w:rsidRPr="00BA2ED3">
              <w:rPr>
                <w:rFonts w:eastAsia="Times New Roman" w:cstheme="minorHAnsi"/>
                <w:b/>
                <w:bCs/>
                <w:i/>
                <w:sz w:val="24"/>
                <w:szCs w:val="24"/>
                <w:lang w:eastAsia="ar-SA"/>
              </w:rPr>
              <w:t>42 975 411 tis. Kč</w:t>
            </w:r>
          </w:p>
        </w:tc>
      </w:tr>
      <w:tr w:rsidR="00BA2ED3" w:rsidRPr="00BA2ED3" w14:paraId="72844F0C" w14:textId="77777777" w:rsidTr="00190991">
        <w:tc>
          <w:tcPr>
            <w:tcW w:w="7270" w:type="dxa"/>
          </w:tcPr>
          <w:p w14:paraId="17351D5B" w14:textId="77777777" w:rsidR="00BA2ED3" w:rsidRPr="00BA2ED3" w:rsidRDefault="00BA2ED3" w:rsidP="00BA2ED3">
            <w:pPr>
              <w:numPr>
                <w:ilvl w:val="0"/>
                <w:numId w:val="20"/>
              </w:numPr>
              <w:tabs>
                <w:tab w:val="left" w:pos="283"/>
              </w:tabs>
              <w:suppressAutoHyphens/>
              <w:snapToGrid w:val="0"/>
              <w:spacing w:after="0" w:line="276" w:lineRule="auto"/>
              <w:ind w:left="637"/>
              <w:contextualSpacing/>
              <w:rPr>
                <w:rFonts w:eastAsia="Times New Roman" w:cstheme="minorHAnsi"/>
                <w:b/>
                <w:i/>
                <w:sz w:val="24"/>
                <w:szCs w:val="24"/>
                <w:lang w:eastAsia="ar-SA"/>
              </w:rPr>
            </w:pPr>
            <w:r w:rsidRPr="00BA2ED3">
              <w:rPr>
                <w:rFonts w:eastAsia="Times New Roman" w:cstheme="minorHAnsi"/>
                <w:b/>
                <w:i/>
                <w:sz w:val="24"/>
                <w:szCs w:val="24"/>
                <w:lang w:eastAsia="ar-SA"/>
              </w:rPr>
              <w:t>ze státního rozpočtu (individuální dotace neinvestiční)</w:t>
            </w:r>
            <w:r w:rsidRPr="00BA2ED3">
              <w:rPr>
                <w:rFonts w:eastAsia="Times New Roman" w:cstheme="minorHAnsi"/>
                <w:sz w:val="24"/>
                <w:szCs w:val="24"/>
                <w:vertAlign w:val="superscript"/>
                <w:lang w:eastAsia="ar-SA"/>
              </w:rPr>
              <w:t xml:space="preserve"> </w:t>
            </w:r>
          </w:p>
        </w:tc>
        <w:tc>
          <w:tcPr>
            <w:tcW w:w="1911" w:type="dxa"/>
          </w:tcPr>
          <w:p w14:paraId="6BB3F9D5" w14:textId="77777777" w:rsidR="00BA2ED3" w:rsidRPr="00BA2ED3" w:rsidRDefault="00BA2ED3" w:rsidP="00BA2ED3">
            <w:pPr>
              <w:snapToGrid w:val="0"/>
              <w:spacing w:after="0" w:line="276" w:lineRule="auto"/>
              <w:jc w:val="right"/>
              <w:rPr>
                <w:rFonts w:eastAsia="Times New Roman" w:cstheme="minorHAnsi"/>
                <w:b/>
                <w:i/>
                <w:sz w:val="24"/>
                <w:szCs w:val="24"/>
                <w:lang w:eastAsia="cs-CZ"/>
              </w:rPr>
            </w:pPr>
            <w:r w:rsidRPr="00BA2ED3">
              <w:rPr>
                <w:rFonts w:eastAsia="Times New Roman" w:cstheme="minorHAnsi"/>
                <w:b/>
                <w:i/>
                <w:sz w:val="24"/>
                <w:szCs w:val="24"/>
                <w:lang w:eastAsia="cs-CZ"/>
              </w:rPr>
              <w:t>21 377 594 tis. Kč</w:t>
            </w:r>
          </w:p>
        </w:tc>
      </w:tr>
      <w:tr w:rsidR="00BA2ED3" w:rsidRPr="00BA2ED3" w14:paraId="7F8E80D2" w14:textId="77777777" w:rsidTr="00190991">
        <w:tc>
          <w:tcPr>
            <w:tcW w:w="7270" w:type="dxa"/>
            <w:hideMark/>
          </w:tcPr>
          <w:p w14:paraId="58D96423" w14:textId="77777777" w:rsidR="00BA2ED3" w:rsidRPr="00BA2ED3" w:rsidRDefault="00BA2ED3" w:rsidP="00BA2ED3">
            <w:pPr>
              <w:numPr>
                <w:ilvl w:val="0"/>
                <w:numId w:val="20"/>
              </w:numPr>
              <w:tabs>
                <w:tab w:val="left" w:pos="283"/>
              </w:tabs>
              <w:suppressAutoHyphens/>
              <w:snapToGrid w:val="0"/>
              <w:spacing w:after="0" w:line="276" w:lineRule="auto"/>
              <w:ind w:left="637"/>
              <w:contextualSpacing/>
              <w:rPr>
                <w:rFonts w:eastAsia="Times New Roman" w:cstheme="minorHAnsi"/>
                <w:i/>
                <w:sz w:val="24"/>
                <w:szCs w:val="24"/>
                <w:lang w:eastAsia="ar-SA"/>
              </w:rPr>
            </w:pPr>
            <w:r w:rsidRPr="00BA2ED3">
              <w:rPr>
                <w:rFonts w:eastAsia="Times New Roman" w:cstheme="minorHAnsi"/>
                <w:b/>
                <w:i/>
                <w:sz w:val="24"/>
                <w:szCs w:val="24"/>
                <w:lang w:eastAsia="ar-SA"/>
              </w:rPr>
              <w:t>ze státního rozpočtu (investiční dotace z fondů EU</w:t>
            </w:r>
            <w:r w:rsidRPr="00BA2ED3">
              <w:rPr>
                <w:rFonts w:eastAsia="Times New Roman" w:cstheme="minorHAnsi"/>
                <w:sz w:val="24"/>
                <w:szCs w:val="24"/>
                <w:lang w:eastAsia="ar-SA"/>
              </w:rPr>
              <w:t>)</w:t>
            </w:r>
            <w:r w:rsidRPr="00BA2ED3">
              <w:rPr>
                <w:rFonts w:eastAsia="Times New Roman" w:cstheme="minorHAnsi"/>
                <w:sz w:val="24"/>
                <w:szCs w:val="24"/>
                <w:vertAlign w:val="superscript"/>
                <w:lang w:eastAsia="ar-SA"/>
              </w:rPr>
              <w:t xml:space="preserve"> x</w:t>
            </w:r>
            <w:r w:rsidRPr="00BA2ED3">
              <w:rPr>
                <w:rFonts w:eastAsia="Times New Roman" w:cstheme="minorHAnsi"/>
                <w:sz w:val="24"/>
                <w:szCs w:val="24"/>
                <w:lang w:eastAsia="ar-SA"/>
              </w:rPr>
              <w:t>)</w:t>
            </w:r>
            <w:r w:rsidRPr="00BA2ED3">
              <w:rPr>
                <w:rFonts w:eastAsia="Times New Roman" w:cstheme="minorHAnsi"/>
                <w:sz w:val="24"/>
                <w:szCs w:val="24"/>
                <w:lang w:eastAsia="cs-CZ"/>
              </w:rPr>
              <w:t xml:space="preserve"> </w:t>
            </w:r>
          </w:p>
        </w:tc>
        <w:tc>
          <w:tcPr>
            <w:tcW w:w="1911" w:type="dxa"/>
            <w:hideMark/>
          </w:tcPr>
          <w:p w14:paraId="26E37865" w14:textId="77777777" w:rsidR="00BA2ED3" w:rsidRPr="00BA2ED3" w:rsidRDefault="00BA2ED3" w:rsidP="00BA2ED3">
            <w:pPr>
              <w:snapToGrid w:val="0"/>
              <w:spacing w:after="0" w:line="276" w:lineRule="auto"/>
              <w:jc w:val="right"/>
              <w:rPr>
                <w:rFonts w:eastAsia="Times New Roman" w:cstheme="minorHAnsi"/>
                <w:i/>
                <w:sz w:val="24"/>
                <w:szCs w:val="24"/>
                <w:lang w:eastAsia="ar-SA"/>
              </w:rPr>
            </w:pPr>
            <w:r w:rsidRPr="00BA2ED3">
              <w:rPr>
                <w:rFonts w:eastAsia="Times New Roman" w:cstheme="minorHAnsi"/>
                <w:b/>
                <w:i/>
                <w:sz w:val="24"/>
                <w:szCs w:val="24"/>
                <w:lang w:eastAsia="cs-CZ"/>
              </w:rPr>
              <w:t xml:space="preserve">5 733 592 </w:t>
            </w:r>
            <w:r w:rsidRPr="00BA2ED3">
              <w:rPr>
                <w:rFonts w:eastAsia="Times New Roman" w:cstheme="minorHAnsi"/>
                <w:b/>
                <w:bCs/>
                <w:i/>
                <w:sz w:val="24"/>
                <w:szCs w:val="24"/>
                <w:lang w:eastAsia="ar-SA"/>
              </w:rPr>
              <w:t>tis. Kč</w:t>
            </w:r>
          </w:p>
        </w:tc>
      </w:tr>
      <w:tr w:rsidR="00BA2ED3" w:rsidRPr="00BA2ED3" w14:paraId="20B4DCCD" w14:textId="77777777" w:rsidTr="00190991">
        <w:tc>
          <w:tcPr>
            <w:tcW w:w="7270" w:type="dxa"/>
            <w:hideMark/>
          </w:tcPr>
          <w:p w14:paraId="18F0F918" w14:textId="77777777" w:rsidR="00BA2ED3" w:rsidRPr="00BA2ED3" w:rsidRDefault="00BA2ED3" w:rsidP="00BA2ED3">
            <w:pPr>
              <w:numPr>
                <w:ilvl w:val="0"/>
                <w:numId w:val="20"/>
              </w:numPr>
              <w:tabs>
                <w:tab w:val="left" w:pos="283"/>
              </w:tabs>
              <w:suppressAutoHyphens/>
              <w:snapToGrid w:val="0"/>
              <w:spacing w:after="0" w:line="276" w:lineRule="auto"/>
              <w:ind w:left="637"/>
              <w:contextualSpacing/>
              <w:rPr>
                <w:rFonts w:eastAsia="Times New Roman" w:cstheme="minorHAnsi"/>
                <w:b/>
                <w:i/>
                <w:sz w:val="24"/>
                <w:szCs w:val="24"/>
                <w:lang w:eastAsia="ar-SA"/>
              </w:rPr>
            </w:pPr>
            <w:r w:rsidRPr="00BA2ED3">
              <w:rPr>
                <w:rFonts w:eastAsia="Times New Roman" w:cstheme="minorHAnsi"/>
                <w:b/>
                <w:i/>
                <w:sz w:val="24"/>
                <w:szCs w:val="24"/>
                <w:lang w:eastAsia="ar-SA"/>
              </w:rPr>
              <w:t>ze státního rozpočtu (neinvestiční dotace z fondů EU)</w:t>
            </w:r>
            <w:r w:rsidRPr="00BA2ED3">
              <w:rPr>
                <w:rFonts w:eastAsia="Times New Roman" w:cstheme="minorHAnsi"/>
                <w:sz w:val="24"/>
                <w:szCs w:val="24"/>
                <w:vertAlign w:val="superscript"/>
                <w:lang w:eastAsia="ar-SA"/>
              </w:rPr>
              <w:t xml:space="preserve"> x</w:t>
            </w:r>
            <w:r w:rsidRPr="00BA2ED3">
              <w:rPr>
                <w:rFonts w:eastAsia="Times New Roman" w:cstheme="minorHAnsi"/>
                <w:sz w:val="24"/>
                <w:szCs w:val="24"/>
                <w:lang w:eastAsia="ar-SA"/>
              </w:rPr>
              <w:t>)</w:t>
            </w:r>
            <w:r w:rsidRPr="00BA2ED3">
              <w:rPr>
                <w:rFonts w:eastAsia="Times New Roman" w:cstheme="minorHAnsi"/>
                <w:sz w:val="24"/>
                <w:szCs w:val="24"/>
                <w:vertAlign w:val="superscript"/>
                <w:lang w:eastAsia="ar-SA"/>
              </w:rPr>
              <w:t xml:space="preserve"> </w:t>
            </w:r>
          </w:p>
        </w:tc>
        <w:tc>
          <w:tcPr>
            <w:tcW w:w="1911" w:type="dxa"/>
            <w:hideMark/>
          </w:tcPr>
          <w:p w14:paraId="6F90CA7C" w14:textId="77777777" w:rsidR="00BA2ED3" w:rsidRPr="00BA2ED3" w:rsidRDefault="00BA2ED3" w:rsidP="00BA2ED3">
            <w:pPr>
              <w:snapToGrid w:val="0"/>
              <w:spacing w:after="0" w:line="276" w:lineRule="auto"/>
              <w:jc w:val="right"/>
              <w:rPr>
                <w:rFonts w:eastAsia="Times New Roman" w:cstheme="minorHAnsi"/>
                <w:b/>
                <w:i/>
                <w:sz w:val="24"/>
                <w:szCs w:val="24"/>
                <w:lang w:eastAsia="cs-CZ"/>
              </w:rPr>
            </w:pPr>
            <w:r w:rsidRPr="00BA2ED3">
              <w:rPr>
                <w:rFonts w:eastAsia="Times New Roman" w:cstheme="minorHAnsi"/>
                <w:b/>
                <w:i/>
                <w:sz w:val="24"/>
                <w:szCs w:val="24"/>
                <w:lang w:eastAsia="cs-CZ"/>
              </w:rPr>
              <w:t>463 tis. Kč</w:t>
            </w:r>
          </w:p>
        </w:tc>
      </w:tr>
    </w:tbl>
    <w:p w14:paraId="558771B9" w14:textId="77777777" w:rsidR="00BA2ED3" w:rsidRPr="00BA2ED3" w:rsidRDefault="00BA2ED3" w:rsidP="00BA2ED3">
      <w:pPr>
        <w:spacing w:before="120" w:after="0" w:line="240" w:lineRule="auto"/>
        <w:jc w:val="both"/>
        <w:rPr>
          <w:rFonts w:eastAsia="Times New Roman" w:cstheme="minorHAnsi"/>
          <w:lang w:eastAsia="cs-CZ"/>
        </w:rPr>
      </w:pPr>
    </w:p>
    <w:tbl>
      <w:tblPr>
        <w:tblW w:w="9569" w:type="dxa"/>
        <w:tblInd w:w="70" w:type="dxa"/>
        <w:tblCellMar>
          <w:left w:w="70" w:type="dxa"/>
          <w:right w:w="70" w:type="dxa"/>
        </w:tblCellMar>
        <w:tblLook w:val="04A0" w:firstRow="1" w:lastRow="0" w:firstColumn="1" w:lastColumn="0" w:noHBand="0" w:noVBand="1"/>
      </w:tblPr>
      <w:tblGrid>
        <w:gridCol w:w="9569"/>
      </w:tblGrid>
      <w:tr w:rsidR="00BA2ED3" w:rsidRPr="00BA2ED3" w14:paraId="74F24C0D" w14:textId="77777777" w:rsidTr="00190991">
        <w:trPr>
          <w:trHeight w:val="240"/>
        </w:trPr>
        <w:tc>
          <w:tcPr>
            <w:tcW w:w="9569" w:type="dxa"/>
            <w:shd w:val="clear" w:color="auto" w:fill="auto"/>
            <w:noWrap/>
            <w:vAlign w:val="bottom"/>
            <w:hideMark/>
          </w:tcPr>
          <w:p w14:paraId="4822AA76" w14:textId="77777777" w:rsidR="00BA2ED3" w:rsidRPr="00BA2ED3" w:rsidRDefault="00BA2ED3" w:rsidP="00BA2ED3">
            <w:pPr>
              <w:spacing w:after="0" w:line="240" w:lineRule="auto"/>
              <w:rPr>
                <w:rFonts w:eastAsia="Times New Roman" w:cstheme="minorHAnsi"/>
                <w:i/>
                <w:sz w:val="20"/>
                <w:szCs w:val="20"/>
                <w:lang w:eastAsia="cs-CZ"/>
              </w:rPr>
            </w:pPr>
            <w:r w:rsidRPr="00BA2ED3">
              <w:rPr>
                <w:rFonts w:eastAsia="Times New Roman" w:cstheme="minorHAnsi"/>
                <w:i/>
                <w:sz w:val="20"/>
                <w:szCs w:val="20"/>
                <w:vertAlign w:val="superscript"/>
                <w:lang w:eastAsia="ar-SA"/>
              </w:rPr>
              <w:t>x</w:t>
            </w:r>
            <w:r w:rsidRPr="00BA2ED3">
              <w:rPr>
                <w:rFonts w:eastAsia="Times New Roman" w:cstheme="minorHAnsi"/>
                <w:i/>
                <w:sz w:val="20"/>
                <w:szCs w:val="20"/>
                <w:lang w:eastAsia="ar-SA"/>
              </w:rPr>
              <w:t>) z </w:t>
            </w:r>
            <w:proofErr w:type="gramStart"/>
            <w:r w:rsidRPr="00BA2ED3">
              <w:rPr>
                <w:rFonts w:eastAsia="Times New Roman" w:cstheme="minorHAnsi"/>
                <w:i/>
                <w:sz w:val="20"/>
                <w:szCs w:val="20"/>
                <w:lang w:eastAsia="ar-SA"/>
              </w:rPr>
              <w:t xml:space="preserve">toho:   </w:t>
            </w:r>
            <w:proofErr w:type="gramEnd"/>
            <w:r w:rsidRPr="00BA2ED3">
              <w:rPr>
                <w:rFonts w:eastAsia="Times New Roman" w:cstheme="minorHAnsi"/>
                <w:i/>
                <w:sz w:val="20"/>
                <w:szCs w:val="20"/>
                <w:lang w:eastAsia="ar-SA"/>
              </w:rPr>
              <w:t xml:space="preserve"> </w:t>
            </w:r>
            <w:r w:rsidRPr="00BA2ED3">
              <w:rPr>
                <w:rFonts w:eastAsia="Times New Roman" w:cstheme="minorHAnsi"/>
                <w:i/>
                <w:sz w:val="20"/>
                <w:szCs w:val="20"/>
                <w:lang w:eastAsia="cs-CZ"/>
              </w:rPr>
              <w:t>nároky ve výši 429 949 tis. Kč (individuální dotace investiční)</w:t>
            </w:r>
          </w:p>
        </w:tc>
      </w:tr>
      <w:tr w:rsidR="00BA2ED3" w:rsidRPr="00BA2ED3" w14:paraId="10374806" w14:textId="77777777" w:rsidTr="00190991">
        <w:trPr>
          <w:trHeight w:val="240"/>
        </w:trPr>
        <w:tc>
          <w:tcPr>
            <w:tcW w:w="9569" w:type="dxa"/>
            <w:shd w:val="clear" w:color="auto" w:fill="auto"/>
            <w:noWrap/>
            <w:vAlign w:val="bottom"/>
            <w:hideMark/>
          </w:tcPr>
          <w:p w14:paraId="0E5C911A" w14:textId="084EF72F" w:rsidR="00BA2ED3" w:rsidRPr="00BA2ED3" w:rsidRDefault="00BA2ED3" w:rsidP="00BA2ED3">
            <w:pPr>
              <w:spacing w:after="0" w:line="240" w:lineRule="auto"/>
              <w:ind w:left="432" w:hanging="716"/>
              <w:rPr>
                <w:rFonts w:eastAsia="Times New Roman" w:cstheme="minorHAnsi"/>
                <w:i/>
                <w:sz w:val="20"/>
                <w:szCs w:val="20"/>
                <w:lang w:eastAsia="cs-CZ"/>
              </w:rPr>
            </w:pPr>
            <w:r w:rsidRPr="00BA2ED3">
              <w:rPr>
                <w:rFonts w:eastAsia="Times New Roman" w:cstheme="minorHAnsi"/>
                <w:i/>
                <w:sz w:val="20"/>
                <w:szCs w:val="20"/>
                <w:lang w:eastAsia="cs-CZ"/>
              </w:rPr>
              <w:tab/>
              <w:t xml:space="preserve">    </w:t>
            </w:r>
            <w:r w:rsidRPr="00BA2ED3">
              <w:rPr>
                <w:rFonts w:eastAsia="Times New Roman" w:cstheme="minorHAnsi"/>
                <w:i/>
                <w:sz w:val="20"/>
                <w:szCs w:val="20"/>
                <w:lang w:eastAsia="cs-CZ"/>
              </w:rPr>
              <w:tab/>
              <w:t>nároky ve výši 2 227 726 tis. Kč (investiční dotace z fondů EU)</w:t>
            </w:r>
          </w:p>
        </w:tc>
      </w:tr>
      <w:tr w:rsidR="00BA2ED3" w:rsidRPr="00BA2ED3" w14:paraId="36A1441C" w14:textId="77777777" w:rsidTr="00190991">
        <w:trPr>
          <w:trHeight w:val="240"/>
        </w:trPr>
        <w:tc>
          <w:tcPr>
            <w:tcW w:w="9569" w:type="dxa"/>
            <w:shd w:val="clear" w:color="auto" w:fill="auto"/>
            <w:noWrap/>
            <w:vAlign w:val="bottom"/>
          </w:tcPr>
          <w:p w14:paraId="33D2BCC9" w14:textId="77777777" w:rsidR="00BA2ED3" w:rsidRPr="00BA2ED3" w:rsidRDefault="00BA2ED3" w:rsidP="00BA2ED3">
            <w:pPr>
              <w:spacing w:after="0" w:line="240" w:lineRule="auto"/>
              <w:ind w:left="432" w:hanging="716"/>
              <w:rPr>
                <w:rFonts w:eastAsia="Times New Roman" w:cstheme="minorHAnsi"/>
                <w:i/>
                <w:sz w:val="20"/>
                <w:szCs w:val="20"/>
                <w:lang w:eastAsia="cs-CZ"/>
              </w:rPr>
            </w:pPr>
            <w:r w:rsidRPr="00BA2ED3">
              <w:rPr>
                <w:rFonts w:eastAsia="Times New Roman" w:cstheme="minorHAnsi"/>
                <w:i/>
                <w:sz w:val="20"/>
                <w:szCs w:val="20"/>
                <w:lang w:eastAsia="cs-CZ"/>
              </w:rPr>
              <w:tab/>
              <w:t xml:space="preserve">    </w:t>
            </w:r>
            <w:r w:rsidRPr="00BA2ED3">
              <w:rPr>
                <w:rFonts w:eastAsia="Times New Roman" w:cstheme="minorHAnsi"/>
                <w:i/>
                <w:sz w:val="20"/>
                <w:szCs w:val="20"/>
                <w:lang w:eastAsia="cs-CZ"/>
              </w:rPr>
              <w:tab/>
              <w:t>nároky ve výši 463 tis. Kč (neinvestiční dotace z fondů EU)</w:t>
            </w:r>
          </w:p>
        </w:tc>
      </w:tr>
    </w:tbl>
    <w:p w14:paraId="5D76685C" w14:textId="77777777" w:rsidR="005755EF" w:rsidRPr="00E87DF7" w:rsidRDefault="005755EF" w:rsidP="005755EF">
      <w:pPr>
        <w:rPr>
          <w:b/>
          <w:bCs/>
          <w:sz w:val="24"/>
          <w:szCs w:val="24"/>
          <w:u w:val="single"/>
        </w:rPr>
      </w:pPr>
      <w:r w:rsidRPr="00E87DF7">
        <w:rPr>
          <w:b/>
          <w:bCs/>
          <w:sz w:val="24"/>
          <w:szCs w:val="24"/>
          <w:u w:val="single"/>
        </w:rPr>
        <w:lastRenderedPageBreak/>
        <w:t xml:space="preserve">Hodnocení hospodárnosti, efektivnosti a účelnosti dotačních </w:t>
      </w:r>
      <w:proofErr w:type="gramStart"/>
      <w:r w:rsidRPr="00E87DF7">
        <w:rPr>
          <w:b/>
          <w:bCs/>
          <w:sz w:val="24"/>
          <w:szCs w:val="24"/>
          <w:u w:val="single"/>
        </w:rPr>
        <w:t>programů - EDS</w:t>
      </w:r>
      <w:proofErr w:type="gramEnd"/>
    </w:p>
    <w:p w14:paraId="228E7497" w14:textId="77777777" w:rsidR="005755EF" w:rsidRPr="00E87DF7" w:rsidRDefault="005755EF" w:rsidP="005755EF">
      <w:pPr>
        <w:jc w:val="both"/>
        <w:rPr>
          <w:sz w:val="24"/>
          <w:szCs w:val="24"/>
        </w:rPr>
      </w:pPr>
      <w:r w:rsidRPr="00E87DF7">
        <w:rPr>
          <w:sz w:val="24"/>
          <w:szCs w:val="24"/>
        </w:rPr>
        <w:t>Hlavním podkladem pro hodnocení hospodárnosti, efektivnosti a účelnosti dotačních programů jsou závěrečná vyhodnocení programů, která se zpracovávají podle vyhlášky č. 560/2006 Sb., o účasti státního rozpočtu na financování programů reprodukce majetku. V roce 2023 nedošlo v kapitole 327 – Ministerstvo dopravy k žádnému závěrečnému vyhodnocení dotačního programu v režimu EDS a nelze tak nyní provést komplexní hodnocení za celý program.</w:t>
      </w:r>
    </w:p>
    <w:p w14:paraId="4E1B9ADF" w14:textId="77777777" w:rsidR="005755EF" w:rsidRPr="00E87DF7" w:rsidRDefault="005755EF" w:rsidP="005755EF">
      <w:pPr>
        <w:jc w:val="both"/>
        <w:rPr>
          <w:sz w:val="24"/>
          <w:szCs w:val="24"/>
        </w:rPr>
      </w:pPr>
      <w:r w:rsidRPr="00E87DF7">
        <w:rPr>
          <w:sz w:val="24"/>
          <w:szCs w:val="24"/>
        </w:rPr>
        <w:t xml:space="preserve">V oblasti dotačních programů financovaných v režimu EDS byly v roce 2023 realizovány 3 programy. Přínosem programu </w:t>
      </w:r>
      <w:r w:rsidRPr="00E87DF7">
        <w:rPr>
          <w:b/>
          <w:bCs/>
          <w:sz w:val="24"/>
          <w:szCs w:val="24"/>
        </w:rPr>
        <w:t>127 65 „Pořízení a modernizace železničních kolejových vozidel“</w:t>
      </w:r>
      <w:r w:rsidRPr="00E87DF7">
        <w:rPr>
          <w:sz w:val="24"/>
          <w:szCs w:val="24"/>
        </w:rPr>
        <w:t xml:space="preserve"> má být nejen zlepšení podmínek pro přepravu osob se sníženou schopností pohybu a orientace, ale i snížení negativních vlivů na životní prostředí včetně efektivního snížení hlukové a emisní zátěže. Vozidla podpořená v rámci projektu musí přinášet zvýšení kvality cestování v podobě celoročního teplotního komfortu, WC s uzavřeným systémem, ergonomických sedadel, informačního sytému ve vozidlech, zásuvek pro napájení drobné elektroniky a dalších moderních prvků. Vozidla musí být rovněž vybavena prostorem pro přepravu cestujících na vozíku včetně pro ně určeného WC dle TSI PRM a dále prostorem pro přepravu kočárků a jízdních kol. </w:t>
      </w:r>
    </w:p>
    <w:p w14:paraId="14114AEF" w14:textId="77777777" w:rsidR="005755EF" w:rsidRPr="00E87DF7" w:rsidRDefault="005755EF" w:rsidP="005755EF">
      <w:pPr>
        <w:jc w:val="both"/>
        <w:rPr>
          <w:sz w:val="24"/>
          <w:szCs w:val="24"/>
        </w:rPr>
      </w:pPr>
      <w:r w:rsidRPr="00E87DF7">
        <w:rPr>
          <w:sz w:val="24"/>
          <w:szCs w:val="24"/>
        </w:rPr>
        <w:t xml:space="preserve">V programu </w:t>
      </w:r>
      <w:r w:rsidRPr="00E87DF7">
        <w:rPr>
          <w:b/>
          <w:bCs/>
          <w:sz w:val="24"/>
          <w:szCs w:val="24"/>
        </w:rPr>
        <w:t>127 77 „Podpora financování dopravy“</w:t>
      </w:r>
      <w:r w:rsidRPr="00E87DF7">
        <w:rPr>
          <w:sz w:val="24"/>
          <w:szCs w:val="24"/>
        </w:rPr>
        <w:t xml:space="preserve"> je hlavním příjemcem dotací SFDI. SFDI plní funkci zprostředkujícího subjektu v rámci financování prostředků EU (OPD, komunitární programy). Zde nelze provést hodnocení hospodárnosti, efektivnosti a účelnosti konkrétních projektů, protože účelem poskytnutí dotací SFDI je pouze zabezpečit finanční prostředky pro SFDI. Vlastní realizace konkrétních infrastrukturních projektů probíhá následně mezi SFDI a konečnými příjemci (ŘSD, SŽ) a následné hodnocení projektů jde již mimo tento program. V menší míře je v tomto programu zahrnuta problematika rozvoje čisté mobility a zajištění interoperability v železniční dopravě. Hodnocení probíhá v rámci posouzení, jakým způsobem je splněn cíl pro vytvoření podmínek pro širší využití vozidel na alternativní pohon na silniční síti, resp. Pro rozvoj a zlepšování dopravních systémů šetrných k životnímu prostředí, včetně systémů s nízkou hlučností, a nízkouhlíkových dopravních systémů.</w:t>
      </w:r>
    </w:p>
    <w:p w14:paraId="76747834" w14:textId="392CFA06" w:rsidR="005755EF" w:rsidRPr="00E87DF7" w:rsidRDefault="005755EF" w:rsidP="005755EF">
      <w:pPr>
        <w:jc w:val="both"/>
        <w:rPr>
          <w:sz w:val="24"/>
          <w:szCs w:val="24"/>
        </w:rPr>
      </w:pPr>
      <w:r w:rsidRPr="00E87DF7">
        <w:rPr>
          <w:sz w:val="24"/>
          <w:szCs w:val="24"/>
        </w:rPr>
        <w:t xml:space="preserve">Program </w:t>
      </w:r>
      <w:r w:rsidRPr="00E87DF7">
        <w:rPr>
          <w:b/>
          <w:bCs/>
          <w:sz w:val="24"/>
          <w:szCs w:val="24"/>
        </w:rPr>
        <w:t>127 67 „Podpora obnovy historických železničních kolejových vozidel“</w:t>
      </w:r>
      <w:r w:rsidRPr="00E87DF7">
        <w:rPr>
          <w:sz w:val="24"/>
          <w:szCs w:val="24"/>
        </w:rPr>
        <w:t xml:space="preserve"> s každoročním rozpočtem ve výši 5 mil. Kč </w:t>
      </w:r>
      <w:proofErr w:type="gramStart"/>
      <w:r w:rsidRPr="00E87DF7">
        <w:rPr>
          <w:sz w:val="24"/>
          <w:szCs w:val="24"/>
        </w:rPr>
        <w:t>patří</w:t>
      </w:r>
      <w:proofErr w:type="gramEnd"/>
      <w:r w:rsidRPr="00E87DF7">
        <w:rPr>
          <w:sz w:val="24"/>
          <w:szCs w:val="24"/>
        </w:rPr>
        <w:t xml:space="preserve"> mezi minoritní programy. Hodnocení </w:t>
      </w:r>
      <w:r w:rsidR="00207CA3">
        <w:rPr>
          <w:sz w:val="24"/>
          <w:szCs w:val="24"/>
        </w:rPr>
        <w:t>sleduje</w:t>
      </w:r>
      <w:r w:rsidRPr="00E87DF7">
        <w:rPr>
          <w:sz w:val="24"/>
          <w:szCs w:val="24"/>
        </w:rPr>
        <w:t>, zda realizace projektu p</w:t>
      </w:r>
      <w:r w:rsidR="00207CA3">
        <w:rPr>
          <w:sz w:val="24"/>
          <w:szCs w:val="24"/>
        </w:rPr>
        <w:t>ři</w:t>
      </w:r>
      <w:r w:rsidRPr="00E87DF7">
        <w:rPr>
          <w:sz w:val="24"/>
          <w:szCs w:val="24"/>
        </w:rPr>
        <w:t>spívá k zachování technického a kulturního dědictví ČR.</w:t>
      </w:r>
    </w:p>
    <w:p w14:paraId="6D346ABC" w14:textId="191833DC" w:rsidR="005755EF" w:rsidRPr="00E87DF7" w:rsidRDefault="005755EF" w:rsidP="005755EF">
      <w:pPr>
        <w:jc w:val="both"/>
        <w:rPr>
          <w:sz w:val="24"/>
          <w:szCs w:val="24"/>
        </w:rPr>
      </w:pPr>
      <w:r w:rsidRPr="00E87DF7">
        <w:rPr>
          <w:sz w:val="24"/>
          <w:szCs w:val="24"/>
        </w:rPr>
        <w:t>V průběhu realizace uvedených programů se dále sleduje průběžné vyhodnocování hospodárnosti, efektivnosti a účelnosti v rámci závěrečných vyhodnocení jednotlivých akcí, a to, zda jednotlivé akce byly realizovány v souladu se stanovenými konkrétními cíli, parametry a indikátory. Dále je kladen důraz na transparentní postup při posuzování jednotlivých žádostí o dotaci a zda jsou dodržován</w:t>
      </w:r>
      <w:r w:rsidR="00207CA3">
        <w:rPr>
          <w:sz w:val="24"/>
          <w:szCs w:val="24"/>
        </w:rPr>
        <w:t>a</w:t>
      </w:r>
      <w:r w:rsidRPr="00E87DF7">
        <w:rPr>
          <w:sz w:val="24"/>
          <w:szCs w:val="24"/>
        </w:rPr>
        <w:t xml:space="preserve"> daná pravidla a podmínky, ať už se jedná o Operační program Doprava 2014+, grantové dohody EK, nebo podmínky programu 127 67. </w:t>
      </w:r>
    </w:p>
    <w:p w14:paraId="0EEF9447" w14:textId="77777777" w:rsidR="005755EF" w:rsidRPr="00E87DF7" w:rsidRDefault="005755EF" w:rsidP="005755EF">
      <w:pPr>
        <w:jc w:val="both"/>
        <w:rPr>
          <w:sz w:val="24"/>
          <w:szCs w:val="24"/>
        </w:rPr>
      </w:pPr>
      <w:r w:rsidRPr="00E87DF7">
        <w:rPr>
          <w:b/>
          <w:bCs/>
          <w:sz w:val="24"/>
          <w:szCs w:val="24"/>
        </w:rPr>
        <w:t>Lze tak konstatovat, že finanční prostředky na jednotlivé dotační programy EDS byly v roce 2023 vynaloženy s maximální hospodárností, efektivností a účelností</w:t>
      </w:r>
      <w:r w:rsidRPr="00E87DF7">
        <w:rPr>
          <w:sz w:val="24"/>
          <w:szCs w:val="24"/>
        </w:rPr>
        <w:t>.</w:t>
      </w:r>
      <w:r w:rsidRPr="00E87DF7">
        <w:rPr>
          <w:b/>
          <w:bCs/>
          <w:sz w:val="24"/>
          <w:szCs w:val="24"/>
        </w:rPr>
        <w:t xml:space="preserve"> Při posuzování jednotlivých žádostí o poskytnutí dotace bylo postupováno transparentně a jednotlivé tituly byly realizovány v souladu s příslušnými právními předpisy.</w:t>
      </w:r>
    </w:p>
    <w:p w14:paraId="65F384C7" w14:textId="67EEE297" w:rsidR="00A17419" w:rsidRPr="006B6D61" w:rsidRDefault="00A17419" w:rsidP="00E20BD6">
      <w:pPr>
        <w:pStyle w:val="KOMnadp3"/>
      </w:pPr>
      <w:bookmarkStart w:id="612" w:name="_Toc162269261"/>
      <w:r w:rsidRPr="006B6D61">
        <w:lastRenderedPageBreak/>
        <w:t>Modul RIS ZED</w:t>
      </w:r>
      <w:bookmarkEnd w:id="612"/>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0"/>
        <w:gridCol w:w="1134"/>
        <w:gridCol w:w="1134"/>
        <w:gridCol w:w="1249"/>
        <w:gridCol w:w="1125"/>
        <w:gridCol w:w="1125"/>
        <w:gridCol w:w="754"/>
      </w:tblGrid>
      <w:tr w:rsidR="002F1BE7" w:rsidRPr="002F1BE7" w14:paraId="5C4F9877" w14:textId="77777777" w:rsidTr="00BA4E5A">
        <w:trPr>
          <w:tblHeader/>
        </w:trPr>
        <w:tc>
          <w:tcPr>
            <w:tcW w:w="9281" w:type="dxa"/>
            <w:gridSpan w:val="7"/>
            <w:tcBorders>
              <w:top w:val="nil"/>
              <w:left w:val="nil"/>
              <w:right w:val="nil"/>
            </w:tcBorders>
            <w:shd w:val="clear" w:color="auto" w:fill="auto"/>
            <w:vAlign w:val="center"/>
          </w:tcPr>
          <w:p w14:paraId="0393E89E" w14:textId="216A7B4D" w:rsidR="00B25923" w:rsidRPr="0077128B" w:rsidRDefault="00B25923" w:rsidP="00BA4E5A">
            <w:pPr>
              <w:spacing w:after="0"/>
              <w:jc w:val="right"/>
              <w:rPr>
                <w:rFonts w:cstheme="minorHAnsi"/>
                <w:color w:val="FF0000"/>
                <w:sz w:val="20"/>
                <w:szCs w:val="20"/>
              </w:rPr>
            </w:pPr>
            <w:r w:rsidRPr="006B6D61">
              <w:rPr>
                <w:rFonts w:cstheme="minorHAnsi"/>
                <w:sz w:val="20"/>
                <w:szCs w:val="20"/>
              </w:rPr>
              <w:t>v tis. Kč</w:t>
            </w:r>
          </w:p>
        </w:tc>
      </w:tr>
      <w:tr w:rsidR="002F1BE7" w:rsidRPr="002F1BE7" w14:paraId="45A8F1DB" w14:textId="77777777" w:rsidTr="00BA4E5A">
        <w:trPr>
          <w:trHeight w:val="436"/>
          <w:tblHeader/>
        </w:trPr>
        <w:tc>
          <w:tcPr>
            <w:tcW w:w="2760" w:type="dxa"/>
            <w:vMerge w:val="restart"/>
            <w:shd w:val="pct12" w:color="auto" w:fill="auto"/>
            <w:vAlign w:val="center"/>
          </w:tcPr>
          <w:p w14:paraId="4A39C692" w14:textId="330DBF13" w:rsidR="00A17419" w:rsidRPr="0077128B" w:rsidRDefault="0052086A" w:rsidP="00BA4E5A">
            <w:pPr>
              <w:spacing w:after="0"/>
              <w:jc w:val="center"/>
              <w:rPr>
                <w:rFonts w:cstheme="minorHAnsi"/>
                <w:b/>
                <w:color w:val="FF0000"/>
                <w:sz w:val="20"/>
                <w:szCs w:val="20"/>
              </w:rPr>
            </w:pPr>
            <w:r w:rsidRPr="006A755F">
              <w:rPr>
                <w:rFonts w:cstheme="minorHAnsi"/>
                <w:b/>
                <w:sz w:val="20"/>
                <w:szCs w:val="20"/>
              </w:rPr>
              <w:t>Ukazatel</w:t>
            </w:r>
          </w:p>
        </w:tc>
        <w:tc>
          <w:tcPr>
            <w:tcW w:w="1134" w:type="dxa"/>
            <w:vMerge w:val="restart"/>
            <w:tcBorders>
              <w:top w:val="single" w:sz="4" w:space="0" w:color="auto"/>
              <w:right w:val="single" w:sz="4" w:space="0" w:color="auto"/>
            </w:tcBorders>
            <w:shd w:val="pct12" w:color="auto" w:fill="auto"/>
            <w:vAlign w:val="center"/>
          </w:tcPr>
          <w:p w14:paraId="35477E69" w14:textId="77777777" w:rsidR="0052086A" w:rsidRPr="006A755F" w:rsidRDefault="0052086A" w:rsidP="0052086A">
            <w:pPr>
              <w:spacing w:after="0"/>
              <w:jc w:val="center"/>
              <w:rPr>
                <w:rFonts w:cstheme="minorHAnsi"/>
                <w:b/>
                <w:sz w:val="20"/>
                <w:szCs w:val="20"/>
              </w:rPr>
            </w:pPr>
            <w:r w:rsidRPr="006A755F">
              <w:rPr>
                <w:rFonts w:cstheme="minorHAnsi"/>
                <w:b/>
                <w:sz w:val="20"/>
                <w:szCs w:val="20"/>
              </w:rPr>
              <w:t>Skutečnost</w:t>
            </w:r>
          </w:p>
          <w:p w14:paraId="46C4937B" w14:textId="21FAA102" w:rsidR="00A17419" w:rsidRPr="0077128B" w:rsidRDefault="0052086A" w:rsidP="00BA4E5A">
            <w:pPr>
              <w:spacing w:after="0"/>
              <w:jc w:val="center"/>
              <w:rPr>
                <w:rFonts w:cstheme="minorHAnsi"/>
                <w:b/>
                <w:color w:val="FF0000"/>
                <w:sz w:val="20"/>
                <w:szCs w:val="20"/>
              </w:rPr>
            </w:pPr>
            <w:r w:rsidRPr="006A755F">
              <w:rPr>
                <w:rFonts w:cstheme="minorHAnsi"/>
                <w:b/>
                <w:sz w:val="20"/>
                <w:szCs w:val="20"/>
              </w:rPr>
              <w:t>202</w:t>
            </w:r>
            <w:r>
              <w:rPr>
                <w:rFonts w:cstheme="minorHAnsi"/>
                <w:b/>
                <w:sz w:val="20"/>
                <w:szCs w:val="20"/>
              </w:rPr>
              <w:t>2</w:t>
            </w:r>
          </w:p>
        </w:tc>
        <w:tc>
          <w:tcPr>
            <w:tcW w:w="3508" w:type="dxa"/>
            <w:gridSpan w:val="3"/>
            <w:tcBorders>
              <w:top w:val="single" w:sz="4" w:space="0" w:color="auto"/>
              <w:left w:val="single" w:sz="4" w:space="0" w:color="auto"/>
              <w:bottom w:val="single" w:sz="4" w:space="0" w:color="auto"/>
              <w:right w:val="single" w:sz="4" w:space="0" w:color="auto"/>
            </w:tcBorders>
            <w:shd w:val="pct12" w:color="auto" w:fill="auto"/>
            <w:vAlign w:val="center"/>
          </w:tcPr>
          <w:p w14:paraId="7E5AA448" w14:textId="26FF8273" w:rsidR="00A17419" w:rsidRPr="0077128B" w:rsidRDefault="0052086A" w:rsidP="00BA4E5A">
            <w:pPr>
              <w:spacing w:after="0"/>
              <w:jc w:val="center"/>
              <w:rPr>
                <w:rFonts w:cstheme="minorHAnsi"/>
                <w:b/>
                <w:color w:val="FF0000"/>
                <w:sz w:val="20"/>
                <w:szCs w:val="20"/>
              </w:rPr>
            </w:pPr>
            <w:r w:rsidRPr="006A755F">
              <w:rPr>
                <w:rFonts w:cstheme="minorHAnsi"/>
                <w:b/>
                <w:sz w:val="20"/>
                <w:szCs w:val="20"/>
              </w:rPr>
              <w:t>Rozpočet 202</w:t>
            </w:r>
            <w:r>
              <w:rPr>
                <w:rFonts w:cstheme="minorHAnsi"/>
                <w:b/>
                <w:sz w:val="20"/>
                <w:szCs w:val="20"/>
              </w:rPr>
              <w:t>3</w:t>
            </w:r>
          </w:p>
        </w:tc>
        <w:tc>
          <w:tcPr>
            <w:tcW w:w="1125" w:type="dxa"/>
            <w:vMerge w:val="restart"/>
            <w:tcBorders>
              <w:top w:val="single" w:sz="4" w:space="0" w:color="auto"/>
              <w:left w:val="single" w:sz="4" w:space="0" w:color="auto"/>
              <w:right w:val="single" w:sz="4" w:space="0" w:color="auto"/>
            </w:tcBorders>
            <w:shd w:val="pct12" w:color="auto" w:fill="auto"/>
            <w:vAlign w:val="center"/>
          </w:tcPr>
          <w:p w14:paraId="7EBFD55C" w14:textId="77777777" w:rsidR="0052086A" w:rsidRPr="006A755F" w:rsidRDefault="0052086A" w:rsidP="0052086A">
            <w:pPr>
              <w:spacing w:after="0"/>
              <w:jc w:val="center"/>
              <w:rPr>
                <w:rFonts w:cstheme="minorHAnsi"/>
                <w:b/>
                <w:sz w:val="20"/>
                <w:szCs w:val="20"/>
              </w:rPr>
            </w:pPr>
            <w:r w:rsidRPr="006A755F">
              <w:rPr>
                <w:rFonts w:cstheme="minorHAnsi"/>
                <w:b/>
                <w:sz w:val="20"/>
                <w:szCs w:val="20"/>
              </w:rPr>
              <w:t>Skutečnost</w:t>
            </w:r>
          </w:p>
          <w:p w14:paraId="74563F7C" w14:textId="31235999" w:rsidR="00A17419" w:rsidRPr="0077128B" w:rsidRDefault="0052086A" w:rsidP="00BA4E5A">
            <w:pPr>
              <w:spacing w:after="0"/>
              <w:jc w:val="center"/>
              <w:rPr>
                <w:rFonts w:cstheme="minorHAnsi"/>
                <w:b/>
                <w:color w:val="FF0000"/>
                <w:sz w:val="20"/>
                <w:szCs w:val="20"/>
              </w:rPr>
            </w:pPr>
            <w:r w:rsidRPr="006A755F">
              <w:rPr>
                <w:rFonts w:cstheme="minorHAnsi"/>
                <w:b/>
                <w:sz w:val="20"/>
                <w:szCs w:val="20"/>
              </w:rPr>
              <w:t>202</w:t>
            </w:r>
            <w:r>
              <w:rPr>
                <w:rFonts w:cstheme="minorHAnsi"/>
                <w:b/>
                <w:sz w:val="20"/>
                <w:szCs w:val="20"/>
              </w:rPr>
              <w:t>3</w:t>
            </w:r>
          </w:p>
        </w:tc>
        <w:tc>
          <w:tcPr>
            <w:tcW w:w="754" w:type="dxa"/>
            <w:vMerge w:val="restart"/>
            <w:tcBorders>
              <w:top w:val="single" w:sz="4" w:space="0" w:color="auto"/>
              <w:left w:val="single" w:sz="4" w:space="0" w:color="auto"/>
            </w:tcBorders>
            <w:shd w:val="pct12" w:color="auto" w:fill="auto"/>
            <w:vAlign w:val="center"/>
          </w:tcPr>
          <w:p w14:paraId="33E16486" w14:textId="77777777" w:rsidR="0052086A" w:rsidRPr="006A755F" w:rsidRDefault="0052086A" w:rsidP="0052086A">
            <w:pPr>
              <w:spacing w:after="0"/>
              <w:jc w:val="center"/>
              <w:rPr>
                <w:rFonts w:cstheme="minorHAnsi"/>
                <w:b/>
                <w:sz w:val="20"/>
                <w:szCs w:val="20"/>
              </w:rPr>
            </w:pPr>
            <w:r w:rsidRPr="006A755F">
              <w:rPr>
                <w:rFonts w:cstheme="minorHAnsi"/>
                <w:b/>
                <w:sz w:val="20"/>
                <w:szCs w:val="20"/>
              </w:rPr>
              <w:t>Index</w:t>
            </w:r>
          </w:p>
          <w:p w14:paraId="268133B2" w14:textId="1A305799" w:rsidR="00A17419" w:rsidRPr="0077128B" w:rsidRDefault="0052086A" w:rsidP="00BA4E5A">
            <w:pPr>
              <w:spacing w:after="0"/>
              <w:jc w:val="center"/>
              <w:rPr>
                <w:rFonts w:cstheme="minorHAnsi"/>
                <w:b/>
                <w:color w:val="FF0000"/>
                <w:sz w:val="20"/>
                <w:szCs w:val="20"/>
              </w:rPr>
            </w:pPr>
            <w:r w:rsidRPr="006A755F">
              <w:rPr>
                <w:rFonts w:cstheme="minorHAnsi"/>
                <w:b/>
                <w:sz w:val="20"/>
                <w:szCs w:val="20"/>
              </w:rPr>
              <w:t xml:space="preserve"> (v %)</w:t>
            </w:r>
          </w:p>
        </w:tc>
      </w:tr>
      <w:tr w:rsidR="002F1BE7" w:rsidRPr="002F1BE7" w14:paraId="76E08A4D" w14:textId="77777777" w:rsidTr="00BA4E5A">
        <w:trPr>
          <w:trHeight w:val="428"/>
          <w:tblHeader/>
        </w:trPr>
        <w:tc>
          <w:tcPr>
            <w:tcW w:w="2760" w:type="dxa"/>
            <w:vMerge/>
            <w:tcBorders>
              <w:bottom w:val="nil"/>
            </w:tcBorders>
          </w:tcPr>
          <w:p w14:paraId="7D532F41" w14:textId="77777777" w:rsidR="00A17419" w:rsidRPr="0077128B" w:rsidRDefault="00A17419" w:rsidP="008E7F18">
            <w:pPr>
              <w:jc w:val="center"/>
              <w:rPr>
                <w:rFonts w:cstheme="minorHAnsi"/>
                <w:color w:val="FF0000"/>
                <w:sz w:val="20"/>
                <w:szCs w:val="20"/>
              </w:rPr>
            </w:pPr>
          </w:p>
        </w:tc>
        <w:tc>
          <w:tcPr>
            <w:tcW w:w="1134" w:type="dxa"/>
            <w:vMerge/>
            <w:tcBorders>
              <w:bottom w:val="nil"/>
              <w:right w:val="single" w:sz="4" w:space="0" w:color="auto"/>
            </w:tcBorders>
          </w:tcPr>
          <w:p w14:paraId="7B48C280" w14:textId="77777777" w:rsidR="00A17419" w:rsidRPr="0077128B" w:rsidRDefault="00A17419" w:rsidP="008E7F18">
            <w:pPr>
              <w:jc w:val="center"/>
              <w:rPr>
                <w:rFonts w:cstheme="minorHAnsi"/>
                <w:color w:val="FF0000"/>
                <w:sz w:val="20"/>
                <w:szCs w:val="20"/>
              </w:rPr>
            </w:pPr>
          </w:p>
        </w:tc>
        <w:tc>
          <w:tcPr>
            <w:tcW w:w="1134" w:type="dxa"/>
            <w:tcBorders>
              <w:top w:val="single" w:sz="4" w:space="0" w:color="auto"/>
              <w:left w:val="single" w:sz="4" w:space="0" w:color="auto"/>
              <w:bottom w:val="single" w:sz="4" w:space="0" w:color="auto"/>
              <w:right w:val="single" w:sz="4" w:space="0" w:color="auto"/>
            </w:tcBorders>
            <w:shd w:val="pct12" w:color="auto" w:fill="auto"/>
          </w:tcPr>
          <w:p w14:paraId="315AAC4D" w14:textId="4B9D5B14" w:rsidR="00A17419" w:rsidRPr="0077128B" w:rsidRDefault="0052086A" w:rsidP="008E7F18">
            <w:pPr>
              <w:spacing w:before="60" w:after="60"/>
              <w:jc w:val="center"/>
              <w:rPr>
                <w:rFonts w:cstheme="minorHAnsi"/>
                <w:b/>
                <w:color w:val="FF0000"/>
                <w:sz w:val="20"/>
                <w:szCs w:val="20"/>
              </w:rPr>
            </w:pPr>
            <w:r w:rsidRPr="006A755F">
              <w:rPr>
                <w:rFonts w:cstheme="minorHAnsi"/>
                <w:b/>
                <w:sz w:val="20"/>
                <w:szCs w:val="20"/>
              </w:rPr>
              <w:t>schválený</w:t>
            </w:r>
          </w:p>
        </w:tc>
        <w:tc>
          <w:tcPr>
            <w:tcW w:w="1249" w:type="dxa"/>
            <w:tcBorders>
              <w:top w:val="single" w:sz="4" w:space="0" w:color="auto"/>
              <w:left w:val="single" w:sz="4" w:space="0" w:color="auto"/>
              <w:bottom w:val="single" w:sz="4" w:space="0" w:color="auto"/>
              <w:right w:val="single" w:sz="4" w:space="0" w:color="auto"/>
            </w:tcBorders>
            <w:shd w:val="pct12" w:color="auto" w:fill="auto"/>
          </w:tcPr>
          <w:p w14:paraId="7E90CCED" w14:textId="6EBBE794" w:rsidR="00A17419" w:rsidRPr="0077128B" w:rsidRDefault="0052086A" w:rsidP="008E7F18">
            <w:pPr>
              <w:spacing w:before="60" w:after="60"/>
              <w:jc w:val="center"/>
              <w:rPr>
                <w:rFonts w:cstheme="minorHAnsi"/>
                <w:b/>
                <w:color w:val="FF0000"/>
                <w:sz w:val="20"/>
                <w:szCs w:val="20"/>
              </w:rPr>
            </w:pPr>
            <w:r w:rsidRPr="006A755F">
              <w:rPr>
                <w:rFonts w:cstheme="minorHAnsi"/>
                <w:b/>
                <w:sz w:val="20"/>
                <w:szCs w:val="20"/>
              </w:rPr>
              <w:t>po změnách</w:t>
            </w:r>
          </w:p>
        </w:tc>
        <w:tc>
          <w:tcPr>
            <w:tcW w:w="1125" w:type="dxa"/>
            <w:tcBorders>
              <w:top w:val="single" w:sz="4" w:space="0" w:color="auto"/>
              <w:left w:val="single" w:sz="4" w:space="0" w:color="auto"/>
              <w:bottom w:val="single" w:sz="4" w:space="0" w:color="auto"/>
              <w:right w:val="single" w:sz="4" w:space="0" w:color="auto"/>
            </w:tcBorders>
            <w:shd w:val="pct12" w:color="auto" w:fill="auto"/>
          </w:tcPr>
          <w:p w14:paraId="1412A0D4" w14:textId="39B00663" w:rsidR="00A17419" w:rsidRPr="0077128B" w:rsidRDefault="0052086A" w:rsidP="008E7F18">
            <w:pPr>
              <w:spacing w:before="60" w:after="60"/>
              <w:jc w:val="center"/>
              <w:rPr>
                <w:rFonts w:cstheme="minorHAnsi"/>
                <w:b/>
                <w:color w:val="FF0000"/>
                <w:sz w:val="20"/>
                <w:szCs w:val="20"/>
              </w:rPr>
            </w:pPr>
            <w:r w:rsidRPr="006A755F">
              <w:rPr>
                <w:rFonts w:cstheme="minorHAnsi"/>
                <w:b/>
                <w:sz w:val="20"/>
                <w:szCs w:val="20"/>
              </w:rPr>
              <w:t>konečný</w:t>
            </w:r>
          </w:p>
        </w:tc>
        <w:tc>
          <w:tcPr>
            <w:tcW w:w="1125" w:type="dxa"/>
            <w:vMerge/>
            <w:tcBorders>
              <w:left w:val="single" w:sz="4" w:space="0" w:color="auto"/>
              <w:bottom w:val="nil"/>
              <w:right w:val="single" w:sz="4" w:space="0" w:color="auto"/>
            </w:tcBorders>
          </w:tcPr>
          <w:p w14:paraId="29B09AE4" w14:textId="77777777" w:rsidR="00A17419" w:rsidRPr="0077128B" w:rsidRDefault="00A17419" w:rsidP="008E7F18">
            <w:pPr>
              <w:jc w:val="center"/>
              <w:rPr>
                <w:rFonts w:cstheme="minorHAnsi"/>
                <w:color w:val="FF0000"/>
                <w:sz w:val="20"/>
                <w:szCs w:val="20"/>
              </w:rPr>
            </w:pPr>
          </w:p>
        </w:tc>
        <w:tc>
          <w:tcPr>
            <w:tcW w:w="754" w:type="dxa"/>
            <w:vMerge/>
            <w:tcBorders>
              <w:left w:val="single" w:sz="4" w:space="0" w:color="auto"/>
              <w:bottom w:val="nil"/>
            </w:tcBorders>
          </w:tcPr>
          <w:p w14:paraId="7732E74E" w14:textId="77777777" w:rsidR="00A17419" w:rsidRPr="0077128B" w:rsidRDefault="00A17419" w:rsidP="008E7F18">
            <w:pPr>
              <w:jc w:val="center"/>
              <w:rPr>
                <w:rFonts w:cstheme="minorHAnsi"/>
                <w:color w:val="FF0000"/>
                <w:sz w:val="20"/>
                <w:szCs w:val="20"/>
              </w:rPr>
            </w:pPr>
          </w:p>
        </w:tc>
      </w:tr>
      <w:tr w:rsidR="002F1BE7" w:rsidRPr="002F1BE7" w14:paraId="6030FDCA" w14:textId="77777777" w:rsidTr="008E7F18">
        <w:trPr>
          <w:trHeight w:val="100"/>
          <w:tblHeader/>
        </w:trPr>
        <w:tc>
          <w:tcPr>
            <w:tcW w:w="2760" w:type="dxa"/>
            <w:tcBorders>
              <w:top w:val="single" w:sz="4" w:space="0" w:color="auto"/>
              <w:left w:val="single" w:sz="4" w:space="0" w:color="auto"/>
              <w:bottom w:val="single" w:sz="4" w:space="0" w:color="auto"/>
              <w:right w:val="single" w:sz="4" w:space="0" w:color="auto"/>
            </w:tcBorders>
          </w:tcPr>
          <w:p w14:paraId="1F26ACA0" w14:textId="30F1D3EA" w:rsidR="00A17419" w:rsidRPr="0077128B" w:rsidRDefault="0052086A" w:rsidP="008E7F18">
            <w:pPr>
              <w:spacing w:after="0"/>
              <w:jc w:val="center"/>
              <w:rPr>
                <w:rFonts w:cstheme="minorHAnsi"/>
                <w:color w:val="FF0000"/>
                <w:sz w:val="20"/>
                <w:szCs w:val="20"/>
              </w:rPr>
            </w:pPr>
            <w:r w:rsidRPr="006A755F">
              <w:rPr>
                <w:rFonts w:cstheme="minorHAnsi"/>
                <w:sz w:val="20"/>
                <w:szCs w:val="20"/>
              </w:rPr>
              <w:t>a</w:t>
            </w:r>
          </w:p>
        </w:tc>
        <w:tc>
          <w:tcPr>
            <w:tcW w:w="1134" w:type="dxa"/>
            <w:tcBorders>
              <w:top w:val="single" w:sz="4" w:space="0" w:color="auto"/>
              <w:left w:val="single" w:sz="4" w:space="0" w:color="auto"/>
              <w:bottom w:val="single" w:sz="4" w:space="0" w:color="auto"/>
              <w:right w:val="single" w:sz="4" w:space="0" w:color="auto"/>
            </w:tcBorders>
          </w:tcPr>
          <w:p w14:paraId="29B94B52" w14:textId="485B8A94" w:rsidR="00A17419" w:rsidRPr="0077128B" w:rsidRDefault="0052086A" w:rsidP="008E7F18">
            <w:pPr>
              <w:spacing w:after="0"/>
              <w:jc w:val="center"/>
              <w:rPr>
                <w:rFonts w:cstheme="minorHAnsi"/>
                <w:color w:val="FF0000"/>
                <w:sz w:val="20"/>
                <w:szCs w:val="20"/>
              </w:rPr>
            </w:pPr>
            <w:r w:rsidRPr="006A755F">
              <w:rPr>
                <w:rFonts w:cstheme="minorHAnsi"/>
                <w:sz w:val="20"/>
                <w:szCs w:val="20"/>
              </w:rPr>
              <w:t>1</w:t>
            </w:r>
          </w:p>
        </w:tc>
        <w:tc>
          <w:tcPr>
            <w:tcW w:w="1134" w:type="dxa"/>
            <w:tcBorders>
              <w:top w:val="single" w:sz="4" w:space="0" w:color="auto"/>
              <w:left w:val="single" w:sz="4" w:space="0" w:color="auto"/>
              <w:bottom w:val="single" w:sz="4" w:space="0" w:color="auto"/>
              <w:right w:val="single" w:sz="4" w:space="0" w:color="auto"/>
            </w:tcBorders>
          </w:tcPr>
          <w:p w14:paraId="448B506C" w14:textId="7AE0300C" w:rsidR="00A17419" w:rsidRPr="0077128B" w:rsidRDefault="0052086A" w:rsidP="008E7F18">
            <w:pPr>
              <w:spacing w:after="0"/>
              <w:jc w:val="center"/>
              <w:rPr>
                <w:rFonts w:cstheme="minorHAnsi"/>
                <w:color w:val="FF0000"/>
                <w:sz w:val="20"/>
                <w:szCs w:val="20"/>
              </w:rPr>
            </w:pPr>
            <w:r w:rsidRPr="006A755F">
              <w:rPr>
                <w:rFonts w:cstheme="minorHAnsi"/>
                <w:sz w:val="20"/>
                <w:szCs w:val="20"/>
              </w:rPr>
              <w:t>2</w:t>
            </w:r>
          </w:p>
        </w:tc>
        <w:tc>
          <w:tcPr>
            <w:tcW w:w="1249" w:type="dxa"/>
            <w:tcBorders>
              <w:top w:val="single" w:sz="4" w:space="0" w:color="auto"/>
              <w:left w:val="single" w:sz="4" w:space="0" w:color="auto"/>
              <w:bottom w:val="single" w:sz="4" w:space="0" w:color="auto"/>
              <w:right w:val="single" w:sz="4" w:space="0" w:color="auto"/>
            </w:tcBorders>
          </w:tcPr>
          <w:p w14:paraId="2F990B96" w14:textId="05A025DD" w:rsidR="00A17419" w:rsidRPr="0077128B" w:rsidRDefault="0052086A" w:rsidP="008E7F18">
            <w:pPr>
              <w:spacing w:after="0"/>
              <w:jc w:val="center"/>
              <w:rPr>
                <w:rFonts w:cstheme="minorHAnsi"/>
                <w:color w:val="FF0000"/>
                <w:sz w:val="20"/>
                <w:szCs w:val="20"/>
              </w:rPr>
            </w:pPr>
            <w:r w:rsidRPr="006A755F">
              <w:rPr>
                <w:rFonts w:cstheme="minorHAnsi"/>
                <w:sz w:val="20"/>
                <w:szCs w:val="20"/>
              </w:rPr>
              <w:t>3</w:t>
            </w:r>
          </w:p>
        </w:tc>
        <w:tc>
          <w:tcPr>
            <w:tcW w:w="1125" w:type="dxa"/>
            <w:tcBorders>
              <w:top w:val="single" w:sz="4" w:space="0" w:color="auto"/>
              <w:left w:val="single" w:sz="4" w:space="0" w:color="auto"/>
              <w:bottom w:val="single" w:sz="4" w:space="0" w:color="auto"/>
              <w:right w:val="single" w:sz="4" w:space="0" w:color="auto"/>
            </w:tcBorders>
          </w:tcPr>
          <w:p w14:paraId="1D5E56DB" w14:textId="6BD9392B" w:rsidR="00A17419" w:rsidRPr="0077128B" w:rsidRDefault="0052086A" w:rsidP="008E7F18">
            <w:pPr>
              <w:spacing w:after="0"/>
              <w:jc w:val="center"/>
              <w:rPr>
                <w:rFonts w:cstheme="minorHAnsi"/>
                <w:color w:val="FF0000"/>
                <w:sz w:val="20"/>
                <w:szCs w:val="20"/>
              </w:rPr>
            </w:pPr>
            <w:r w:rsidRPr="006A755F">
              <w:rPr>
                <w:rFonts w:cstheme="minorHAnsi"/>
                <w:sz w:val="20"/>
                <w:szCs w:val="20"/>
              </w:rPr>
              <w:t>4</w:t>
            </w:r>
          </w:p>
        </w:tc>
        <w:tc>
          <w:tcPr>
            <w:tcW w:w="1125" w:type="dxa"/>
            <w:tcBorders>
              <w:top w:val="single" w:sz="4" w:space="0" w:color="auto"/>
              <w:left w:val="single" w:sz="4" w:space="0" w:color="auto"/>
              <w:bottom w:val="single" w:sz="4" w:space="0" w:color="auto"/>
              <w:right w:val="single" w:sz="4" w:space="0" w:color="auto"/>
            </w:tcBorders>
          </w:tcPr>
          <w:p w14:paraId="4736CF79" w14:textId="07731512" w:rsidR="00A17419" w:rsidRPr="0077128B" w:rsidRDefault="0052086A" w:rsidP="008E7F18">
            <w:pPr>
              <w:spacing w:after="0"/>
              <w:jc w:val="center"/>
              <w:rPr>
                <w:rFonts w:cstheme="minorHAnsi"/>
                <w:color w:val="FF0000"/>
                <w:sz w:val="20"/>
                <w:szCs w:val="20"/>
              </w:rPr>
            </w:pPr>
            <w:r w:rsidRPr="006A755F">
              <w:rPr>
                <w:rFonts w:cstheme="minorHAnsi"/>
                <w:sz w:val="20"/>
                <w:szCs w:val="20"/>
              </w:rPr>
              <w:t>5</w:t>
            </w:r>
          </w:p>
        </w:tc>
        <w:tc>
          <w:tcPr>
            <w:tcW w:w="754" w:type="dxa"/>
            <w:tcBorders>
              <w:top w:val="single" w:sz="4" w:space="0" w:color="auto"/>
              <w:left w:val="single" w:sz="4" w:space="0" w:color="auto"/>
              <w:bottom w:val="single" w:sz="4" w:space="0" w:color="auto"/>
              <w:right w:val="single" w:sz="4" w:space="0" w:color="auto"/>
            </w:tcBorders>
          </w:tcPr>
          <w:p w14:paraId="1CC22C7A" w14:textId="64FBFD1F" w:rsidR="00A17419" w:rsidRPr="0077128B" w:rsidRDefault="0052086A" w:rsidP="008E7F18">
            <w:pPr>
              <w:spacing w:after="0"/>
              <w:jc w:val="center"/>
              <w:rPr>
                <w:rFonts w:cstheme="minorHAnsi"/>
                <w:color w:val="FF0000"/>
                <w:sz w:val="20"/>
                <w:szCs w:val="20"/>
              </w:rPr>
            </w:pPr>
            <w:r w:rsidRPr="006A755F">
              <w:rPr>
                <w:rFonts w:cstheme="minorHAnsi"/>
                <w:sz w:val="20"/>
                <w:szCs w:val="20"/>
              </w:rPr>
              <w:t>5/1</w:t>
            </w:r>
          </w:p>
        </w:tc>
      </w:tr>
      <w:tr w:rsidR="002F1BE7" w:rsidRPr="002F1BE7" w14:paraId="116B5F55" w14:textId="77777777" w:rsidTr="008E7F18">
        <w:trPr>
          <w:trHeight w:val="388"/>
          <w:tblHeader/>
        </w:trPr>
        <w:tc>
          <w:tcPr>
            <w:tcW w:w="2760" w:type="dxa"/>
            <w:tcBorders>
              <w:top w:val="single" w:sz="4" w:space="0" w:color="auto"/>
              <w:left w:val="single" w:sz="4" w:space="0" w:color="auto"/>
              <w:bottom w:val="single" w:sz="4" w:space="0" w:color="auto"/>
              <w:right w:val="single" w:sz="4" w:space="0" w:color="auto"/>
            </w:tcBorders>
            <w:shd w:val="pct12" w:color="auto" w:fill="auto"/>
          </w:tcPr>
          <w:p w14:paraId="5285146F" w14:textId="24916973" w:rsidR="00A17419" w:rsidRPr="0077128B" w:rsidRDefault="0052086A" w:rsidP="008E7F18">
            <w:pPr>
              <w:spacing w:before="60" w:after="60"/>
              <w:rPr>
                <w:rFonts w:cstheme="minorHAnsi"/>
                <w:b/>
                <w:bCs/>
                <w:color w:val="FF0000"/>
                <w:sz w:val="20"/>
                <w:szCs w:val="20"/>
              </w:rPr>
            </w:pPr>
            <w:r w:rsidRPr="006A755F">
              <w:rPr>
                <w:rFonts w:cstheme="minorHAnsi"/>
                <w:b/>
                <w:bCs/>
                <w:sz w:val="20"/>
                <w:szCs w:val="20"/>
              </w:rPr>
              <w:t xml:space="preserve">Výdaje RIS ZED celkem </w:t>
            </w:r>
            <w:r w:rsidRPr="006A755F">
              <w:rPr>
                <w:rFonts w:cstheme="minorHAnsi"/>
                <w:bCs/>
                <w:sz w:val="20"/>
                <w:szCs w:val="20"/>
              </w:rPr>
              <w:t>(v tom:)</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566DCF4C" w14:textId="798723E9" w:rsidR="00A17419" w:rsidRPr="0077128B" w:rsidRDefault="0052086A" w:rsidP="008E7F18">
            <w:pPr>
              <w:spacing w:before="60" w:after="60"/>
              <w:jc w:val="right"/>
              <w:rPr>
                <w:rFonts w:cstheme="minorHAnsi"/>
                <w:b/>
                <w:bCs/>
                <w:color w:val="FF0000"/>
                <w:sz w:val="20"/>
                <w:szCs w:val="20"/>
              </w:rPr>
            </w:pPr>
            <w:r w:rsidRPr="006A755F">
              <w:rPr>
                <w:rFonts w:cstheme="minorHAnsi"/>
                <w:b/>
                <w:bCs/>
                <w:sz w:val="20"/>
                <w:szCs w:val="20"/>
              </w:rPr>
              <w:t>27 118 480</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4DB682CE" w14:textId="50799841" w:rsidR="00A17419" w:rsidRPr="0077128B" w:rsidRDefault="0052086A" w:rsidP="008E7F18">
            <w:pPr>
              <w:spacing w:before="60" w:after="60"/>
              <w:jc w:val="right"/>
              <w:rPr>
                <w:rFonts w:cstheme="minorHAnsi"/>
                <w:b/>
                <w:bCs/>
                <w:color w:val="FF0000"/>
                <w:sz w:val="20"/>
                <w:szCs w:val="20"/>
              </w:rPr>
            </w:pPr>
            <w:r>
              <w:rPr>
                <w:rFonts w:cstheme="minorHAnsi"/>
                <w:b/>
                <w:bCs/>
                <w:sz w:val="20"/>
                <w:szCs w:val="20"/>
              </w:rPr>
              <w:t>27 995 000</w:t>
            </w:r>
          </w:p>
        </w:tc>
        <w:tc>
          <w:tcPr>
            <w:tcW w:w="1249" w:type="dxa"/>
            <w:tcBorders>
              <w:top w:val="single" w:sz="4" w:space="0" w:color="auto"/>
              <w:left w:val="single" w:sz="4" w:space="0" w:color="auto"/>
              <w:bottom w:val="single" w:sz="4" w:space="0" w:color="auto"/>
              <w:right w:val="single" w:sz="4" w:space="0" w:color="auto"/>
            </w:tcBorders>
            <w:shd w:val="pct12" w:color="auto" w:fill="auto"/>
            <w:vAlign w:val="center"/>
          </w:tcPr>
          <w:p w14:paraId="6DC4FDC3" w14:textId="63D2E421" w:rsidR="00A17419" w:rsidRPr="0077128B" w:rsidRDefault="0052086A" w:rsidP="008E7F18">
            <w:pPr>
              <w:spacing w:before="60" w:after="60"/>
              <w:jc w:val="right"/>
              <w:rPr>
                <w:rFonts w:cstheme="minorHAnsi"/>
                <w:b/>
                <w:bCs/>
                <w:color w:val="FF0000"/>
                <w:sz w:val="20"/>
                <w:szCs w:val="20"/>
              </w:rPr>
            </w:pPr>
            <w:r>
              <w:rPr>
                <w:rFonts w:cstheme="minorHAnsi"/>
                <w:b/>
                <w:bCs/>
                <w:sz w:val="20"/>
                <w:szCs w:val="20"/>
              </w:rPr>
              <w:t>27 970 500</w:t>
            </w:r>
          </w:p>
        </w:tc>
        <w:tc>
          <w:tcPr>
            <w:tcW w:w="1125" w:type="dxa"/>
            <w:tcBorders>
              <w:top w:val="single" w:sz="4" w:space="0" w:color="auto"/>
              <w:left w:val="single" w:sz="4" w:space="0" w:color="auto"/>
              <w:bottom w:val="single" w:sz="4" w:space="0" w:color="auto"/>
              <w:right w:val="single" w:sz="4" w:space="0" w:color="auto"/>
            </w:tcBorders>
            <w:shd w:val="pct12" w:color="auto" w:fill="auto"/>
          </w:tcPr>
          <w:p w14:paraId="39481561" w14:textId="2C86C31F" w:rsidR="00A17419" w:rsidRPr="0077128B" w:rsidRDefault="0052086A" w:rsidP="008E7F18">
            <w:pPr>
              <w:spacing w:before="60" w:after="60"/>
              <w:jc w:val="right"/>
              <w:rPr>
                <w:rFonts w:cstheme="minorHAnsi"/>
                <w:b/>
                <w:bCs/>
                <w:color w:val="FF0000"/>
                <w:sz w:val="20"/>
                <w:szCs w:val="20"/>
              </w:rPr>
            </w:pPr>
            <w:r>
              <w:rPr>
                <w:rFonts w:cstheme="minorHAnsi"/>
                <w:b/>
                <w:bCs/>
                <w:sz w:val="20"/>
                <w:szCs w:val="20"/>
              </w:rPr>
              <w:t>29 582 377</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1D6907AD" w14:textId="48F83CC6" w:rsidR="00A17419" w:rsidRPr="0077128B" w:rsidRDefault="0052086A" w:rsidP="008E7F18">
            <w:pPr>
              <w:spacing w:before="60" w:after="60"/>
              <w:jc w:val="right"/>
              <w:rPr>
                <w:rFonts w:cstheme="minorHAnsi"/>
                <w:b/>
                <w:bCs/>
                <w:color w:val="FF0000"/>
                <w:sz w:val="20"/>
                <w:szCs w:val="20"/>
              </w:rPr>
            </w:pPr>
            <w:r>
              <w:rPr>
                <w:rFonts w:cstheme="minorHAnsi"/>
                <w:b/>
                <w:bCs/>
                <w:sz w:val="20"/>
                <w:szCs w:val="20"/>
              </w:rPr>
              <w:t>22 208 862</w:t>
            </w:r>
          </w:p>
        </w:tc>
        <w:tc>
          <w:tcPr>
            <w:tcW w:w="754" w:type="dxa"/>
            <w:tcBorders>
              <w:top w:val="single" w:sz="4" w:space="0" w:color="auto"/>
              <w:left w:val="single" w:sz="4" w:space="0" w:color="auto"/>
              <w:bottom w:val="single" w:sz="4" w:space="0" w:color="auto"/>
              <w:right w:val="single" w:sz="4" w:space="0" w:color="auto"/>
            </w:tcBorders>
            <w:shd w:val="pct12" w:color="auto" w:fill="auto"/>
            <w:vAlign w:val="center"/>
          </w:tcPr>
          <w:p w14:paraId="61583EBA" w14:textId="764060D4" w:rsidR="00A17419" w:rsidRPr="0077128B" w:rsidRDefault="0052086A" w:rsidP="008E7F18">
            <w:pPr>
              <w:spacing w:before="60" w:after="60"/>
              <w:jc w:val="right"/>
              <w:rPr>
                <w:rFonts w:cstheme="minorHAnsi"/>
                <w:b/>
                <w:bCs/>
                <w:color w:val="FF0000"/>
                <w:sz w:val="20"/>
                <w:szCs w:val="20"/>
              </w:rPr>
            </w:pPr>
            <w:r>
              <w:rPr>
                <w:rFonts w:cstheme="minorHAnsi"/>
                <w:b/>
                <w:bCs/>
                <w:sz w:val="20"/>
                <w:szCs w:val="20"/>
              </w:rPr>
              <w:t>81,9</w:t>
            </w:r>
          </w:p>
        </w:tc>
      </w:tr>
      <w:tr w:rsidR="002F1BE7" w:rsidRPr="0044012B" w14:paraId="2ED32F5E" w14:textId="77777777" w:rsidTr="008E7F18">
        <w:trPr>
          <w:trHeight w:val="388"/>
          <w:tblHeader/>
        </w:trPr>
        <w:tc>
          <w:tcPr>
            <w:tcW w:w="2760" w:type="dxa"/>
            <w:tcBorders>
              <w:top w:val="single" w:sz="4" w:space="0" w:color="auto"/>
              <w:left w:val="single" w:sz="4" w:space="0" w:color="auto"/>
              <w:bottom w:val="nil"/>
              <w:right w:val="single" w:sz="4" w:space="0" w:color="auto"/>
            </w:tcBorders>
          </w:tcPr>
          <w:p w14:paraId="5F34F9B9" w14:textId="1AF755A7" w:rsidR="00A17419" w:rsidRPr="0077128B" w:rsidRDefault="0052086A" w:rsidP="008E7F18">
            <w:pPr>
              <w:spacing w:before="60" w:after="60"/>
              <w:rPr>
                <w:rFonts w:cstheme="minorHAnsi"/>
                <w:b/>
                <w:bCs/>
                <w:color w:val="FF0000"/>
                <w:sz w:val="20"/>
                <w:szCs w:val="20"/>
              </w:rPr>
            </w:pPr>
            <w:r w:rsidRPr="006A755F">
              <w:rPr>
                <w:rFonts w:cstheme="minorHAnsi"/>
                <w:b/>
                <w:bCs/>
                <w:color w:val="2E74B5" w:themeColor="accent1" w:themeShade="BF"/>
                <w:sz w:val="20"/>
                <w:szCs w:val="20"/>
              </w:rPr>
              <w:t xml:space="preserve">Běžné výdaje </w:t>
            </w:r>
            <w:r w:rsidRPr="006A755F">
              <w:rPr>
                <w:rFonts w:cstheme="minorHAnsi"/>
                <w:bCs/>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0E5D10BE" w14:textId="1D9D9514" w:rsidR="00A17419" w:rsidRPr="0077128B" w:rsidRDefault="0052086A" w:rsidP="008E7F18">
            <w:pPr>
              <w:spacing w:before="60" w:after="60"/>
              <w:jc w:val="right"/>
              <w:rPr>
                <w:rFonts w:cstheme="minorHAnsi"/>
                <w:b/>
                <w:bCs/>
                <w:color w:val="FF0000"/>
                <w:sz w:val="20"/>
                <w:szCs w:val="20"/>
              </w:rPr>
            </w:pPr>
            <w:r w:rsidRPr="006A755F">
              <w:rPr>
                <w:rFonts w:cstheme="minorHAnsi"/>
                <w:b/>
                <w:bCs/>
                <w:color w:val="2E74B5" w:themeColor="accent1" w:themeShade="BF"/>
                <w:sz w:val="20"/>
                <w:szCs w:val="20"/>
              </w:rPr>
              <w:t>3 940 151</w:t>
            </w:r>
          </w:p>
        </w:tc>
        <w:tc>
          <w:tcPr>
            <w:tcW w:w="1134" w:type="dxa"/>
            <w:tcBorders>
              <w:top w:val="single" w:sz="4" w:space="0" w:color="auto"/>
              <w:left w:val="single" w:sz="4" w:space="0" w:color="auto"/>
              <w:bottom w:val="nil"/>
              <w:right w:val="single" w:sz="4" w:space="0" w:color="auto"/>
            </w:tcBorders>
            <w:vAlign w:val="center"/>
          </w:tcPr>
          <w:p w14:paraId="2357F708" w14:textId="416CD697" w:rsidR="00A17419" w:rsidRPr="0077128B" w:rsidRDefault="0052086A" w:rsidP="008E7F18">
            <w:pPr>
              <w:spacing w:before="60" w:after="60"/>
              <w:jc w:val="right"/>
              <w:rPr>
                <w:rFonts w:cstheme="minorHAnsi"/>
                <w:b/>
                <w:bCs/>
                <w:color w:val="FF0000"/>
                <w:sz w:val="20"/>
                <w:szCs w:val="20"/>
              </w:rPr>
            </w:pPr>
            <w:r>
              <w:rPr>
                <w:rFonts w:cstheme="minorHAnsi"/>
                <w:b/>
                <w:bCs/>
                <w:color w:val="2E74B5" w:themeColor="accent1" w:themeShade="BF"/>
                <w:sz w:val="20"/>
                <w:szCs w:val="20"/>
              </w:rPr>
              <w:t>4 361 307</w:t>
            </w:r>
          </w:p>
        </w:tc>
        <w:tc>
          <w:tcPr>
            <w:tcW w:w="1249" w:type="dxa"/>
            <w:tcBorders>
              <w:top w:val="single" w:sz="4" w:space="0" w:color="auto"/>
              <w:left w:val="single" w:sz="4" w:space="0" w:color="auto"/>
              <w:bottom w:val="nil"/>
              <w:right w:val="single" w:sz="4" w:space="0" w:color="auto"/>
            </w:tcBorders>
            <w:vAlign w:val="center"/>
          </w:tcPr>
          <w:p w14:paraId="00ACB59E" w14:textId="07712CC9" w:rsidR="00A17419" w:rsidRPr="0077128B" w:rsidRDefault="0052086A" w:rsidP="008E7F18">
            <w:pPr>
              <w:spacing w:before="60" w:after="60"/>
              <w:jc w:val="right"/>
              <w:rPr>
                <w:rFonts w:cstheme="minorHAnsi"/>
                <w:b/>
                <w:bCs/>
                <w:color w:val="FF0000"/>
                <w:sz w:val="20"/>
                <w:szCs w:val="20"/>
              </w:rPr>
            </w:pPr>
            <w:r>
              <w:rPr>
                <w:rFonts w:cstheme="minorHAnsi"/>
                <w:b/>
                <w:bCs/>
                <w:color w:val="2E74B5" w:themeColor="accent1" w:themeShade="BF"/>
                <w:sz w:val="20"/>
                <w:szCs w:val="20"/>
              </w:rPr>
              <w:t>3 841 470</w:t>
            </w:r>
          </w:p>
        </w:tc>
        <w:tc>
          <w:tcPr>
            <w:tcW w:w="1125" w:type="dxa"/>
            <w:tcBorders>
              <w:top w:val="single" w:sz="4" w:space="0" w:color="auto"/>
              <w:left w:val="single" w:sz="4" w:space="0" w:color="auto"/>
              <w:bottom w:val="nil"/>
              <w:right w:val="single" w:sz="4" w:space="0" w:color="auto"/>
            </w:tcBorders>
            <w:vAlign w:val="center"/>
          </w:tcPr>
          <w:p w14:paraId="7CC01B5A" w14:textId="1BCFCAE7" w:rsidR="00A17419" w:rsidRPr="0077128B" w:rsidRDefault="0052086A" w:rsidP="008E7F18">
            <w:pPr>
              <w:spacing w:before="60" w:after="60"/>
              <w:jc w:val="right"/>
              <w:rPr>
                <w:rFonts w:cstheme="minorHAnsi"/>
                <w:b/>
                <w:bCs/>
                <w:color w:val="FF0000"/>
                <w:sz w:val="20"/>
                <w:szCs w:val="20"/>
              </w:rPr>
            </w:pPr>
            <w:r>
              <w:rPr>
                <w:rFonts w:cstheme="minorHAnsi"/>
                <w:b/>
                <w:bCs/>
                <w:color w:val="2E74B5" w:themeColor="accent1" w:themeShade="BF"/>
                <w:sz w:val="20"/>
                <w:szCs w:val="20"/>
              </w:rPr>
              <w:t>4 178 974</w:t>
            </w:r>
          </w:p>
        </w:tc>
        <w:tc>
          <w:tcPr>
            <w:tcW w:w="1125" w:type="dxa"/>
            <w:tcBorders>
              <w:top w:val="single" w:sz="4" w:space="0" w:color="auto"/>
              <w:left w:val="single" w:sz="4" w:space="0" w:color="auto"/>
              <w:bottom w:val="nil"/>
              <w:right w:val="single" w:sz="4" w:space="0" w:color="auto"/>
            </w:tcBorders>
            <w:vAlign w:val="center"/>
          </w:tcPr>
          <w:p w14:paraId="70E64B4C" w14:textId="0DA7B605" w:rsidR="00A17419" w:rsidRPr="0077128B" w:rsidRDefault="0052086A" w:rsidP="008E7F18">
            <w:pPr>
              <w:spacing w:before="60" w:after="60"/>
              <w:jc w:val="right"/>
              <w:rPr>
                <w:rFonts w:cstheme="minorHAnsi"/>
                <w:b/>
                <w:bCs/>
                <w:color w:val="FF0000"/>
                <w:sz w:val="20"/>
                <w:szCs w:val="20"/>
              </w:rPr>
            </w:pPr>
            <w:r>
              <w:rPr>
                <w:rFonts w:cstheme="minorHAnsi"/>
                <w:b/>
                <w:bCs/>
                <w:color w:val="2E74B5" w:themeColor="accent1" w:themeShade="BF"/>
                <w:sz w:val="20"/>
                <w:szCs w:val="20"/>
              </w:rPr>
              <w:t>3 895 525</w:t>
            </w:r>
          </w:p>
        </w:tc>
        <w:tc>
          <w:tcPr>
            <w:tcW w:w="754" w:type="dxa"/>
            <w:tcBorders>
              <w:top w:val="single" w:sz="4" w:space="0" w:color="auto"/>
              <w:left w:val="single" w:sz="4" w:space="0" w:color="auto"/>
              <w:bottom w:val="nil"/>
              <w:right w:val="single" w:sz="4" w:space="0" w:color="auto"/>
            </w:tcBorders>
            <w:vAlign w:val="center"/>
          </w:tcPr>
          <w:p w14:paraId="4DE394E0" w14:textId="75FE96D5" w:rsidR="00A17419" w:rsidRPr="0077128B" w:rsidRDefault="0052086A" w:rsidP="008E7F18">
            <w:pPr>
              <w:spacing w:before="60" w:after="60"/>
              <w:jc w:val="right"/>
              <w:rPr>
                <w:rFonts w:cstheme="minorHAnsi"/>
                <w:b/>
                <w:bCs/>
                <w:color w:val="FF0000"/>
                <w:sz w:val="20"/>
                <w:szCs w:val="20"/>
              </w:rPr>
            </w:pPr>
            <w:r>
              <w:rPr>
                <w:rFonts w:cstheme="minorHAnsi"/>
                <w:b/>
                <w:bCs/>
                <w:color w:val="2E74B5" w:themeColor="accent1" w:themeShade="BF"/>
                <w:sz w:val="20"/>
                <w:szCs w:val="20"/>
              </w:rPr>
              <w:t>98,9</w:t>
            </w:r>
          </w:p>
        </w:tc>
      </w:tr>
      <w:tr w:rsidR="002F1BE7" w:rsidRPr="0044012B" w14:paraId="1CF0EC85" w14:textId="77777777" w:rsidTr="008E7F18">
        <w:trPr>
          <w:tblHeader/>
        </w:trPr>
        <w:tc>
          <w:tcPr>
            <w:tcW w:w="2760" w:type="dxa"/>
            <w:tcBorders>
              <w:top w:val="nil"/>
              <w:left w:val="single" w:sz="4" w:space="0" w:color="auto"/>
              <w:bottom w:val="nil"/>
              <w:right w:val="single" w:sz="4" w:space="0" w:color="auto"/>
            </w:tcBorders>
          </w:tcPr>
          <w:p w14:paraId="76CCE264" w14:textId="42ED7259" w:rsidR="00A17419" w:rsidRPr="0077128B" w:rsidRDefault="0052086A" w:rsidP="008E7F18">
            <w:pPr>
              <w:spacing w:before="60" w:after="60"/>
              <w:jc w:val="both"/>
              <w:rPr>
                <w:rFonts w:cstheme="minorHAnsi"/>
                <w:color w:val="FF0000"/>
                <w:sz w:val="20"/>
                <w:szCs w:val="20"/>
              </w:rPr>
            </w:pPr>
            <w:r w:rsidRPr="006A755F">
              <w:rPr>
                <w:rFonts w:cstheme="minorHAnsi"/>
                <w:sz w:val="20"/>
                <w:szCs w:val="20"/>
              </w:rPr>
              <w:t xml:space="preserve">prostředky EU </w:t>
            </w:r>
          </w:p>
        </w:tc>
        <w:tc>
          <w:tcPr>
            <w:tcW w:w="1134" w:type="dxa"/>
            <w:tcBorders>
              <w:top w:val="nil"/>
              <w:left w:val="single" w:sz="4" w:space="0" w:color="auto"/>
              <w:bottom w:val="nil"/>
              <w:right w:val="single" w:sz="4" w:space="0" w:color="auto"/>
            </w:tcBorders>
            <w:vAlign w:val="center"/>
          </w:tcPr>
          <w:p w14:paraId="2D160DD7" w14:textId="2A489BAC" w:rsidR="00A17419" w:rsidRPr="0077128B" w:rsidRDefault="0052086A" w:rsidP="008E7F18">
            <w:pPr>
              <w:spacing w:before="60" w:after="60"/>
              <w:jc w:val="right"/>
              <w:rPr>
                <w:rFonts w:cstheme="minorHAnsi"/>
                <w:color w:val="FF0000"/>
                <w:sz w:val="20"/>
                <w:szCs w:val="20"/>
              </w:rPr>
            </w:pPr>
            <w:r w:rsidRPr="006A755F">
              <w:rPr>
                <w:rFonts w:cstheme="minorHAnsi"/>
                <w:sz w:val="20"/>
                <w:szCs w:val="20"/>
              </w:rPr>
              <w:t>41 757</w:t>
            </w:r>
          </w:p>
        </w:tc>
        <w:tc>
          <w:tcPr>
            <w:tcW w:w="1134" w:type="dxa"/>
            <w:tcBorders>
              <w:top w:val="nil"/>
              <w:left w:val="single" w:sz="4" w:space="0" w:color="auto"/>
              <w:bottom w:val="nil"/>
              <w:right w:val="single" w:sz="4" w:space="0" w:color="auto"/>
            </w:tcBorders>
            <w:vAlign w:val="center"/>
          </w:tcPr>
          <w:p w14:paraId="421DC028" w14:textId="3E88D912" w:rsidR="00A17419" w:rsidRPr="0077128B" w:rsidRDefault="0052086A" w:rsidP="008E7F18">
            <w:pPr>
              <w:spacing w:before="60" w:after="60"/>
              <w:jc w:val="right"/>
              <w:rPr>
                <w:rFonts w:cstheme="minorHAnsi"/>
                <w:color w:val="FF0000"/>
                <w:sz w:val="20"/>
                <w:szCs w:val="20"/>
              </w:rPr>
            </w:pPr>
            <w:r>
              <w:rPr>
                <w:rFonts w:cstheme="minorHAnsi"/>
                <w:sz w:val="20"/>
                <w:szCs w:val="20"/>
              </w:rPr>
              <w:t>517 510</w:t>
            </w:r>
          </w:p>
        </w:tc>
        <w:tc>
          <w:tcPr>
            <w:tcW w:w="1249" w:type="dxa"/>
            <w:tcBorders>
              <w:top w:val="nil"/>
              <w:left w:val="single" w:sz="4" w:space="0" w:color="auto"/>
              <w:bottom w:val="nil"/>
              <w:right w:val="single" w:sz="4" w:space="0" w:color="auto"/>
            </w:tcBorders>
            <w:vAlign w:val="center"/>
          </w:tcPr>
          <w:p w14:paraId="0A618A36" w14:textId="22FC5B3C" w:rsidR="00A17419" w:rsidRPr="0077128B" w:rsidRDefault="0052086A" w:rsidP="008E7F18">
            <w:pPr>
              <w:spacing w:before="60" w:after="60"/>
              <w:jc w:val="right"/>
              <w:rPr>
                <w:rFonts w:cstheme="minorHAnsi"/>
                <w:color w:val="FF0000"/>
                <w:sz w:val="20"/>
                <w:szCs w:val="20"/>
              </w:rPr>
            </w:pPr>
            <w:r>
              <w:rPr>
                <w:rFonts w:cstheme="minorHAnsi"/>
                <w:sz w:val="20"/>
                <w:szCs w:val="20"/>
              </w:rPr>
              <w:t>767</w:t>
            </w:r>
          </w:p>
        </w:tc>
        <w:tc>
          <w:tcPr>
            <w:tcW w:w="1125" w:type="dxa"/>
            <w:tcBorders>
              <w:top w:val="nil"/>
              <w:left w:val="single" w:sz="4" w:space="0" w:color="auto"/>
              <w:bottom w:val="nil"/>
              <w:right w:val="single" w:sz="4" w:space="0" w:color="auto"/>
            </w:tcBorders>
            <w:vAlign w:val="center"/>
          </w:tcPr>
          <w:p w14:paraId="5AFFFEA0" w14:textId="4644E284" w:rsidR="00A17419" w:rsidRPr="0077128B" w:rsidRDefault="0052086A" w:rsidP="008E7F18">
            <w:pPr>
              <w:spacing w:before="60" w:after="60"/>
              <w:jc w:val="right"/>
              <w:rPr>
                <w:rFonts w:cstheme="minorHAnsi"/>
                <w:color w:val="FF0000"/>
                <w:sz w:val="20"/>
                <w:szCs w:val="20"/>
              </w:rPr>
            </w:pPr>
            <w:r>
              <w:rPr>
                <w:rFonts w:cstheme="minorHAnsi"/>
                <w:sz w:val="20"/>
                <w:szCs w:val="20"/>
              </w:rPr>
              <w:t>113 770</w:t>
            </w:r>
          </w:p>
        </w:tc>
        <w:tc>
          <w:tcPr>
            <w:tcW w:w="1125" w:type="dxa"/>
            <w:tcBorders>
              <w:top w:val="nil"/>
              <w:left w:val="single" w:sz="4" w:space="0" w:color="auto"/>
              <w:bottom w:val="nil"/>
              <w:right w:val="single" w:sz="4" w:space="0" w:color="auto"/>
            </w:tcBorders>
            <w:vAlign w:val="center"/>
          </w:tcPr>
          <w:p w14:paraId="29D82521" w14:textId="10A8D9A3" w:rsidR="00A17419" w:rsidRPr="0077128B" w:rsidRDefault="0052086A" w:rsidP="008E7F18">
            <w:pPr>
              <w:spacing w:before="60" w:after="60"/>
              <w:jc w:val="right"/>
              <w:rPr>
                <w:rFonts w:cstheme="minorHAnsi"/>
                <w:color w:val="FF0000"/>
                <w:sz w:val="20"/>
                <w:szCs w:val="20"/>
              </w:rPr>
            </w:pPr>
            <w:r>
              <w:rPr>
                <w:rFonts w:cstheme="minorHAnsi"/>
                <w:sz w:val="20"/>
                <w:szCs w:val="20"/>
              </w:rPr>
              <w:t>50 815</w:t>
            </w:r>
          </w:p>
        </w:tc>
        <w:tc>
          <w:tcPr>
            <w:tcW w:w="754" w:type="dxa"/>
            <w:tcBorders>
              <w:top w:val="nil"/>
              <w:left w:val="single" w:sz="4" w:space="0" w:color="auto"/>
              <w:bottom w:val="nil"/>
              <w:right w:val="single" w:sz="4" w:space="0" w:color="auto"/>
            </w:tcBorders>
            <w:vAlign w:val="center"/>
          </w:tcPr>
          <w:p w14:paraId="64153722" w14:textId="38B1E98E" w:rsidR="00A17419" w:rsidRPr="0077128B" w:rsidRDefault="0052086A" w:rsidP="008E7F18">
            <w:pPr>
              <w:spacing w:before="60" w:after="60"/>
              <w:jc w:val="right"/>
              <w:rPr>
                <w:rFonts w:cstheme="minorHAnsi"/>
                <w:color w:val="FF0000"/>
                <w:sz w:val="20"/>
                <w:szCs w:val="20"/>
              </w:rPr>
            </w:pPr>
            <w:r>
              <w:rPr>
                <w:rFonts w:cstheme="minorHAnsi"/>
                <w:sz w:val="20"/>
                <w:szCs w:val="20"/>
              </w:rPr>
              <w:t>121,7</w:t>
            </w:r>
          </w:p>
        </w:tc>
      </w:tr>
      <w:tr w:rsidR="002F1BE7" w:rsidRPr="0044012B" w14:paraId="7A170B6D" w14:textId="77777777" w:rsidTr="008E7F18">
        <w:trPr>
          <w:tblHeader/>
        </w:trPr>
        <w:tc>
          <w:tcPr>
            <w:tcW w:w="2760" w:type="dxa"/>
            <w:tcBorders>
              <w:top w:val="single" w:sz="4" w:space="0" w:color="auto"/>
              <w:left w:val="single" w:sz="4" w:space="0" w:color="auto"/>
              <w:bottom w:val="nil"/>
              <w:right w:val="single" w:sz="4" w:space="0" w:color="auto"/>
            </w:tcBorders>
          </w:tcPr>
          <w:p w14:paraId="61AE63A3" w14:textId="37721F8F" w:rsidR="00A17419" w:rsidRPr="0077128B" w:rsidRDefault="0052086A" w:rsidP="008E7F18">
            <w:pPr>
              <w:spacing w:before="60" w:after="60"/>
              <w:jc w:val="both"/>
              <w:rPr>
                <w:rFonts w:cstheme="minorHAnsi"/>
                <w:b/>
                <w:color w:val="FF0000"/>
                <w:sz w:val="20"/>
                <w:szCs w:val="20"/>
              </w:rPr>
            </w:pPr>
            <w:r w:rsidRPr="006A755F">
              <w:rPr>
                <w:rFonts w:cstheme="minorHAnsi"/>
                <w:b/>
                <w:color w:val="2E74B5" w:themeColor="accent1" w:themeShade="BF"/>
                <w:sz w:val="20"/>
                <w:szCs w:val="20"/>
              </w:rPr>
              <w:t xml:space="preserve">Kapitálové výdaje </w:t>
            </w:r>
            <w:r w:rsidRPr="006A755F">
              <w:rPr>
                <w:rFonts w:cstheme="minorHAnsi"/>
                <w:color w:val="2E74B5" w:themeColor="accent1" w:themeShade="BF"/>
                <w:sz w:val="20"/>
                <w:szCs w:val="20"/>
              </w:rPr>
              <w:t>(z toho:)</w:t>
            </w:r>
          </w:p>
        </w:tc>
        <w:tc>
          <w:tcPr>
            <w:tcW w:w="1134" w:type="dxa"/>
            <w:tcBorders>
              <w:top w:val="single" w:sz="4" w:space="0" w:color="auto"/>
              <w:left w:val="single" w:sz="4" w:space="0" w:color="auto"/>
              <w:bottom w:val="nil"/>
              <w:right w:val="single" w:sz="4" w:space="0" w:color="auto"/>
            </w:tcBorders>
            <w:vAlign w:val="center"/>
          </w:tcPr>
          <w:p w14:paraId="7A313C54" w14:textId="30318F36" w:rsidR="00A17419" w:rsidRPr="0077128B" w:rsidRDefault="0052086A" w:rsidP="008E7F18">
            <w:pPr>
              <w:spacing w:before="60" w:after="60"/>
              <w:jc w:val="right"/>
              <w:rPr>
                <w:rFonts w:cstheme="minorHAnsi"/>
                <w:b/>
                <w:color w:val="FF0000"/>
                <w:sz w:val="20"/>
                <w:szCs w:val="20"/>
              </w:rPr>
            </w:pPr>
            <w:r w:rsidRPr="006A755F">
              <w:rPr>
                <w:rFonts w:cstheme="minorHAnsi"/>
                <w:b/>
                <w:color w:val="2E74B5" w:themeColor="accent1" w:themeShade="BF"/>
                <w:sz w:val="20"/>
                <w:szCs w:val="20"/>
              </w:rPr>
              <w:t>23 178 329</w:t>
            </w:r>
          </w:p>
        </w:tc>
        <w:tc>
          <w:tcPr>
            <w:tcW w:w="1134" w:type="dxa"/>
            <w:tcBorders>
              <w:top w:val="single" w:sz="4" w:space="0" w:color="auto"/>
              <w:left w:val="single" w:sz="4" w:space="0" w:color="auto"/>
              <w:bottom w:val="nil"/>
              <w:right w:val="single" w:sz="4" w:space="0" w:color="auto"/>
            </w:tcBorders>
            <w:vAlign w:val="center"/>
          </w:tcPr>
          <w:p w14:paraId="4DE453BB" w14:textId="784FD16C" w:rsidR="00A17419" w:rsidRPr="0077128B" w:rsidRDefault="0052086A" w:rsidP="008E7F18">
            <w:pPr>
              <w:spacing w:before="60" w:after="60"/>
              <w:jc w:val="right"/>
              <w:rPr>
                <w:rFonts w:cstheme="minorHAnsi"/>
                <w:b/>
                <w:color w:val="FF0000"/>
                <w:sz w:val="20"/>
                <w:szCs w:val="20"/>
              </w:rPr>
            </w:pPr>
            <w:r>
              <w:rPr>
                <w:rFonts w:cstheme="minorHAnsi"/>
                <w:b/>
                <w:color w:val="2E74B5" w:themeColor="accent1" w:themeShade="BF"/>
                <w:sz w:val="20"/>
                <w:szCs w:val="20"/>
              </w:rPr>
              <w:t>23 633 693</w:t>
            </w:r>
          </w:p>
        </w:tc>
        <w:tc>
          <w:tcPr>
            <w:tcW w:w="1249" w:type="dxa"/>
            <w:tcBorders>
              <w:top w:val="single" w:sz="4" w:space="0" w:color="auto"/>
              <w:left w:val="single" w:sz="4" w:space="0" w:color="auto"/>
              <w:bottom w:val="nil"/>
              <w:right w:val="single" w:sz="4" w:space="0" w:color="auto"/>
            </w:tcBorders>
            <w:vAlign w:val="center"/>
          </w:tcPr>
          <w:p w14:paraId="4B6D1875" w14:textId="29220F07" w:rsidR="00A17419" w:rsidRPr="0077128B" w:rsidRDefault="0052086A" w:rsidP="008E7F18">
            <w:pPr>
              <w:spacing w:before="60" w:after="60"/>
              <w:jc w:val="right"/>
              <w:rPr>
                <w:rFonts w:cstheme="minorHAnsi"/>
                <w:b/>
                <w:color w:val="FF0000"/>
                <w:sz w:val="20"/>
                <w:szCs w:val="20"/>
              </w:rPr>
            </w:pPr>
            <w:r>
              <w:rPr>
                <w:rFonts w:cstheme="minorHAnsi"/>
                <w:b/>
                <w:color w:val="2E74B5" w:themeColor="accent1" w:themeShade="BF"/>
                <w:sz w:val="20"/>
                <w:szCs w:val="20"/>
              </w:rPr>
              <w:t>24 129 030</w:t>
            </w:r>
          </w:p>
        </w:tc>
        <w:tc>
          <w:tcPr>
            <w:tcW w:w="1125" w:type="dxa"/>
            <w:tcBorders>
              <w:top w:val="single" w:sz="4" w:space="0" w:color="auto"/>
              <w:left w:val="single" w:sz="4" w:space="0" w:color="auto"/>
              <w:bottom w:val="nil"/>
              <w:right w:val="single" w:sz="4" w:space="0" w:color="auto"/>
            </w:tcBorders>
            <w:vAlign w:val="center"/>
          </w:tcPr>
          <w:p w14:paraId="33500D15" w14:textId="1AA73D83" w:rsidR="00A17419" w:rsidRPr="0077128B" w:rsidRDefault="0052086A" w:rsidP="008E7F18">
            <w:pPr>
              <w:spacing w:before="60" w:after="60"/>
              <w:jc w:val="right"/>
              <w:rPr>
                <w:rFonts w:cstheme="minorHAnsi"/>
                <w:b/>
                <w:color w:val="FF0000"/>
                <w:sz w:val="20"/>
                <w:szCs w:val="20"/>
              </w:rPr>
            </w:pPr>
            <w:r>
              <w:rPr>
                <w:rFonts w:cstheme="minorHAnsi"/>
                <w:b/>
                <w:color w:val="2E74B5" w:themeColor="accent1" w:themeShade="BF"/>
                <w:sz w:val="20"/>
                <w:szCs w:val="20"/>
              </w:rPr>
              <w:t>25 403 403</w:t>
            </w:r>
          </w:p>
        </w:tc>
        <w:tc>
          <w:tcPr>
            <w:tcW w:w="1125" w:type="dxa"/>
            <w:tcBorders>
              <w:top w:val="single" w:sz="4" w:space="0" w:color="auto"/>
              <w:left w:val="single" w:sz="4" w:space="0" w:color="auto"/>
              <w:bottom w:val="nil"/>
              <w:right w:val="single" w:sz="4" w:space="0" w:color="auto"/>
            </w:tcBorders>
            <w:vAlign w:val="center"/>
          </w:tcPr>
          <w:p w14:paraId="2112AA89" w14:textId="1CEF8663" w:rsidR="00A17419" w:rsidRPr="0077128B" w:rsidRDefault="0052086A" w:rsidP="008E7F18">
            <w:pPr>
              <w:spacing w:before="60" w:after="60"/>
              <w:jc w:val="right"/>
              <w:rPr>
                <w:rFonts w:cstheme="minorHAnsi"/>
                <w:b/>
                <w:color w:val="FF0000"/>
                <w:sz w:val="20"/>
                <w:szCs w:val="20"/>
              </w:rPr>
            </w:pPr>
            <w:r>
              <w:rPr>
                <w:rFonts w:cstheme="minorHAnsi"/>
                <w:b/>
                <w:color w:val="2E74B5" w:themeColor="accent1" w:themeShade="BF"/>
                <w:sz w:val="20"/>
                <w:szCs w:val="20"/>
              </w:rPr>
              <w:t>18 313 337</w:t>
            </w:r>
          </w:p>
        </w:tc>
        <w:tc>
          <w:tcPr>
            <w:tcW w:w="754" w:type="dxa"/>
            <w:tcBorders>
              <w:top w:val="single" w:sz="4" w:space="0" w:color="auto"/>
              <w:left w:val="single" w:sz="4" w:space="0" w:color="auto"/>
              <w:bottom w:val="nil"/>
              <w:right w:val="single" w:sz="4" w:space="0" w:color="auto"/>
            </w:tcBorders>
            <w:vAlign w:val="center"/>
          </w:tcPr>
          <w:p w14:paraId="6424FD51" w14:textId="2C03357E" w:rsidR="00A17419" w:rsidRPr="0077128B" w:rsidRDefault="0052086A" w:rsidP="008E7F18">
            <w:pPr>
              <w:spacing w:before="60" w:after="60"/>
              <w:jc w:val="right"/>
              <w:rPr>
                <w:rFonts w:cstheme="minorHAnsi"/>
                <w:b/>
                <w:color w:val="FF0000"/>
                <w:sz w:val="20"/>
                <w:szCs w:val="20"/>
              </w:rPr>
            </w:pPr>
            <w:r>
              <w:rPr>
                <w:rFonts w:cstheme="minorHAnsi"/>
                <w:b/>
                <w:color w:val="2E74B5" w:themeColor="accent1" w:themeShade="BF"/>
                <w:sz w:val="20"/>
                <w:szCs w:val="20"/>
              </w:rPr>
              <w:t>79,0</w:t>
            </w:r>
          </w:p>
        </w:tc>
      </w:tr>
      <w:tr w:rsidR="002F1BE7" w:rsidRPr="0044012B" w14:paraId="034479BA" w14:textId="77777777" w:rsidTr="008E7F18">
        <w:trPr>
          <w:tblHeader/>
        </w:trPr>
        <w:tc>
          <w:tcPr>
            <w:tcW w:w="2760" w:type="dxa"/>
            <w:tcBorders>
              <w:top w:val="nil"/>
              <w:left w:val="single" w:sz="4" w:space="0" w:color="auto"/>
              <w:bottom w:val="single" w:sz="4" w:space="0" w:color="auto"/>
              <w:right w:val="single" w:sz="4" w:space="0" w:color="auto"/>
            </w:tcBorders>
          </w:tcPr>
          <w:p w14:paraId="611E503A" w14:textId="1227FF17" w:rsidR="00A17419" w:rsidRPr="0077128B" w:rsidRDefault="0052086A" w:rsidP="008E7F18">
            <w:pPr>
              <w:spacing w:before="60" w:after="60"/>
              <w:ind w:hanging="6"/>
              <w:jc w:val="both"/>
              <w:rPr>
                <w:rFonts w:cstheme="minorHAnsi"/>
                <w:color w:val="FF0000"/>
                <w:sz w:val="20"/>
                <w:szCs w:val="20"/>
              </w:rPr>
            </w:pPr>
            <w:r w:rsidRPr="006A755F">
              <w:rPr>
                <w:rFonts w:cstheme="minorHAnsi"/>
                <w:sz w:val="20"/>
                <w:szCs w:val="20"/>
              </w:rPr>
              <w:t>prostředky EU</w:t>
            </w:r>
          </w:p>
        </w:tc>
        <w:tc>
          <w:tcPr>
            <w:tcW w:w="1134" w:type="dxa"/>
            <w:tcBorders>
              <w:top w:val="nil"/>
              <w:left w:val="single" w:sz="4" w:space="0" w:color="auto"/>
              <w:bottom w:val="single" w:sz="4" w:space="0" w:color="auto"/>
              <w:right w:val="single" w:sz="4" w:space="0" w:color="auto"/>
            </w:tcBorders>
            <w:vAlign w:val="center"/>
          </w:tcPr>
          <w:p w14:paraId="62F8B62E" w14:textId="2371C071" w:rsidR="00A17419" w:rsidRPr="0077128B" w:rsidRDefault="0052086A" w:rsidP="008E7F18">
            <w:pPr>
              <w:spacing w:before="60" w:after="60"/>
              <w:jc w:val="right"/>
              <w:rPr>
                <w:rFonts w:cstheme="minorHAnsi"/>
                <w:color w:val="FF0000"/>
                <w:sz w:val="20"/>
                <w:szCs w:val="20"/>
              </w:rPr>
            </w:pPr>
            <w:r w:rsidRPr="006A755F">
              <w:rPr>
                <w:rFonts w:cstheme="minorHAnsi"/>
                <w:sz w:val="20"/>
                <w:szCs w:val="20"/>
              </w:rPr>
              <w:t>23 148 329</w:t>
            </w:r>
          </w:p>
        </w:tc>
        <w:tc>
          <w:tcPr>
            <w:tcW w:w="1134" w:type="dxa"/>
            <w:tcBorders>
              <w:top w:val="nil"/>
              <w:left w:val="single" w:sz="4" w:space="0" w:color="auto"/>
              <w:bottom w:val="single" w:sz="4" w:space="0" w:color="auto"/>
              <w:right w:val="single" w:sz="4" w:space="0" w:color="auto"/>
            </w:tcBorders>
            <w:vAlign w:val="center"/>
          </w:tcPr>
          <w:p w14:paraId="7A71FF3D" w14:textId="5DF07389" w:rsidR="00A17419" w:rsidRPr="0077128B" w:rsidRDefault="0052086A" w:rsidP="008E7F18">
            <w:pPr>
              <w:spacing w:before="60" w:after="60"/>
              <w:jc w:val="right"/>
              <w:rPr>
                <w:rFonts w:cstheme="minorHAnsi"/>
                <w:color w:val="FF0000"/>
                <w:sz w:val="20"/>
                <w:szCs w:val="20"/>
              </w:rPr>
            </w:pPr>
            <w:r>
              <w:rPr>
                <w:rFonts w:cstheme="minorHAnsi"/>
                <w:sz w:val="20"/>
                <w:szCs w:val="20"/>
              </w:rPr>
              <w:t>23 603 693</w:t>
            </w:r>
          </w:p>
        </w:tc>
        <w:tc>
          <w:tcPr>
            <w:tcW w:w="1249" w:type="dxa"/>
            <w:tcBorders>
              <w:top w:val="nil"/>
              <w:left w:val="single" w:sz="4" w:space="0" w:color="auto"/>
              <w:bottom w:val="single" w:sz="4" w:space="0" w:color="auto"/>
              <w:right w:val="single" w:sz="4" w:space="0" w:color="auto"/>
            </w:tcBorders>
            <w:vAlign w:val="center"/>
          </w:tcPr>
          <w:p w14:paraId="0259C305" w14:textId="6C8D295B" w:rsidR="00A17419" w:rsidRPr="0077128B" w:rsidRDefault="0052086A" w:rsidP="008E7F18">
            <w:pPr>
              <w:spacing w:before="60" w:after="60"/>
              <w:jc w:val="right"/>
              <w:rPr>
                <w:rFonts w:cstheme="minorHAnsi"/>
                <w:color w:val="FF0000"/>
                <w:sz w:val="20"/>
                <w:szCs w:val="20"/>
              </w:rPr>
            </w:pPr>
            <w:r>
              <w:rPr>
                <w:rFonts w:cstheme="minorHAnsi"/>
                <w:sz w:val="20"/>
                <w:szCs w:val="20"/>
              </w:rPr>
              <w:t>24 120 436</w:t>
            </w:r>
          </w:p>
        </w:tc>
        <w:tc>
          <w:tcPr>
            <w:tcW w:w="1125" w:type="dxa"/>
            <w:tcBorders>
              <w:top w:val="nil"/>
              <w:left w:val="single" w:sz="4" w:space="0" w:color="auto"/>
              <w:bottom w:val="single" w:sz="4" w:space="0" w:color="auto"/>
              <w:right w:val="single" w:sz="4" w:space="0" w:color="auto"/>
            </w:tcBorders>
            <w:vAlign w:val="center"/>
          </w:tcPr>
          <w:p w14:paraId="489B5408" w14:textId="7E78790C" w:rsidR="00A17419" w:rsidRPr="0077128B" w:rsidRDefault="0052086A" w:rsidP="008E7F18">
            <w:pPr>
              <w:spacing w:before="60" w:after="60"/>
              <w:jc w:val="right"/>
              <w:rPr>
                <w:rFonts w:cstheme="minorHAnsi"/>
                <w:color w:val="FF0000"/>
                <w:sz w:val="20"/>
                <w:szCs w:val="20"/>
              </w:rPr>
            </w:pPr>
            <w:r>
              <w:rPr>
                <w:rFonts w:cstheme="minorHAnsi"/>
                <w:sz w:val="20"/>
                <w:szCs w:val="20"/>
              </w:rPr>
              <w:t>25 394 810</w:t>
            </w:r>
          </w:p>
        </w:tc>
        <w:tc>
          <w:tcPr>
            <w:tcW w:w="1125" w:type="dxa"/>
            <w:tcBorders>
              <w:top w:val="nil"/>
              <w:left w:val="single" w:sz="4" w:space="0" w:color="auto"/>
              <w:bottom w:val="single" w:sz="4" w:space="0" w:color="auto"/>
              <w:right w:val="single" w:sz="4" w:space="0" w:color="auto"/>
            </w:tcBorders>
            <w:vAlign w:val="center"/>
          </w:tcPr>
          <w:p w14:paraId="09F3A01D" w14:textId="6EC8BE43" w:rsidR="00A17419" w:rsidRPr="0077128B" w:rsidRDefault="0052086A" w:rsidP="008E7F18">
            <w:pPr>
              <w:spacing w:before="60" w:after="60"/>
              <w:jc w:val="right"/>
              <w:rPr>
                <w:rFonts w:cstheme="minorHAnsi"/>
                <w:color w:val="FF0000"/>
                <w:sz w:val="20"/>
                <w:szCs w:val="20"/>
              </w:rPr>
            </w:pPr>
            <w:r>
              <w:rPr>
                <w:rFonts w:cstheme="minorHAnsi"/>
                <w:sz w:val="20"/>
                <w:szCs w:val="20"/>
              </w:rPr>
              <w:t>18 304 744</w:t>
            </w:r>
          </w:p>
        </w:tc>
        <w:tc>
          <w:tcPr>
            <w:tcW w:w="754" w:type="dxa"/>
            <w:tcBorders>
              <w:top w:val="nil"/>
              <w:left w:val="single" w:sz="4" w:space="0" w:color="auto"/>
              <w:bottom w:val="single" w:sz="4" w:space="0" w:color="auto"/>
              <w:right w:val="single" w:sz="4" w:space="0" w:color="auto"/>
            </w:tcBorders>
            <w:vAlign w:val="center"/>
          </w:tcPr>
          <w:p w14:paraId="62521D8C" w14:textId="263808C0" w:rsidR="00A17419" w:rsidRPr="0077128B" w:rsidRDefault="0052086A" w:rsidP="008E7F18">
            <w:pPr>
              <w:spacing w:before="60" w:after="60"/>
              <w:jc w:val="right"/>
              <w:rPr>
                <w:rFonts w:cstheme="minorHAnsi"/>
                <w:color w:val="FF0000"/>
                <w:sz w:val="20"/>
                <w:szCs w:val="20"/>
              </w:rPr>
            </w:pPr>
            <w:r>
              <w:rPr>
                <w:rFonts w:cstheme="minorHAnsi"/>
                <w:sz w:val="20"/>
                <w:szCs w:val="20"/>
              </w:rPr>
              <w:t>79,0</w:t>
            </w:r>
          </w:p>
        </w:tc>
      </w:tr>
    </w:tbl>
    <w:p w14:paraId="10299CF6" w14:textId="77777777" w:rsidR="00CC01C6" w:rsidRPr="00CC01C6" w:rsidRDefault="00CC01C6" w:rsidP="00CC01C6">
      <w:pPr>
        <w:keepLines/>
        <w:spacing w:before="240" w:after="240" w:line="276" w:lineRule="auto"/>
        <w:jc w:val="both"/>
        <w:rPr>
          <w:rFonts w:eastAsia="Times New Roman" w:cs="Times New Roman"/>
          <w:sz w:val="24"/>
          <w:szCs w:val="20"/>
          <w:lang w:eastAsia="cs-CZ"/>
        </w:rPr>
      </w:pPr>
      <w:r w:rsidRPr="00CC01C6">
        <w:rPr>
          <w:rFonts w:eastAsia="Times New Roman" w:cs="Times New Roman"/>
          <w:sz w:val="24"/>
          <w:szCs w:val="20"/>
          <w:lang w:eastAsia="cs-CZ"/>
        </w:rPr>
        <w:t>V rámci modulu RIS ZED jsou evidovány dotace v rámci programu:</w:t>
      </w:r>
    </w:p>
    <w:p w14:paraId="27773068" w14:textId="77777777" w:rsidR="00CC01C6" w:rsidRPr="00CC01C6" w:rsidRDefault="00CC01C6" w:rsidP="00CC01C6">
      <w:pPr>
        <w:numPr>
          <w:ilvl w:val="0"/>
          <w:numId w:val="10"/>
        </w:numPr>
        <w:spacing w:before="120" w:after="120" w:line="276" w:lineRule="auto"/>
        <w:ind w:left="714" w:hanging="357"/>
        <w:jc w:val="both"/>
        <w:rPr>
          <w:sz w:val="24"/>
          <w:szCs w:val="24"/>
          <w:lang w:eastAsia="cs-CZ"/>
        </w:rPr>
      </w:pPr>
      <w:r w:rsidRPr="00CC01C6">
        <w:rPr>
          <w:sz w:val="24"/>
          <w:szCs w:val="24"/>
          <w:lang w:eastAsia="cs-CZ"/>
        </w:rPr>
        <w:t>Z27 01 Dotace pro Státní fond dopravní infrastruktury</w:t>
      </w:r>
    </w:p>
    <w:p w14:paraId="2288D19C" w14:textId="77777777" w:rsidR="00CC01C6" w:rsidRPr="00CC01C6" w:rsidRDefault="00CC01C6" w:rsidP="00CC01C6">
      <w:pPr>
        <w:numPr>
          <w:ilvl w:val="0"/>
          <w:numId w:val="10"/>
        </w:numPr>
        <w:spacing w:before="120" w:after="120" w:line="276" w:lineRule="auto"/>
        <w:ind w:left="714" w:hanging="357"/>
        <w:jc w:val="both"/>
        <w:rPr>
          <w:sz w:val="24"/>
          <w:szCs w:val="24"/>
          <w:lang w:eastAsia="cs-CZ"/>
        </w:rPr>
      </w:pPr>
      <w:r w:rsidRPr="00CC01C6">
        <w:rPr>
          <w:sz w:val="24"/>
          <w:szCs w:val="24"/>
          <w:lang w:eastAsia="cs-CZ"/>
        </w:rPr>
        <w:t>Z27 02 Ostatní výdaje spojené s dopravní politikou státu</w:t>
      </w:r>
    </w:p>
    <w:p w14:paraId="75DE209D" w14:textId="77777777" w:rsidR="00CC01C6" w:rsidRPr="00CC01C6" w:rsidRDefault="00CC01C6" w:rsidP="00CC01C6">
      <w:pPr>
        <w:numPr>
          <w:ilvl w:val="0"/>
          <w:numId w:val="10"/>
        </w:numPr>
        <w:spacing w:before="120" w:after="120" w:line="276" w:lineRule="auto"/>
        <w:ind w:left="714" w:hanging="357"/>
        <w:jc w:val="both"/>
        <w:rPr>
          <w:sz w:val="24"/>
          <w:szCs w:val="24"/>
          <w:lang w:eastAsia="cs-CZ"/>
        </w:rPr>
      </w:pPr>
      <w:r w:rsidRPr="00CC01C6">
        <w:rPr>
          <w:sz w:val="24"/>
          <w:szCs w:val="24"/>
          <w:lang w:eastAsia="cs-CZ"/>
        </w:rPr>
        <w:t>Z27 03 Drážní a kombinovaná doprava</w:t>
      </w:r>
    </w:p>
    <w:p w14:paraId="65962A28" w14:textId="77777777" w:rsidR="00CC01C6" w:rsidRPr="00CC01C6" w:rsidRDefault="00CC01C6" w:rsidP="00CC01C6">
      <w:pPr>
        <w:numPr>
          <w:ilvl w:val="0"/>
          <w:numId w:val="10"/>
        </w:numPr>
        <w:spacing w:before="120" w:after="120" w:line="276" w:lineRule="auto"/>
        <w:ind w:left="714" w:hanging="357"/>
        <w:jc w:val="both"/>
        <w:rPr>
          <w:sz w:val="24"/>
          <w:szCs w:val="24"/>
          <w:lang w:eastAsia="cs-CZ"/>
        </w:rPr>
      </w:pPr>
      <w:r w:rsidRPr="00CC01C6">
        <w:rPr>
          <w:sz w:val="24"/>
          <w:szCs w:val="24"/>
          <w:lang w:eastAsia="cs-CZ"/>
        </w:rPr>
        <w:t>Z27 04 Mimořádné situace</w:t>
      </w:r>
    </w:p>
    <w:p w14:paraId="4CDC3BF0" w14:textId="77777777" w:rsidR="00CC01C6" w:rsidRPr="00CC01C6" w:rsidRDefault="00CC01C6" w:rsidP="00395837">
      <w:pPr>
        <w:pStyle w:val="KOMtext"/>
      </w:pPr>
      <w:r w:rsidRPr="00CC01C6">
        <w:t xml:space="preserve">Při zakládání programů v rámci modulu RIS ZED se vycházelo z výdajových bloků kapitoly 327 –MD a jejich zaměření. Výjimkou je program Z27 04 Mimořádné situace. Programy byly stanoveny správcem kapitoly. </w:t>
      </w:r>
    </w:p>
    <w:p w14:paraId="55ADAEAA" w14:textId="77777777" w:rsidR="00A17419" w:rsidRPr="006B6D61" w:rsidRDefault="00A17419" w:rsidP="008A0E44">
      <w:pPr>
        <w:pStyle w:val="KOMnadp4"/>
        <w:rPr>
          <w:rFonts w:ascii="Times New Roman" w:hAnsi="Times New Roman" w:cs="Times New Roman"/>
          <w:i/>
        </w:rPr>
      </w:pPr>
      <w:r w:rsidRPr="006B6D61">
        <w:rPr>
          <w:lang w:eastAsia="ar-SA"/>
        </w:rPr>
        <w:t>Z27 01 Dotace pro Státní fond dopravní infrastruktury</w:t>
      </w:r>
    </w:p>
    <w:p w14:paraId="27F8DC42" w14:textId="35A02C60" w:rsidR="00A0113A" w:rsidRPr="006B6D61" w:rsidRDefault="00A0113A" w:rsidP="00395837">
      <w:pPr>
        <w:pStyle w:val="KOMtext"/>
      </w:pPr>
      <w:r w:rsidRPr="006B6D61">
        <w:t xml:space="preserve">Cílem programu je poskytování dotací SFDI na výdaje uvedené v § 2 odst. 1 zákona </w:t>
      </w:r>
      <w:r w:rsidR="006F0813" w:rsidRPr="006B6D61">
        <w:br/>
      </w:r>
      <w:r w:rsidRPr="006B6D61">
        <w:t xml:space="preserve">104/2000 Sb., včetně zmírnění dopadů krize způsobené </w:t>
      </w:r>
      <w:proofErr w:type="spellStart"/>
      <w:r w:rsidRPr="006B6D61">
        <w:t>Covid</w:t>
      </w:r>
      <w:proofErr w:type="spellEnd"/>
      <w:r w:rsidRPr="006B6D61">
        <w:t xml:space="preserve"> 19 v nejvíce zasažených regionech a odvětvích.</w:t>
      </w:r>
    </w:p>
    <w:p w14:paraId="11269F41" w14:textId="77777777" w:rsidR="00A0113A" w:rsidRPr="006B6D61" w:rsidRDefault="00A0113A" w:rsidP="00A0113A">
      <w:pPr>
        <w:rPr>
          <w:rFonts w:cs="Times New Roman"/>
          <w:sz w:val="24"/>
          <w:szCs w:val="24"/>
        </w:rPr>
      </w:pPr>
      <w:r w:rsidRPr="006B6D61">
        <w:rPr>
          <w:rFonts w:cs="Times New Roman"/>
          <w:sz w:val="24"/>
          <w:szCs w:val="24"/>
        </w:rPr>
        <w:t>Program se skládá z agregací:</w:t>
      </w:r>
    </w:p>
    <w:p w14:paraId="11B83AD6" w14:textId="0F0CB7B6" w:rsidR="00A0113A" w:rsidRPr="006B6D61" w:rsidRDefault="00A0113A" w:rsidP="00BA4E5A">
      <w:pPr>
        <w:pStyle w:val="KOModrky"/>
      </w:pPr>
      <w:r w:rsidRPr="006B6D61">
        <w:t>Z270101 Dotace pro S</w:t>
      </w:r>
      <w:r w:rsidR="00A87874" w:rsidRPr="006B6D61">
        <w:t>tátní fond dopravní infrastruktury</w:t>
      </w:r>
      <w:r w:rsidRPr="006B6D61">
        <w:t xml:space="preserve"> agregace</w:t>
      </w:r>
    </w:p>
    <w:p w14:paraId="63B5DC63" w14:textId="77777777" w:rsidR="00A0113A" w:rsidRPr="006B6D61" w:rsidRDefault="00A0113A" w:rsidP="00BA4E5A">
      <w:pPr>
        <w:pStyle w:val="KOModrky"/>
      </w:pPr>
      <w:r w:rsidRPr="006B6D61">
        <w:t>Z270102 Dotace pro společně programy (projekty) EU v ČR</w:t>
      </w:r>
    </w:p>
    <w:p w14:paraId="52D4A817" w14:textId="77777777" w:rsidR="00A0113A" w:rsidRPr="006B6D61" w:rsidRDefault="00A0113A" w:rsidP="00BA4E5A">
      <w:pPr>
        <w:pStyle w:val="KOModrky"/>
      </w:pPr>
      <w:r w:rsidRPr="006B6D61">
        <w:t>Z270103 Ostatní dotace pro Státní fond dopravní infrastruktury</w:t>
      </w:r>
    </w:p>
    <w:p w14:paraId="67D59B5A" w14:textId="77777777" w:rsidR="00D84C1F" w:rsidRPr="00D84C1F" w:rsidRDefault="00D84C1F" w:rsidP="00D84C1F">
      <w:pPr>
        <w:keepLines/>
        <w:spacing w:before="240" w:after="240" w:line="276" w:lineRule="auto"/>
        <w:jc w:val="both"/>
        <w:rPr>
          <w:rFonts w:eastAsia="Times New Roman" w:cs="Times New Roman"/>
          <w:sz w:val="24"/>
          <w:szCs w:val="20"/>
          <w:lang w:eastAsia="cs-CZ"/>
        </w:rPr>
      </w:pPr>
      <w:r w:rsidRPr="00D84C1F">
        <w:rPr>
          <w:rFonts w:eastAsia="Times New Roman" w:cs="Times New Roman"/>
          <w:sz w:val="24"/>
          <w:szCs w:val="20"/>
          <w:lang w:eastAsia="cs-CZ"/>
        </w:rPr>
        <w:t>V roce 2023 byly čerpány prostředky pouze v </w:t>
      </w:r>
      <w:r w:rsidRPr="00D84C1F">
        <w:rPr>
          <w:rFonts w:eastAsia="Times New Roman" w:cs="Times New Roman"/>
          <w:i/>
          <w:sz w:val="24"/>
          <w:szCs w:val="20"/>
          <w:lang w:eastAsia="cs-CZ"/>
        </w:rPr>
        <w:t xml:space="preserve">agregaci Z270102 „Dotace pro společné programy (projekty) EU v ČR“ </w:t>
      </w:r>
      <w:r w:rsidRPr="00D84C1F">
        <w:rPr>
          <w:rFonts w:eastAsia="Times New Roman" w:cs="Times New Roman"/>
          <w:sz w:val="24"/>
          <w:szCs w:val="20"/>
          <w:lang w:eastAsia="cs-CZ"/>
        </w:rPr>
        <w:t>ve výši 18 355 559 tis. Kč, z toho nároky 1 306 475 tis. Kč.</w:t>
      </w:r>
    </w:p>
    <w:p w14:paraId="08B5C190" w14:textId="625DD34B" w:rsidR="00D84C1F" w:rsidRPr="00D84C1F" w:rsidRDefault="00D84C1F" w:rsidP="00395837">
      <w:pPr>
        <w:pStyle w:val="KOMtext"/>
      </w:pPr>
      <w:r w:rsidRPr="00D84C1F">
        <w:t xml:space="preserve"> Investiční transfer činil 18 304 744 tis. Kč, z toho nároky 1 255 874 tis. Kč a neinvestiční transfer 50 815 tis. Kč, z toho nároky 50 601 tis. Kč. Jednalo se o prostředky EU. Příjemcem byl Státní fond dopravní infrastruktury.</w:t>
      </w:r>
    </w:p>
    <w:p w14:paraId="3FCF5A13" w14:textId="77777777" w:rsidR="00D84C1F" w:rsidRPr="00D84C1F" w:rsidRDefault="00D84C1F" w:rsidP="00D84C1F">
      <w:pPr>
        <w:keepLines/>
        <w:spacing w:before="240" w:after="240" w:line="276" w:lineRule="auto"/>
        <w:jc w:val="both"/>
        <w:rPr>
          <w:rFonts w:eastAsia="Times New Roman" w:cs="Times New Roman"/>
          <w:sz w:val="24"/>
          <w:szCs w:val="20"/>
          <w:lang w:eastAsia="cs-CZ"/>
        </w:rPr>
      </w:pPr>
      <w:r w:rsidRPr="00D84C1F">
        <w:rPr>
          <w:rFonts w:eastAsia="Times New Roman" w:cs="Times New Roman"/>
          <w:sz w:val="24"/>
          <w:szCs w:val="20"/>
          <w:lang w:eastAsia="cs-CZ"/>
        </w:rPr>
        <w:lastRenderedPageBreak/>
        <w:t xml:space="preserve">V rámci dané agregace byly čerpány </w:t>
      </w:r>
      <w:r w:rsidRPr="00D84C1F">
        <w:rPr>
          <w:rFonts w:eastAsia="Times New Roman" w:cs="Times New Roman"/>
          <w:b/>
          <w:sz w:val="24"/>
          <w:szCs w:val="20"/>
          <w:lang w:eastAsia="cs-CZ"/>
        </w:rPr>
        <w:t>investiční dotace z fondů EU</w:t>
      </w:r>
      <w:r w:rsidRPr="00D84C1F">
        <w:rPr>
          <w:rFonts w:eastAsia="Times New Roman" w:cs="Times New Roman"/>
          <w:sz w:val="24"/>
          <w:szCs w:val="20"/>
          <w:lang w:eastAsia="cs-CZ"/>
        </w:rPr>
        <w:t>:</w:t>
      </w:r>
    </w:p>
    <w:p w14:paraId="10BF5D8D" w14:textId="77777777" w:rsidR="00D84C1F" w:rsidRPr="00D84C1F" w:rsidRDefault="00D84C1F" w:rsidP="00E54955">
      <w:pPr>
        <w:keepLines/>
        <w:numPr>
          <w:ilvl w:val="0"/>
          <w:numId w:val="38"/>
        </w:numPr>
        <w:spacing w:before="120" w:after="120" w:line="276" w:lineRule="auto"/>
        <w:ind w:left="567" w:hanging="357"/>
        <w:contextualSpacing/>
        <w:jc w:val="both"/>
        <w:rPr>
          <w:color w:val="FF0000"/>
          <w:sz w:val="24"/>
          <w:szCs w:val="24"/>
        </w:rPr>
      </w:pPr>
      <w:r w:rsidRPr="00D84C1F">
        <w:rPr>
          <w:sz w:val="24"/>
          <w:szCs w:val="24"/>
        </w:rPr>
        <w:t xml:space="preserve">ve výši 10 075 971 tis. Kč </w:t>
      </w:r>
      <w:r w:rsidRPr="00D84C1F">
        <w:rPr>
          <w:b/>
          <w:sz w:val="24"/>
          <w:szCs w:val="24"/>
        </w:rPr>
        <w:t xml:space="preserve">na financování projektů Operačního program Doprava 2021+, </w:t>
      </w:r>
    </w:p>
    <w:p w14:paraId="1874AB1D" w14:textId="77777777" w:rsidR="00D84C1F" w:rsidRPr="00D84C1F" w:rsidRDefault="00D84C1F" w:rsidP="00E54955">
      <w:pPr>
        <w:numPr>
          <w:ilvl w:val="0"/>
          <w:numId w:val="37"/>
        </w:numPr>
        <w:spacing w:before="120" w:after="120" w:line="276" w:lineRule="auto"/>
        <w:ind w:left="567" w:hanging="357"/>
        <w:jc w:val="both"/>
        <w:rPr>
          <w:sz w:val="24"/>
          <w:szCs w:val="24"/>
        </w:rPr>
      </w:pPr>
      <w:r w:rsidRPr="00D84C1F">
        <w:rPr>
          <w:sz w:val="24"/>
          <w:szCs w:val="24"/>
        </w:rPr>
        <w:t xml:space="preserve">ve výši 4 070 018 tis. Kč, </w:t>
      </w:r>
      <w:r w:rsidRPr="00D84C1F">
        <w:rPr>
          <w:b/>
          <w:sz w:val="24"/>
          <w:szCs w:val="24"/>
        </w:rPr>
        <w:t xml:space="preserve">na komunitární program – Nástroj pro propojení Evropy 2021+ </w:t>
      </w:r>
      <w:r w:rsidRPr="006B6D61">
        <w:rPr>
          <w:bCs/>
          <w:sz w:val="24"/>
          <w:szCs w:val="24"/>
        </w:rPr>
        <w:t>projekt CEF</w:t>
      </w:r>
      <w:r w:rsidRPr="00D84C1F">
        <w:rPr>
          <w:b/>
          <w:sz w:val="24"/>
          <w:szCs w:val="24"/>
        </w:rPr>
        <w:t>,</w:t>
      </w:r>
    </w:p>
    <w:p w14:paraId="4ED5368D" w14:textId="62E0A42D" w:rsidR="00D84C1F" w:rsidRPr="00D84C1F" w:rsidRDefault="00D84C1F" w:rsidP="00E54955">
      <w:pPr>
        <w:keepLines/>
        <w:numPr>
          <w:ilvl w:val="0"/>
          <w:numId w:val="37"/>
        </w:numPr>
        <w:spacing w:before="120" w:after="120" w:line="276" w:lineRule="auto"/>
        <w:ind w:left="567" w:hanging="357"/>
        <w:jc w:val="both"/>
        <w:rPr>
          <w:b/>
          <w:color w:val="FF0000"/>
          <w:sz w:val="24"/>
          <w:szCs w:val="24"/>
        </w:rPr>
      </w:pPr>
      <w:r w:rsidRPr="00D84C1F">
        <w:rPr>
          <w:sz w:val="24"/>
          <w:szCs w:val="24"/>
        </w:rPr>
        <w:t xml:space="preserve">ve výši 3 683 755 tis. Kč, z toho nároky 1 255 874 tis. Kč, </w:t>
      </w:r>
      <w:r w:rsidRPr="00D84C1F">
        <w:rPr>
          <w:b/>
          <w:sz w:val="24"/>
          <w:szCs w:val="24"/>
        </w:rPr>
        <w:t>na Národní plán obnovy – RRF, komponenta 2.1 Udržitelná doprava,</w:t>
      </w:r>
    </w:p>
    <w:p w14:paraId="649A8FD8" w14:textId="77777777" w:rsidR="00D84C1F" w:rsidRPr="00D84C1F" w:rsidRDefault="00D84C1F" w:rsidP="00E54955">
      <w:pPr>
        <w:keepLines/>
        <w:numPr>
          <w:ilvl w:val="0"/>
          <w:numId w:val="37"/>
        </w:numPr>
        <w:spacing w:before="120" w:after="120" w:line="276" w:lineRule="auto"/>
        <w:ind w:left="567" w:hanging="357"/>
        <w:jc w:val="both"/>
        <w:rPr>
          <w:b/>
          <w:color w:val="FF0000"/>
          <w:sz w:val="24"/>
          <w:szCs w:val="24"/>
        </w:rPr>
      </w:pPr>
      <w:r w:rsidRPr="00D84C1F">
        <w:rPr>
          <w:sz w:val="24"/>
          <w:szCs w:val="24"/>
        </w:rPr>
        <w:t xml:space="preserve">ve výši 475 000 tis. Kč </w:t>
      </w:r>
      <w:r w:rsidRPr="00D84C1F">
        <w:rPr>
          <w:b/>
          <w:bCs/>
          <w:sz w:val="24"/>
          <w:szCs w:val="24"/>
        </w:rPr>
        <w:t>na Národní plán obnovy – RRF, komponenta 7.6 Elektrifikace železniční dopravy.</w:t>
      </w:r>
      <w:r w:rsidRPr="00D84C1F">
        <w:rPr>
          <w:color w:val="FF0000"/>
          <w:sz w:val="24"/>
          <w:szCs w:val="24"/>
        </w:rPr>
        <w:t xml:space="preserve"> </w:t>
      </w:r>
    </w:p>
    <w:p w14:paraId="188D3C65" w14:textId="77777777" w:rsidR="00D84C1F" w:rsidRPr="00D84C1F" w:rsidRDefault="00D84C1F" w:rsidP="00D84C1F">
      <w:pPr>
        <w:keepLines/>
        <w:spacing w:before="240" w:after="240" w:line="276" w:lineRule="auto"/>
        <w:jc w:val="both"/>
        <w:rPr>
          <w:rFonts w:eastAsia="Times New Roman" w:cs="Times New Roman"/>
          <w:sz w:val="24"/>
          <w:szCs w:val="20"/>
          <w:lang w:eastAsia="cs-CZ"/>
        </w:rPr>
      </w:pPr>
      <w:r w:rsidRPr="00D84C1F">
        <w:rPr>
          <w:rFonts w:eastAsia="Times New Roman" w:cs="Times New Roman"/>
          <w:sz w:val="24"/>
          <w:szCs w:val="20"/>
          <w:lang w:eastAsia="cs-CZ"/>
        </w:rPr>
        <w:t xml:space="preserve">V rámci dané agregace byly čerpány </w:t>
      </w:r>
      <w:r w:rsidRPr="00D84C1F">
        <w:rPr>
          <w:rFonts w:eastAsia="Times New Roman" w:cs="Times New Roman"/>
          <w:b/>
          <w:sz w:val="24"/>
          <w:szCs w:val="20"/>
          <w:lang w:eastAsia="cs-CZ"/>
        </w:rPr>
        <w:t>neinvestiční dotace z fondů EU</w:t>
      </w:r>
      <w:r w:rsidRPr="00D84C1F">
        <w:rPr>
          <w:rFonts w:eastAsia="Times New Roman" w:cs="Times New Roman"/>
          <w:sz w:val="24"/>
          <w:szCs w:val="20"/>
          <w:lang w:eastAsia="cs-CZ"/>
        </w:rPr>
        <w:t>:</w:t>
      </w:r>
    </w:p>
    <w:p w14:paraId="7D52A9E2" w14:textId="77777777" w:rsidR="00D84C1F" w:rsidRPr="00D84C1F" w:rsidRDefault="00D84C1F" w:rsidP="00E54955">
      <w:pPr>
        <w:keepLines/>
        <w:numPr>
          <w:ilvl w:val="0"/>
          <w:numId w:val="34"/>
        </w:numPr>
        <w:spacing w:before="240" w:after="120" w:line="276" w:lineRule="auto"/>
        <w:ind w:left="567"/>
        <w:jc w:val="both"/>
        <w:rPr>
          <w:sz w:val="24"/>
          <w:szCs w:val="24"/>
        </w:rPr>
      </w:pPr>
      <w:r w:rsidRPr="00D84C1F">
        <w:rPr>
          <w:sz w:val="24"/>
          <w:szCs w:val="24"/>
        </w:rPr>
        <w:t xml:space="preserve">ve výši 48 927 tis. Kč, z toho nároky 48 927 tis. Kč </w:t>
      </w:r>
      <w:r w:rsidRPr="00D84C1F">
        <w:rPr>
          <w:b/>
          <w:sz w:val="24"/>
          <w:szCs w:val="24"/>
        </w:rPr>
        <w:t xml:space="preserve">na financování projektů Operačního program Doprava 2014+ </w:t>
      </w:r>
      <w:r w:rsidRPr="00D84C1F">
        <w:rPr>
          <w:sz w:val="24"/>
          <w:szCs w:val="24"/>
        </w:rPr>
        <w:t>(prioritní osy 4 –Technická pomoc),</w:t>
      </w:r>
    </w:p>
    <w:p w14:paraId="674C2FF8" w14:textId="44A9D177" w:rsidR="00D84C1F" w:rsidRPr="00D84C1F" w:rsidRDefault="00D84C1F" w:rsidP="00E54955">
      <w:pPr>
        <w:keepLines/>
        <w:numPr>
          <w:ilvl w:val="0"/>
          <w:numId w:val="34"/>
        </w:numPr>
        <w:spacing w:before="120" w:after="120" w:line="276" w:lineRule="auto"/>
        <w:ind w:left="567" w:hanging="357"/>
        <w:jc w:val="both"/>
        <w:rPr>
          <w:rFonts w:eastAsia="Times New Roman" w:cstheme="minorHAnsi"/>
          <w:bCs/>
          <w:sz w:val="24"/>
          <w:szCs w:val="24"/>
          <w:lang w:eastAsia="ar-SA"/>
        </w:rPr>
      </w:pPr>
      <w:r w:rsidRPr="00D84C1F">
        <w:rPr>
          <w:rFonts w:eastAsia="Times New Roman" w:cstheme="minorHAnsi"/>
          <w:bCs/>
          <w:sz w:val="24"/>
          <w:szCs w:val="24"/>
          <w:lang w:eastAsia="ar-SA"/>
        </w:rPr>
        <w:t xml:space="preserve"> ve výši 1 674 </w:t>
      </w:r>
      <w:r w:rsidR="00D60F02">
        <w:rPr>
          <w:rFonts w:eastAsia="Times New Roman" w:cstheme="minorHAnsi"/>
          <w:bCs/>
          <w:sz w:val="24"/>
          <w:szCs w:val="24"/>
          <w:lang w:eastAsia="ar-SA"/>
        </w:rPr>
        <w:t xml:space="preserve">tis. </w:t>
      </w:r>
      <w:r w:rsidRPr="00D84C1F">
        <w:rPr>
          <w:rFonts w:eastAsia="Times New Roman" w:cstheme="minorHAnsi"/>
          <w:bCs/>
          <w:sz w:val="24"/>
          <w:szCs w:val="24"/>
          <w:lang w:eastAsia="ar-SA"/>
        </w:rPr>
        <w:t xml:space="preserve">Kč, z toho nároky 1 674 tis. Kč, </w:t>
      </w:r>
      <w:r w:rsidRPr="00D84C1F">
        <w:rPr>
          <w:rFonts w:eastAsia="Times New Roman" w:cstheme="minorHAnsi"/>
          <w:b/>
          <w:bCs/>
          <w:sz w:val="24"/>
          <w:szCs w:val="24"/>
          <w:lang w:eastAsia="ar-SA"/>
        </w:rPr>
        <w:t xml:space="preserve">na komunitární program – Nástroj pro propojení Evropy 2014+, </w:t>
      </w:r>
      <w:r w:rsidRPr="006B6D61">
        <w:rPr>
          <w:rFonts w:eastAsia="Times New Roman" w:cstheme="minorHAnsi"/>
          <w:bCs/>
          <w:sz w:val="24"/>
          <w:szCs w:val="24"/>
          <w:lang w:eastAsia="ar-SA"/>
        </w:rPr>
        <w:t>projekt NAPCORE</w:t>
      </w:r>
      <w:r w:rsidRPr="00D84C1F">
        <w:rPr>
          <w:rFonts w:eastAsia="Times New Roman" w:cstheme="minorHAnsi"/>
          <w:bCs/>
          <w:sz w:val="24"/>
          <w:szCs w:val="24"/>
          <w:lang w:eastAsia="ar-SA"/>
        </w:rPr>
        <w:t xml:space="preserve">, </w:t>
      </w:r>
    </w:p>
    <w:p w14:paraId="70D93A72" w14:textId="77777777" w:rsidR="00D84C1F" w:rsidRPr="00D84C1F" w:rsidRDefault="00D84C1F" w:rsidP="00E54955">
      <w:pPr>
        <w:keepLines/>
        <w:numPr>
          <w:ilvl w:val="0"/>
          <w:numId w:val="34"/>
        </w:numPr>
        <w:spacing w:before="120" w:after="120" w:line="276" w:lineRule="auto"/>
        <w:ind w:left="567" w:hanging="357"/>
        <w:jc w:val="both"/>
        <w:rPr>
          <w:b/>
          <w:sz w:val="24"/>
          <w:szCs w:val="24"/>
        </w:rPr>
      </w:pPr>
      <w:r w:rsidRPr="00D84C1F">
        <w:rPr>
          <w:rFonts w:eastAsia="Times New Roman" w:cstheme="minorHAnsi"/>
          <w:bCs/>
          <w:sz w:val="24"/>
          <w:szCs w:val="24"/>
          <w:lang w:eastAsia="ar-SA"/>
        </w:rPr>
        <w:t xml:space="preserve">ve výši 214 tis. Kč </w:t>
      </w:r>
      <w:r w:rsidRPr="00D84C1F">
        <w:rPr>
          <w:rFonts w:eastAsia="Times New Roman" w:cstheme="minorHAnsi"/>
          <w:b/>
          <w:sz w:val="24"/>
          <w:szCs w:val="24"/>
          <w:lang w:eastAsia="ar-SA"/>
        </w:rPr>
        <w:t xml:space="preserve">na komunitární program – Nástroj pro propojení Evropy 2021+, </w:t>
      </w:r>
      <w:r w:rsidRPr="006B6D61">
        <w:rPr>
          <w:rFonts w:eastAsia="Times New Roman" w:cstheme="minorHAnsi"/>
          <w:bCs/>
          <w:sz w:val="24"/>
          <w:szCs w:val="24"/>
          <w:lang w:eastAsia="ar-SA"/>
        </w:rPr>
        <w:t>projekt CEF</w:t>
      </w:r>
      <w:r w:rsidRPr="00D84C1F">
        <w:rPr>
          <w:rFonts w:eastAsia="Times New Roman" w:cstheme="minorHAnsi"/>
          <w:bCs/>
          <w:sz w:val="24"/>
          <w:szCs w:val="24"/>
          <w:lang w:eastAsia="ar-SA"/>
        </w:rPr>
        <w:t>.</w:t>
      </w:r>
    </w:p>
    <w:p w14:paraId="58A42332" w14:textId="77777777" w:rsidR="00D84C1F" w:rsidRPr="00D84C1F" w:rsidRDefault="00D84C1F" w:rsidP="00D84C1F">
      <w:pPr>
        <w:keepLines/>
        <w:spacing w:before="240" w:after="240" w:line="276" w:lineRule="auto"/>
        <w:jc w:val="both"/>
        <w:rPr>
          <w:rFonts w:eastAsia="Times New Roman" w:cs="Times New Roman"/>
          <w:sz w:val="24"/>
          <w:szCs w:val="20"/>
          <w:lang w:eastAsia="cs-CZ"/>
        </w:rPr>
      </w:pPr>
      <w:r w:rsidRPr="00D84C1F">
        <w:rPr>
          <w:rFonts w:eastAsia="Times New Roman" w:cs="Times New Roman"/>
          <w:sz w:val="24"/>
          <w:szCs w:val="20"/>
          <w:lang w:eastAsia="cs-CZ"/>
        </w:rPr>
        <w:t xml:space="preserve">Podrobněji viz kapitola 3.7.5 Transfery státním fondům a 3.3 Čerpání finančních prostředků fondů EU. </w:t>
      </w:r>
    </w:p>
    <w:p w14:paraId="2BE711B4" w14:textId="77777777" w:rsidR="00D84C1F" w:rsidRPr="00D84C1F" w:rsidRDefault="00D84C1F" w:rsidP="00D84C1F">
      <w:pPr>
        <w:keepLines/>
        <w:spacing w:before="120" w:after="120" w:line="276" w:lineRule="auto"/>
        <w:jc w:val="both"/>
        <w:rPr>
          <w:rFonts w:eastAsia="Times New Roman" w:cstheme="minorHAnsi"/>
          <w:b/>
          <w:bCs/>
          <w:i/>
          <w:lang w:eastAsia="ar-SA"/>
        </w:rPr>
      </w:pPr>
      <w:r w:rsidRPr="00D84C1F">
        <w:rPr>
          <w:rFonts w:eastAsia="Times New Roman" w:cstheme="minorHAnsi"/>
          <w:b/>
          <w:bCs/>
          <w:i/>
          <w:lang w:eastAsia="ar-SA"/>
        </w:rPr>
        <w:t>Skutečné čerpání za rok 2023:</w:t>
      </w:r>
      <w:r w:rsidRPr="00D84C1F">
        <w:rPr>
          <w:rFonts w:eastAsia="Times New Roman" w:cstheme="minorHAnsi"/>
          <w:b/>
          <w:bCs/>
          <w:i/>
          <w:lang w:eastAsia="ar-SA"/>
        </w:rPr>
        <w:tab/>
      </w:r>
    </w:p>
    <w:tbl>
      <w:tblPr>
        <w:tblW w:w="9228" w:type="dxa"/>
        <w:tblLayout w:type="fixed"/>
        <w:tblCellMar>
          <w:left w:w="70" w:type="dxa"/>
          <w:right w:w="70" w:type="dxa"/>
        </w:tblCellMar>
        <w:tblLook w:val="0000" w:firstRow="0" w:lastRow="0" w:firstColumn="0" w:lastColumn="0" w:noHBand="0" w:noVBand="0"/>
      </w:tblPr>
      <w:tblGrid>
        <w:gridCol w:w="7309"/>
        <w:gridCol w:w="1905"/>
        <w:gridCol w:w="14"/>
      </w:tblGrid>
      <w:tr w:rsidR="00D84C1F" w:rsidRPr="00D84C1F" w14:paraId="5358FD90" w14:textId="77777777" w:rsidTr="00190991">
        <w:trPr>
          <w:trHeight w:val="697"/>
        </w:trPr>
        <w:tc>
          <w:tcPr>
            <w:tcW w:w="7309" w:type="dxa"/>
          </w:tcPr>
          <w:p w14:paraId="5A9EE661" w14:textId="77777777" w:rsidR="00D84C1F" w:rsidRPr="00D84C1F" w:rsidRDefault="00D84C1F" w:rsidP="00D84C1F">
            <w:pPr>
              <w:numPr>
                <w:ilvl w:val="0"/>
                <w:numId w:val="16"/>
              </w:numPr>
              <w:tabs>
                <w:tab w:val="left" w:pos="283"/>
              </w:tabs>
              <w:suppressAutoHyphens/>
              <w:snapToGrid w:val="0"/>
              <w:spacing w:after="0" w:line="240" w:lineRule="auto"/>
              <w:ind w:left="283"/>
              <w:rPr>
                <w:rFonts w:eastAsia="Times New Roman" w:cstheme="minorHAnsi"/>
                <w:b/>
                <w:i/>
                <w:sz w:val="24"/>
                <w:szCs w:val="24"/>
                <w:lang w:eastAsia="ar-SA"/>
              </w:rPr>
            </w:pPr>
            <w:r w:rsidRPr="00D84C1F">
              <w:rPr>
                <w:rFonts w:eastAsia="Times New Roman" w:cstheme="minorHAnsi"/>
                <w:b/>
                <w:i/>
                <w:sz w:val="24"/>
                <w:szCs w:val="24"/>
                <w:lang w:eastAsia="ar-SA"/>
              </w:rPr>
              <w:t xml:space="preserve">ze státního rozpočtu (investiční dotace z fondů EU) </w:t>
            </w:r>
            <w:r w:rsidRPr="00D84C1F">
              <w:rPr>
                <w:rFonts w:eastAsia="Times New Roman" w:cstheme="minorHAnsi"/>
                <w:sz w:val="24"/>
                <w:szCs w:val="24"/>
                <w:vertAlign w:val="superscript"/>
                <w:lang w:eastAsia="ar-SA"/>
              </w:rPr>
              <w:t>x</w:t>
            </w:r>
            <w:r w:rsidRPr="00D84C1F">
              <w:rPr>
                <w:rFonts w:eastAsia="Times New Roman" w:cstheme="minorHAnsi"/>
                <w:sz w:val="24"/>
                <w:szCs w:val="24"/>
                <w:lang w:eastAsia="ar-SA"/>
              </w:rPr>
              <w:t>)</w:t>
            </w:r>
          </w:p>
          <w:p w14:paraId="1CF8F5BA" w14:textId="77777777" w:rsidR="00D84C1F" w:rsidRPr="00D84C1F" w:rsidRDefault="00D84C1F" w:rsidP="00D84C1F">
            <w:pPr>
              <w:numPr>
                <w:ilvl w:val="0"/>
                <w:numId w:val="16"/>
              </w:numPr>
              <w:tabs>
                <w:tab w:val="left" w:pos="283"/>
              </w:tabs>
              <w:suppressAutoHyphens/>
              <w:snapToGrid w:val="0"/>
              <w:spacing w:after="0" w:line="240" w:lineRule="auto"/>
              <w:ind w:left="283"/>
              <w:rPr>
                <w:rFonts w:eastAsia="Times New Roman" w:cstheme="minorHAnsi"/>
                <w:i/>
                <w:sz w:val="24"/>
                <w:szCs w:val="24"/>
                <w:lang w:eastAsia="ar-SA"/>
              </w:rPr>
            </w:pPr>
            <w:r w:rsidRPr="00D84C1F">
              <w:rPr>
                <w:rFonts w:eastAsia="Times New Roman" w:cstheme="minorHAnsi"/>
                <w:b/>
                <w:i/>
                <w:sz w:val="24"/>
                <w:szCs w:val="24"/>
                <w:lang w:eastAsia="ar-SA"/>
              </w:rPr>
              <w:t>ze státního rozpočtu (neinvestiční dotace z fondů EU)</w:t>
            </w:r>
            <w:r w:rsidRPr="00D84C1F">
              <w:rPr>
                <w:rFonts w:eastAsia="Times New Roman" w:cstheme="minorHAnsi"/>
                <w:sz w:val="24"/>
                <w:szCs w:val="24"/>
                <w:vertAlign w:val="superscript"/>
                <w:lang w:eastAsia="ar-SA"/>
              </w:rPr>
              <w:t xml:space="preserve"> x</w:t>
            </w:r>
            <w:r w:rsidRPr="00D84C1F">
              <w:rPr>
                <w:rFonts w:eastAsia="Times New Roman" w:cstheme="minorHAnsi"/>
                <w:sz w:val="24"/>
                <w:szCs w:val="24"/>
                <w:lang w:eastAsia="ar-SA"/>
              </w:rPr>
              <w:t>)</w:t>
            </w:r>
          </w:p>
        </w:tc>
        <w:tc>
          <w:tcPr>
            <w:tcW w:w="1919" w:type="dxa"/>
            <w:gridSpan w:val="2"/>
          </w:tcPr>
          <w:p w14:paraId="15F795EC" w14:textId="77777777" w:rsidR="00D84C1F" w:rsidRPr="00D84C1F" w:rsidRDefault="00D84C1F" w:rsidP="00D84C1F">
            <w:pPr>
              <w:snapToGrid w:val="0"/>
              <w:spacing w:after="0" w:line="240" w:lineRule="auto"/>
              <w:jc w:val="right"/>
              <w:rPr>
                <w:rFonts w:eastAsia="Times New Roman" w:cstheme="minorHAnsi"/>
                <w:b/>
                <w:bCs/>
                <w:i/>
                <w:sz w:val="24"/>
                <w:szCs w:val="24"/>
                <w:lang w:eastAsia="ar-SA"/>
              </w:rPr>
            </w:pPr>
            <w:r w:rsidRPr="00D84C1F">
              <w:rPr>
                <w:rFonts w:eastAsia="Times New Roman" w:cstheme="minorHAnsi"/>
                <w:b/>
                <w:bCs/>
                <w:i/>
                <w:sz w:val="24"/>
                <w:szCs w:val="24"/>
                <w:lang w:eastAsia="ar-SA"/>
              </w:rPr>
              <w:t>18 304 744 tis. Kč</w:t>
            </w:r>
          </w:p>
          <w:p w14:paraId="563F3ECC" w14:textId="77777777" w:rsidR="00D84C1F" w:rsidRPr="00D84C1F" w:rsidRDefault="00D84C1F" w:rsidP="00D84C1F">
            <w:pPr>
              <w:spacing w:after="0" w:line="240" w:lineRule="auto"/>
              <w:jc w:val="right"/>
              <w:rPr>
                <w:rFonts w:eastAsia="Times New Roman" w:cstheme="minorHAnsi"/>
                <w:bCs/>
                <w:i/>
                <w:sz w:val="24"/>
                <w:szCs w:val="24"/>
                <w:lang w:eastAsia="ar-SA"/>
              </w:rPr>
            </w:pPr>
            <w:r w:rsidRPr="00D84C1F">
              <w:rPr>
                <w:rFonts w:eastAsia="Times New Roman" w:cstheme="minorHAnsi"/>
                <w:b/>
                <w:bCs/>
                <w:i/>
                <w:sz w:val="24"/>
                <w:szCs w:val="24"/>
                <w:lang w:eastAsia="ar-SA"/>
              </w:rPr>
              <w:t>50 815</w:t>
            </w:r>
            <w:r w:rsidRPr="00D84C1F">
              <w:rPr>
                <w:rFonts w:eastAsia="Times New Roman" w:cstheme="minorHAnsi"/>
                <w:bCs/>
                <w:sz w:val="24"/>
                <w:szCs w:val="24"/>
                <w:lang w:eastAsia="ar-SA"/>
              </w:rPr>
              <w:t xml:space="preserve"> </w:t>
            </w:r>
            <w:r w:rsidRPr="00D84C1F">
              <w:rPr>
                <w:rFonts w:eastAsia="Times New Roman" w:cstheme="minorHAnsi"/>
                <w:b/>
                <w:bCs/>
                <w:i/>
                <w:sz w:val="24"/>
                <w:szCs w:val="24"/>
                <w:lang w:eastAsia="ar-SA"/>
              </w:rPr>
              <w:t>tis. Kč</w:t>
            </w:r>
          </w:p>
        </w:tc>
      </w:tr>
      <w:tr w:rsidR="00D84C1F" w:rsidRPr="00D84C1F" w14:paraId="793A08B7" w14:textId="77777777" w:rsidTr="00190991">
        <w:tblPrEx>
          <w:tblLook w:val="04A0" w:firstRow="1" w:lastRow="0" w:firstColumn="1" w:lastColumn="0" w:noHBand="0" w:noVBand="1"/>
        </w:tblPrEx>
        <w:trPr>
          <w:gridAfter w:val="1"/>
          <w:wAfter w:w="14" w:type="dxa"/>
          <w:trHeight w:val="240"/>
        </w:trPr>
        <w:tc>
          <w:tcPr>
            <w:tcW w:w="9214" w:type="dxa"/>
            <w:gridSpan w:val="2"/>
            <w:shd w:val="clear" w:color="auto" w:fill="auto"/>
            <w:noWrap/>
            <w:vAlign w:val="bottom"/>
            <w:hideMark/>
          </w:tcPr>
          <w:p w14:paraId="180454E8" w14:textId="77777777" w:rsidR="00D84C1F" w:rsidRPr="00D84C1F" w:rsidRDefault="00D84C1F" w:rsidP="00D84C1F">
            <w:pPr>
              <w:spacing w:after="0" w:line="240" w:lineRule="auto"/>
              <w:rPr>
                <w:rFonts w:eastAsia="Times New Roman" w:cstheme="minorHAnsi"/>
                <w:sz w:val="24"/>
                <w:szCs w:val="24"/>
                <w:lang w:eastAsia="cs-CZ"/>
              </w:rPr>
            </w:pPr>
            <w:r w:rsidRPr="00D84C1F">
              <w:rPr>
                <w:rFonts w:eastAsia="Times New Roman" w:cstheme="minorHAnsi"/>
                <w:sz w:val="24"/>
                <w:szCs w:val="24"/>
                <w:vertAlign w:val="superscript"/>
                <w:lang w:eastAsia="ar-SA"/>
              </w:rPr>
              <w:t>x</w:t>
            </w:r>
            <w:r w:rsidRPr="00D84C1F">
              <w:rPr>
                <w:rFonts w:eastAsia="Times New Roman" w:cstheme="minorHAnsi"/>
                <w:sz w:val="24"/>
                <w:szCs w:val="24"/>
                <w:lang w:eastAsia="ar-SA"/>
              </w:rPr>
              <w:t xml:space="preserve">) z toho: </w:t>
            </w:r>
            <w:r w:rsidRPr="00D84C1F">
              <w:rPr>
                <w:rFonts w:eastAsia="Times New Roman" w:cstheme="minorHAnsi"/>
                <w:sz w:val="24"/>
                <w:szCs w:val="24"/>
                <w:lang w:eastAsia="cs-CZ"/>
              </w:rPr>
              <w:t>nároky ve výši 1 255 874 tis. Kč (investiční dotace z fondů EU)</w:t>
            </w:r>
          </w:p>
        </w:tc>
      </w:tr>
      <w:tr w:rsidR="00D84C1F" w:rsidRPr="00D84C1F" w14:paraId="788D015A" w14:textId="77777777" w:rsidTr="00190991">
        <w:tblPrEx>
          <w:tblLook w:val="04A0" w:firstRow="1" w:lastRow="0" w:firstColumn="1" w:lastColumn="0" w:noHBand="0" w:noVBand="1"/>
        </w:tblPrEx>
        <w:trPr>
          <w:gridAfter w:val="1"/>
          <w:wAfter w:w="14" w:type="dxa"/>
          <w:trHeight w:val="240"/>
        </w:trPr>
        <w:tc>
          <w:tcPr>
            <w:tcW w:w="9214" w:type="dxa"/>
            <w:gridSpan w:val="2"/>
            <w:shd w:val="clear" w:color="auto" w:fill="auto"/>
            <w:noWrap/>
            <w:vAlign w:val="bottom"/>
          </w:tcPr>
          <w:p w14:paraId="426D5CC6" w14:textId="77777777" w:rsidR="00D84C1F" w:rsidRPr="00D84C1F" w:rsidRDefault="00D84C1F" w:rsidP="00D84C1F">
            <w:pPr>
              <w:spacing w:after="0" w:line="240" w:lineRule="auto"/>
              <w:ind w:left="492"/>
              <w:rPr>
                <w:rFonts w:eastAsia="Times New Roman" w:cstheme="minorHAnsi"/>
                <w:sz w:val="24"/>
                <w:szCs w:val="24"/>
                <w:lang w:eastAsia="cs-CZ"/>
              </w:rPr>
            </w:pPr>
            <w:r w:rsidRPr="00D84C1F">
              <w:rPr>
                <w:rFonts w:eastAsia="Times New Roman" w:cstheme="minorHAnsi"/>
                <w:sz w:val="24"/>
                <w:szCs w:val="24"/>
                <w:lang w:eastAsia="cs-CZ"/>
              </w:rPr>
              <w:tab/>
            </w:r>
            <w:r w:rsidRPr="00D84C1F">
              <w:rPr>
                <w:rFonts w:eastAsia="Times New Roman" w:cstheme="minorHAnsi"/>
                <w:sz w:val="24"/>
                <w:szCs w:val="24"/>
                <w:lang w:eastAsia="cs-CZ"/>
              </w:rPr>
              <w:tab/>
              <w:t xml:space="preserve"> nároky ve výši 50 601 tis. Kč (neinvestiční dotace z fondů EU)</w:t>
            </w:r>
          </w:p>
        </w:tc>
      </w:tr>
    </w:tbl>
    <w:p w14:paraId="4CE67D82" w14:textId="7257A169" w:rsidR="005B5E19" w:rsidRPr="006B6D61" w:rsidRDefault="005B5E19" w:rsidP="008A0E44">
      <w:pPr>
        <w:pStyle w:val="KOMnadp4"/>
        <w:rPr>
          <w:lang w:eastAsia="ar-SA"/>
        </w:rPr>
      </w:pPr>
      <w:r w:rsidRPr="006B6D61">
        <w:rPr>
          <w:lang w:eastAsia="ar-SA"/>
        </w:rPr>
        <w:t>Z27 02 Ostatní výdaje spojené s dopravní politikou státu</w:t>
      </w:r>
    </w:p>
    <w:p w14:paraId="7B00001F" w14:textId="674EFA23" w:rsidR="005B5E19" w:rsidRPr="006B6D61" w:rsidRDefault="005B5E19" w:rsidP="003F0A7C">
      <w:pPr>
        <w:pStyle w:val="KOMtext"/>
      </w:pPr>
      <w:r w:rsidRPr="006B6D61">
        <w:t>Cílem programu je</w:t>
      </w:r>
      <w:r w:rsidR="00A95422" w:rsidRPr="006B6D61">
        <w:t xml:space="preserve"> poskytování dotací na všechny ostatní výdaje spojené s dopravní politikou státu nezahrnuté do výdajových bloků drážní a kombinovaná doprava, pozemní komunikace </w:t>
      </w:r>
      <w:r w:rsidR="00624F45" w:rsidRPr="006B6D61">
        <w:br/>
      </w:r>
      <w:r w:rsidR="00A95422" w:rsidRPr="006B6D61">
        <w:t>a dotace pro Státní fond dopravní infrastruktury.</w:t>
      </w:r>
    </w:p>
    <w:p w14:paraId="4169CB41" w14:textId="6FB9B89B" w:rsidR="005B5E19" w:rsidRPr="006B6D61" w:rsidRDefault="005B5E19" w:rsidP="003F0A7C">
      <w:pPr>
        <w:pStyle w:val="KOMtext"/>
        <w:rPr>
          <w:rFonts w:cstheme="minorHAnsi"/>
          <w:b/>
          <w:szCs w:val="24"/>
          <w:u w:val="single"/>
          <w:lang w:eastAsia="ar-SA"/>
        </w:rPr>
      </w:pPr>
      <w:r w:rsidRPr="006B6D61">
        <w:t>Program se skládá z agregací</w:t>
      </w:r>
    </w:p>
    <w:p w14:paraId="404AAF25" w14:textId="78E6FFA6" w:rsidR="005B5E19" w:rsidRPr="006B6D61" w:rsidRDefault="005B5E19">
      <w:pPr>
        <w:pStyle w:val="KOModrky"/>
      </w:pPr>
      <w:r w:rsidRPr="006B6D61">
        <w:t>Z2702</w:t>
      </w:r>
      <w:r w:rsidR="00E26C31" w:rsidRPr="006B6D61">
        <w:t>0</w:t>
      </w:r>
      <w:r w:rsidRPr="006B6D61">
        <w:t xml:space="preserve">1 </w:t>
      </w:r>
      <w:r w:rsidR="00E26C31" w:rsidRPr="006B6D61">
        <w:t>Ostatní výdaje spojené s dopravní politikou státu agregace</w:t>
      </w:r>
    </w:p>
    <w:p w14:paraId="0C2DEB19" w14:textId="19ABE4F4" w:rsidR="005B5E19" w:rsidRPr="006B6D61" w:rsidRDefault="005B5E19">
      <w:pPr>
        <w:pStyle w:val="KOModrky"/>
      </w:pPr>
      <w:r w:rsidRPr="006B6D61">
        <w:t>Z270</w:t>
      </w:r>
      <w:r w:rsidR="00E26C31" w:rsidRPr="006B6D61">
        <w:t>2</w:t>
      </w:r>
      <w:r w:rsidRPr="006B6D61">
        <w:t xml:space="preserve">02 </w:t>
      </w:r>
      <w:r w:rsidR="00E26C31" w:rsidRPr="006B6D61">
        <w:t>Další výdaje spojené s dopravní politikou státu – národní dotace</w:t>
      </w:r>
    </w:p>
    <w:p w14:paraId="0EEABEDB" w14:textId="77777777" w:rsidR="00B7653C" w:rsidRPr="006B6D61" w:rsidRDefault="00B7653C">
      <w:pPr>
        <w:pStyle w:val="KOModrky"/>
      </w:pPr>
      <w:r w:rsidRPr="006B6D61">
        <w:t>Z270203 Další výdaje spojené s dopravní politikou státu – dotace spolufinancované z EU</w:t>
      </w:r>
    </w:p>
    <w:p w14:paraId="1785919D" w14:textId="54DB9372" w:rsidR="00B7653C" w:rsidRPr="006B6D61" w:rsidRDefault="00B7653C" w:rsidP="00EF56D1">
      <w:pPr>
        <w:pStyle w:val="KOModrky"/>
        <w:ind w:left="709"/>
      </w:pPr>
      <w:r w:rsidRPr="006B6D61">
        <w:t xml:space="preserve">Z270204 Výdaje spojené s kosmickými aktivitami </w:t>
      </w:r>
    </w:p>
    <w:p w14:paraId="45060EB8" w14:textId="4F0FD365" w:rsidR="00966CAF" w:rsidRPr="0077128B" w:rsidRDefault="00966CAF" w:rsidP="003F0A7C">
      <w:pPr>
        <w:pStyle w:val="KOMtext"/>
        <w:rPr>
          <w:color w:val="FF0000"/>
        </w:rPr>
      </w:pPr>
      <w:r w:rsidRPr="006B6D61">
        <w:lastRenderedPageBreak/>
        <w:t xml:space="preserve">V roce </w:t>
      </w:r>
      <w:r w:rsidR="00DC512C" w:rsidRPr="006B6D61">
        <w:t>2023</w:t>
      </w:r>
      <w:r w:rsidRPr="006B6D61">
        <w:t xml:space="preserve"> nebyly v </w:t>
      </w:r>
      <w:r w:rsidRPr="006B6D61">
        <w:rPr>
          <w:i/>
        </w:rPr>
        <w:t xml:space="preserve">agregaci Z270201 </w:t>
      </w:r>
      <w:r w:rsidR="00F163B7" w:rsidRPr="006B6D61">
        <w:rPr>
          <w:i/>
        </w:rPr>
        <w:t>„</w:t>
      </w:r>
      <w:r w:rsidRPr="006B6D61">
        <w:rPr>
          <w:i/>
        </w:rPr>
        <w:t>Ostatní výdaje spojené s dopravní politikou s</w:t>
      </w:r>
      <w:r w:rsidR="00F163B7" w:rsidRPr="006B6D61">
        <w:rPr>
          <w:i/>
        </w:rPr>
        <w:t>t</w:t>
      </w:r>
      <w:r w:rsidRPr="006B6D61">
        <w:rPr>
          <w:i/>
        </w:rPr>
        <w:t>átu agregace</w:t>
      </w:r>
      <w:r w:rsidR="00F163B7" w:rsidRPr="006B6D61">
        <w:rPr>
          <w:i/>
        </w:rPr>
        <w:t>“</w:t>
      </w:r>
      <w:r w:rsidRPr="006B6D61">
        <w:t xml:space="preserve"> evidovány žádné dotace a nebyly tedy poskytnuty žádné dotace. </w:t>
      </w:r>
    </w:p>
    <w:p w14:paraId="50FA3444" w14:textId="006B9205" w:rsidR="00657F31" w:rsidRPr="0077128B" w:rsidRDefault="00657F31" w:rsidP="00EF56D1">
      <w:pPr>
        <w:pStyle w:val="KOMtext"/>
        <w:rPr>
          <w:color w:val="FF0000"/>
        </w:rPr>
      </w:pPr>
      <w:r w:rsidRPr="006B6D61">
        <w:t xml:space="preserve">V roce </w:t>
      </w:r>
      <w:r w:rsidR="00390F65" w:rsidRPr="006B6D61">
        <w:t>2023</w:t>
      </w:r>
      <w:r w:rsidRPr="006B6D61">
        <w:t xml:space="preserve"> byly v agregaci </w:t>
      </w:r>
      <w:r w:rsidRPr="006B6D61">
        <w:rPr>
          <w:i/>
        </w:rPr>
        <w:t xml:space="preserve">Z270202 </w:t>
      </w:r>
      <w:r w:rsidR="00F163B7" w:rsidRPr="006B6D61">
        <w:rPr>
          <w:i/>
        </w:rPr>
        <w:t>„</w:t>
      </w:r>
      <w:r w:rsidRPr="006B6D61">
        <w:rPr>
          <w:i/>
        </w:rPr>
        <w:t>Další spojené s dopravní politikou státu – národní dotace</w:t>
      </w:r>
      <w:r w:rsidR="00F163B7" w:rsidRPr="006B6D61">
        <w:rPr>
          <w:i/>
        </w:rPr>
        <w:t>“</w:t>
      </w:r>
      <w:r w:rsidRPr="006B6D61">
        <w:t xml:space="preserve"> čerpány prostředky v celkové výši </w:t>
      </w:r>
      <w:r w:rsidR="004B6655" w:rsidRPr="006B6D61">
        <w:t>349 510</w:t>
      </w:r>
      <w:r w:rsidR="00911212" w:rsidRPr="006B6D61">
        <w:t xml:space="preserve"> tis. Kč, v tom </w:t>
      </w:r>
      <w:r w:rsidR="00611ACA" w:rsidRPr="006B6D61">
        <w:t>340 917</w:t>
      </w:r>
      <w:r w:rsidR="00911212" w:rsidRPr="006B6D61">
        <w:t xml:space="preserve"> tis. Kč neinvestiční dotace a </w:t>
      </w:r>
      <w:r w:rsidR="00390F65" w:rsidRPr="006B6D61">
        <w:t>8 593</w:t>
      </w:r>
      <w:r w:rsidR="00911212" w:rsidRPr="006B6D61">
        <w:t xml:space="preserve"> tis. Kč investiční dotace. </w:t>
      </w:r>
    </w:p>
    <w:p w14:paraId="329FB715" w14:textId="39CD7EDE" w:rsidR="00911212" w:rsidRPr="0077128B" w:rsidRDefault="00911212" w:rsidP="00EF56D1">
      <w:pPr>
        <w:pStyle w:val="KOMtext"/>
        <w:rPr>
          <w:color w:val="FF0000"/>
        </w:rPr>
      </w:pPr>
      <w:r w:rsidRPr="006B6D61">
        <w:t xml:space="preserve">V uvedené agregaci byla čerpána národní dotace pro Centrum dopravního výzkumu </w:t>
      </w:r>
      <w:proofErr w:type="spellStart"/>
      <w:r w:rsidRPr="006B6D61">
        <w:t>v.v.i</w:t>
      </w:r>
      <w:proofErr w:type="spellEnd"/>
      <w:r w:rsidRPr="006B6D61">
        <w:t xml:space="preserve"> na financování výzkumu vývoje a inovací a dále účelová neinvestiční dotace. Dotace Řízení letového provozu, </w:t>
      </w:r>
      <w:proofErr w:type="spellStart"/>
      <w:r w:rsidRPr="006B6D61">
        <w:t>s.p</w:t>
      </w:r>
      <w:proofErr w:type="spellEnd"/>
      <w:r w:rsidRPr="006B6D61">
        <w:t>., kterému jsou poskytovány prostředky na úhradu nákladů spojených s poskytováním letových provozních služeb letům osvobozeným ve vzdušném prostoru ČR od zpoplatnění a dotace na projekt U-</w:t>
      </w:r>
      <w:proofErr w:type="spellStart"/>
      <w:r w:rsidRPr="006B6D61">
        <w:t>space</w:t>
      </w:r>
      <w:proofErr w:type="spellEnd"/>
      <w:r w:rsidRPr="006B6D61">
        <w:t xml:space="preserve">. </w:t>
      </w:r>
      <w:r w:rsidR="00706629">
        <w:t xml:space="preserve">V letošním roce byla </w:t>
      </w:r>
      <w:r w:rsidR="00776470">
        <w:t xml:space="preserve">rovněž </w:t>
      </w:r>
      <w:r w:rsidR="00706629">
        <w:t>poskytnuta neinve</w:t>
      </w:r>
      <w:r w:rsidR="000E32FE">
        <w:t xml:space="preserve">stiční dotace Řízení letového provozu, </w:t>
      </w:r>
      <w:proofErr w:type="spellStart"/>
      <w:r w:rsidR="000E32FE">
        <w:t>s.p</w:t>
      </w:r>
      <w:proofErr w:type="spellEnd"/>
      <w:r w:rsidR="000E32FE">
        <w:t xml:space="preserve">. </w:t>
      </w:r>
      <w:r w:rsidR="00776470" w:rsidRPr="00776470">
        <w:t>na úhradu nákladů ze zajištění letových provozních služeb na regionálních letištích v České republice</w:t>
      </w:r>
      <w:r w:rsidR="00FC104C">
        <w:t>. Současně</w:t>
      </w:r>
      <w:r w:rsidRPr="006B6D61">
        <w:t xml:space="preserve"> byla dotace poskytnuta Letecké amatérské asociaci ČR, které jsou poskytovány prostředky na přenesený výkon státní správy v oblasti sportovních létajících zařízení. </w:t>
      </w:r>
    </w:p>
    <w:p w14:paraId="563AB6A5" w14:textId="10DEA68A" w:rsidR="008E3B18" w:rsidRPr="0077128B" w:rsidRDefault="00B7653C" w:rsidP="00EF56D1">
      <w:pPr>
        <w:pStyle w:val="KOMtext"/>
        <w:rPr>
          <w:color w:val="FF0000"/>
        </w:rPr>
      </w:pPr>
      <w:r w:rsidRPr="006B6D61">
        <w:t xml:space="preserve">Podrobněji viz kapitola </w:t>
      </w:r>
      <w:bookmarkStart w:id="613" w:name="_Hlk162266187"/>
      <w:r w:rsidRPr="006B6D61">
        <w:t>3.7.</w:t>
      </w:r>
      <w:r w:rsidR="0093324E" w:rsidRPr="006B6D61">
        <w:t xml:space="preserve">2 </w:t>
      </w:r>
      <w:r w:rsidRPr="006B6D61">
        <w:t>Transfery příspěvkovým a podobným organizacím, 3.7.</w:t>
      </w:r>
      <w:r w:rsidR="0093324E" w:rsidRPr="006B6D61">
        <w:t xml:space="preserve">3 </w:t>
      </w:r>
      <w:r w:rsidRPr="006B6D61">
        <w:t>Transfery neziskovým a podobným organizacím a 3.7.</w:t>
      </w:r>
      <w:r w:rsidR="005C3039" w:rsidRPr="006B6D61">
        <w:t xml:space="preserve">5 </w:t>
      </w:r>
      <w:r w:rsidRPr="006B6D61">
        <w:t>Transfery podnikatelským subjektům</w:t>
      </w:r>
      <w:bookmarkEnd w:id="613"/>
      <w:r w:rsidRPr="006B6D61">
        <w:t xml:space="preserve">. </w:t>
      </w:r>
    </w:p>
    <w:p w14:paraId="2EDA972C" w14:textId="65754A6F" w:rsidR="00911212" w:rsidRPr="006B6D61" w:rsidRDefault="00911212" w:rsidP="00EF56D1">
      <w:pPr>
        <w:pStyle w:val="KOMtext"/>
      </w:pPr>
      <w:r w:rsidRPr="006B6D61">
        <w:t xml:space="preserve">V roce </w:t>
      </w:r>
      <w:r w:rsidR="003963B5" w:rsidRPr="006B6D61">
        <w:t xml:space="preserve">2023 </w:t>
      </w:r>
      <w:r w:rsidR="00E8083B" w:rsidRPr="006B6D61">
        <w:t>nebyly</w:t>
      </w:r>
      <w:r w:rsidRPr="006B6D61">
        <w:t xml:space="preserve"> v agregaci </w:t>
      </w:r>
      <w:r w:rsidRPr="006B6D61">
        <w:rPr>
          <w:i/>
        </w:rPr>
        <w:t>Z27020</w:t>
      </w:r>
      <w:r w:rsidR="00B7653C" w:rsidRPr="006B6D61">
        <w:rPr>
          <w:i/>
        </w:rPr>
        <w:t>3</w:t>
      </w:r>
      <w:r w:rsidRPr="006B6D61">
        <w:rPr>
          <w:i/>
        </w:rPr>
        <w:t xml:space="preserve"> </w:t>
      </w:r>
      <w:r w:rsidR="00F163B7" w:rsidRPr="006B6D61">
        <w:rPr>
          <w:i/>
        </w:rPr>
        <w:t>„</w:t>
      </w:r>
      <w:r w:rsidRPr="006B6D61">
        <w:rPr>
          <w:i/>
        </w:rPr>
        <w:t xml:space="preserve">Další spojené s dopravní politikou státu – </w:t>
      </w:r>
      <w:r w:rsidR="00B7653C" w:rsidRPr="006B6D61">
        <w:rPr>
          <w:i/>
        </w:rPr>
        <w:t>dotace spolufinancované z</w:t>
      </w:r>
      <w:r w:rsidR="00F163B7" w:rsidRPr="006B6D61">
        <w:rPr>
          <w:i/>
        </w:rPr>
        <w:t> </w:t>
      </w:r>
      <w:r w:rsidR="00B7653C" w:rsidRPr="006B6D61">
        <w:rPr>
          <w:i/>
        </w:rPr>
        <w:t>EU</w:t>
      </w:r>
      <w:r w:rsidR="00F163B7" w:rsidRPr="006B6D61">
        <w:rPr>
          <w:i/>
        </w:rPr>
        <w:t>“</w:t>
      </w:r>
      <w:r w:rsidRPr="006B6D61">
        <w:rPr>
          <w:i/>
        </w:rPr>
        <w:t xml:space="preserve"> </w:t>
      </w:r>
      <w:r w:rsidR="003963B5" w:rsidRPr="006B6D61">
        <w:rPr>
          <w:i/>
        </w:rPr>
        <w:t>evidovány žádné dotace a nebyly tedy poskytnuty žádné dotace</w:t>
      </w:r>
      <w:r w:rsidR="009605E7" w:rsidRPr="006B6D61">
        <w:t>.</w:t>
      </w:r>
    </w:p>
    <w:p w14:paraId="28E581D3" w14:textId="111F0A94" w:rsidR="00966CAF" w:rsidRPr="006B6D61" w:rsidRDefault="00966CAF" w:rsidP="00EF56D1">
      <w:pPr>
        <w:pStyle w:val="KOMtext"/>
      </w:pPr>
      <w:r w:rsidRPr="006B6D61">
        <w:t xml:space="preserve">V roce </w:t>
      </w:r>
      <w:r w:rsidR="000174AE" w:rsidRPr="006B6D61">
        <w:t>2023</w:t>
      </w:r>
      <w:r w:rsidRPr="006B6D61">
        <w:t xml:space="preserve"> nebyly v agregaci </w:t>
      </w:r>
      <w:r w:rsidRPr="006B6D61">
        <w:rPr>
          <w:i/>
        </w:rPr>
        <w:t>Z27020</w:t>
      </w:r>
      <w:r w:rsidR="00F163B7" w:rsidRPr="006B6D61">
        <w:rPr>
          <w:i/>
        </w:rPr>
        <w:t>4</w:t>
      </w:r>
      <w:r w:rsidRPr="006B6D61">
        <w:rPr>
          <w:i/>
        </w:rPr>
        <w:t xml:space="preserve"> </w:t>
      </w:r>
      <w:r w:rsidR="00F163B7" w:rsidRPr="006B6D61">
        <w:rPr>
          <w:i/>
        </w:rPr>
        <w:t>„Výdaje spojené s kosmickými aktivitami“</w:t>
      </w:r>
      <w:r w:rsidRPr="006B6D61">
        <w:t xml:space="preserve"> evidovány žádné dotace a nebyly tedy poskytnuty žádné </w:t>
      </w:r>
      <w:r w:rsidR="000174AE" w:rsidRPr="006B6D61">
        <w:t>dotace</w:t>
      </w:r>
      <w:r w:rsidRPr="006B6D61">
        <w:t xml:space="preserve">. </w:t>
      </w:r>
    </w:p>
    <w:p w14:paraId="35E966E3" w14:textId="6EE57766" w:rsidR="00E26C31" w:rsidRPr="006B6D61" w:rsidRDefault="00E26C31" w:rsidP="00BA4E5A">
      <w:pPr>
        <w:keepNext/>
        <w:keepLines/>
        <w:spacing w:before="120" w:after="120" w:line="276" w:lineRule="auto"/>
        <w:jc w:val="both"/>
        <w:rPr>
          <w:rFonts w:eastAsia="Times New Roman" w:cstheme="minorHAnsi"/>
          <w:b/>
          <w:i/>
          <w:lang w:eastAsia="ar-SA"/>
        </w:rPr>
      </w:pPr>
      <w:r w:rsidRPr="006B6D61">
        <w:rPr>
          <w:rFonts w:eastAsia="Times New Roman" w:cstheme="minorHAnsi"/>
          <w:b/>
          <w:i/>
          <w:lang w:eastAsia="ar-SA"/>
        </w:rPr>
        <w:t xml:space="preserve">Skutečné čerpání za rok </w:t>
      </w:r>
      <w:r w:rsidR="000F4E74" w:rsidRPr="006B6D61">
        <w:rPr>
          <w:rFonts w:eastAsia="Times New Roman" w:cstheme="minorHAnsi"/>
          <w:b/>
          <w:bCs/>
          <w:i/>
          <w:lang w:eastAsia="ar-SA"/>
        </w:rPr>
        <w:t>2023</w:t>
      </w:r>
      <w:r w:rsidRPr="006B6D61">
        <w:rPr>
          <w:rFonts w:eastAsia="Times New Roman" w:cstheme="minorHAnsi"/>
          <w:b/>
          <w:i/>
          <w:lang w:eastAsia="ar-SA"/>
        </w:rPr>
        <w:t>:</w:t>
      </w:r>
      <w:r w:rsidRPr="006B6D61">
        <w:rPr>
          <w:rFonts w:eastAsia="Times New Roman" w:cstheme="minorHAnsi"/>
          <w:b/>
          <w:i/>
          <w:lang w:eastAsia="ar-SA"/>
        </w:rPr>
        <w:tab/>
      </w:r>
    </w:p>
    <w:tbl>
      <w:tblPr>
        <w:tblW w:w="9072" w:type="dxa"/>
        <w:tblLayout w:type="fixed"/>
        <w:tblCellMar>
          <w:left w:w="70" w:type="dxa"/>
          <w:right w:w="70" w:type="dxa"/>
        </w:tblCellMar>
        <w:tblLook w:val="0000" w:firstRow="0" w:lastRow="0" w:firstColumn="0" w:lastColumn="0" w:noHBand="0" w:noVBand="0"/>
      </w:tblPr>
      <w:tblGrid>
        <w:gridCol w:w="7309"/>
        <w:gridCol w:w="1763"/>
      </w:tblGrid>
      <w:tr w:rsidR="002F1BE7" w:rsidRPr="0044012B" w14:paraId="1B661B96" w14:textId="77777777" w:rsidTr="002D218B">
        <w:trPr>
          <w:trHeight w:val="697"/>
        </w:trPr>
        <w:tc>
          <w:tcPr>
            <w:tcW w:w="7309" w:type="dxa"/>
          </w:tcPr>
          <w:p w14:paraId="561CF239" w14:textId="77777777" w:rsidR="00E26C31" w:rsidRPr="006B6D61" w:rsidRDefault="00E26C31" w:rsidP="00D05A89">
            <w:pPr>
              <w:numPr>
                <w:ilvl w:val="0"/>
                <w:numId w:val="16"/>
              </w:numPr>
              <w:tabs>
                <w:tab w:val="left" w:pos="283"/>
              </w:tabs>
              <w:suppressAutoHyphens/>
              <w:snapToGrid w:val="0"/>
              <w:spacing w:after="0" w:line="240" w:lineRule="auto"/>
              <w:ind w:left="283"/>
              <w:rPr>
                <w:rFonts w:eastAsia="Times New Roman" w:cstheme="minorHAnsi"/>
                <w:b/>
                <w:i/>
                <w:lang w:eastAsia="ar-SA"/>
              </w:rPr>
            </w:pPr>
            <w:r w:rsidRPr="006B6D61">
              <w:rPr>
                <w:rFonts w:eastAsia="Times New Roman" w:cstheme="minorHAnsi"/>
                <w:b/>
                <w:i/>
                <w:lang w:eastAsia="ar-SA"/>
              </w:rPr>
              <w:t xml:space="preserve">ze státního rozpočtu (investiční dotace) </w:t>
            </w:r>
          </w:p>
          <w:p w14:paraId="2F8553CB" w14:textId="0BC202D3" w:rsidR="00E26C31" w:rsidRPr="006B6D61" w:rsidRDefault="00E26C31" w:rsidP="00D05A89">
            <w:pPr>
              <w:numPr>
                <w:ilvl w:val="0"/>
                <w:numId w:val="16"/>
              </w:numPr>
              <w:tabs>
                <w:tab w:val="left" w:pos="283"/>
              </w:tabs>
              <w:suppressAutoHyphens/>
              <w:snapToGrid w:val="0"/>
              <w:spacing w:after="0" w:line="240" w:lineRule="auto"/>
              <w:ind w:left="283"/>
              <w:rPr>
                <w:rFonts w:eastAsia="Times New Roman" w:cstheme="minorHAnsi"/>
                <w:i/>
                <w:lang w:eastAsia="ar-SA"/>
              </w:rPr>
            </w:pPr>
            <w:r w:rsidRPr="006B6D61">
              <w:rPr>
                <w:rFonts w:eastAsia="Times New Roman" w:cstheme="minorHAnsi"/>
                <w:b/>
                <w:i/>
                <w:lang w:eastAsia="ar-SA"/>
              </w:rPr>
              <w:t>ze státního rozpočtu (neinvestiční dotace)</w:t>
            </w:r>
            <w:r w:rsidR="006876B3" w:rsidRPr="006B6D61">
              <w:rPr>
                <w:rFonts w:eastAsia="Times New Roman" w:cstheme="minorHAnsi"/>
                <w:vertAlign w:val="superscript"/>
                <w:lang w:eastAsia="ar-SA"/>
              </w:rPr>
              <w:t xml:space="preserve"> x</w:t>
            </w:r>
            <w:r w:rsidR="006876B3" w:rsidRPr="006B6D61">
              <w:rPr>
                <w:rFonts w:eastAsia="Times New Roman" w:cstheme="minorHAnsi"/>
                <w:lang w:eastAsia="ar-SA"/>
              </w:rPr>
              <w:t>)</w:t>
            </w:r>
          </w:p>
          <w:p w14:paraId="36B7E4EF" w14:textId="5A31BBD9" w:rsidR="00F06407" w:rsidRPr="006B6D61" w:rsidRDefault="00F06407" w:rsidP="006B6D61">
            <w:pPr>
              <w:tabs>
                <w:tab w:val="left" w:pos="283"/>
              </w:tabs>
              <w:suppressAutoHyphens/>
              <w:snapToGrid w:val="0"/>
              <w:spacing w:after="0" w:line="240" w:lineRule="auto"/>
              <w:ind w:left="283"/>
              <w:rPr>
                <w:rFonts w:eastAsia="Times New Roman" w:cstheme="minorHAnsi"/>
                <w:i/>
                <w:lang w:eastAsia="ar-SA"/>
              </w:rPr>
            </w:pPr>
          </w:p>
          <w:p w14:paraId="0E318925" w14:textId="18C4F3CB" w:rsidR="00E26C31" w:rsidRPr="006B6D61" w:rsidRDefault="00E26C31" w:rsidP="00BA4E5A">
            <w:pPr>
              <w:tabs>
                <w:tab w:val="left" w:pos="283"/>
              </w:tabs>
              <w:suppressAutoHyphens/>
              <w:snapToGrid w:val="0"/>
              <w:spacing w:after="0" w:line="240" w:lineRule="auto"/>
              <w:ind w:left="283"/>
              <w:rPr>
                <w:rFonts w:eastAsia="Times New Roman" w:cstheme="minorHAnsi"/>
                <w:i/>
                <w:lang w:eastAsia="ar-SA"/>
              </w:rPr>
            </w:pPr>
          </w:p>
        </w:tc>
        <w:tc>
          <w:tcPr>
            <w:tcW w:w="1763" w:type="dxa"/>
          </w:tcPr>
          <w:p w14:paraId="1D671288" w14:textId="410059F6" w:rsidR="00E26C31" w:rsidRPr="006B6D61" w:rsidRDefault="000378FC" w:rsidP="005F2E9E">
            <w:pPr>
              <w:snapToGrid w:val="0"/>
              <w:spacing w:after="0" w:line="240" w:lineRule="auto"/>
              <w:jc w:val="right"/>
              <w:rPr>
                <w:rFonts w:eastAsia="Times New Roman" w:cstheme="minorHAnsi"/>
                <w:b/>
                <w:i/>
                <w:lang w:eastAsia="ar-SA"/>
              </w:rPr>
            </w:pPr>
            <w:r w:rsidRPr="006B6D61">
              <w:rPr>
                <w:rFonts w:eastAsia="Times New Roman" w:cstheme="minorHAnsi"/>
                <w:b/>
                <w:bCs/>
                <w:i/>
                <w:lang w:eastAsia="ar-SA"/>
              </w:rPr>
              <w:t>8 593</w:t>
            </w:r>
            <w:r w:rsidR="00F06407" w:rsidRPr="006B6D61">
              <w:rPr>
                <w:rFonts w:eastAsia="Times New Roman" w:cstheme="minorHAnsi"/>
                <w:b/>
                <w:i/>
                <w:lang w:eastAsia="ar-SA"/>
              </w:rPr>
              <w:t xml:space="preserve"> </w:t>
            </w:r>
            <w:r w:rsidR="00E26C31" w:rsidRPr="006B6D61">
              <w:rPr>
                <w:rFonts w:eastAsia="Times New Roman" w:cstheme="minorHAnsi"/>
                <w:b/>
                <w:i/>
                <w:lang w:eastAsia="ar-SA"/>
              </w:rPr>
              <w:t>tis. Kč</w:t>
            </w:r>
          </w:p>
          <w:p w14:paraId="2611FEBB" w14:textId="079D7761" w:rsidR="00E26C31" w:rsidRPr="006B6D61" w:rsidRDefault="00557594" w:rsidP="005F2E9E">
            <w:pPr>
              <w:spacing w:after="0" w:line="240" w:lineRule="auto"/>
              <w:jc w:val="right"/>
              <w:rPr>
                <w:rFonts w:eastAsia="Times New Roman" w:cstheme="minorHAnsi"/>
                <w:i/>
                <w:lang w:eastAsia="ar-SA"/>
              </w:rPr>
            </w:pPr>
            <w:r w:rsidRPr="006B6D61">
              <w:rPr>
                <w:rFonts w:eastAsia="Times New Roman" w:cstheme="minorHAnsi"/>
                <w:b/>
                <w:bCs/>
                <w:i/>
                <w:lang w:eastAsia="ar-SA"/>
              </w:rPr>
              <w:t>340 917</w:t>
            </w:r>
            <w:r w:rsidR="00F06407" w:rsidRPr="006B6D61">
              <w:rPr>
                <w:rFonts w:eastAsia="Times New Roman" w:cstheme="minorHAnsi"/>
                <w:b/>
                <w:i/>
                <w:lang w:eastAsia="ar-SA"/>
              </w:rPr>
              <w:t xml:space="preserve"> </w:t>
            </w:r>
            <w:r w:rsidR="00E26C31" w:rsidRPr="006B6D61">
              <w:rPr>
                <w:rFonts w:eastAsia="Times New Roman" w:cstheme="minorHAnsi"/>
                <w:b/>
                <w:i/>
                <w:lang w:eastAsia="ar-SA"/>
              </w:rPr>
              <w:t xml:space="preserve">tis. </w:t>
            </w:r>
            <w:r w:rsidR="002D218B" w:rsidRPr="006B6D61">
              <w:rPr>
                <w:rFonts w:eastAsia="Times New Roman" w:cstheme="minorHAnsi"/>
                <w:b/>
                <w:i/>
                <w:lang w:eastAsia="ar-SA"/>
              </w:rPr>
              <w:t>Kč</w:t>
            </w:r>
            <w:r w:rsidR="00F06407" w:rsidRPr="006B6D61">
              <w:rPr>
                <w:rFonts w:eastAsia="Times New Roman" w:cstheme="minorHAnsi"/>
                <w:i/>
                <w:lang w:eastAsia="ar-SA"/>
              </w:rPr>
              <w:t xml:space="preserve"> </w:t>
            </w:r>
          </w:p>
        </w:tc>
      </w:tr>
      <w:tr w:rsidR="002F1BE7" w:rsidRPr="0044012B" w14:paraId="29431D5A" w14:textId="77777777" w:rsidTr="006B6D61">
        <w:trPr>
          <w:trHeight w:val="240"/>
        </w:trPr>
        <w:tc>
          <w:tcPr>
            <w:tcW w:w="9072" w:type="dxa"/>
            <w:gridSpan w:val="2"/>
            <w:shd w:val="clear" w:color="auto" w:fill="auto"/>
            <w:noWrap/>
            <w:vAlign w:val="bottom"/>
            <w:hideMark/>
          </w:tcPr>
          <w:p w14:paraId="363BA559" w14:textId="3EF967E8" w:rsidR="006876B3" w:rsidRPr="006B6D61" w:rsidRDefault="006876B3">
            <w:pPr>
              <w:spacing w:after="0" w:line="240" w:lineRule="auto"/>
              <w:rPr>
                <w:rFonts w:eastAsia="Times New Roman" w:cstheme="minorHAnsi"/>
                <w:lang w:eastAsia="cs-CZ"/>
              </w:rPr>
            </w:pPr>
            <w:r w:rsidRPr="006B6D61">
              <w:rPr>
                <w:rFonts w:eastAsia="Times New Roman" w:cstheme="minorHAnsi"/>
                <w:vertAlign w:val="superscript"/>
                <w:lang w:eastAsia="ar-SA"/>
              </w:rPr>
              <w:t>x</w:t>
            </w:r>
            <w:r w:rsidRPr="006B6D61">
              <w:rPr>
                <w:rFonts w:eastAsia="Times New Roman" w:cstheme="minorHAnsi"/>
                <w:lang w:eastAsia="ar-SA"/>
              </w:rPr>
              <w:t>) z toho:</w:t>
            </w:r>
            <w:r w:rsidR="006F0813" w:rsidRPr="006B6D61">
              <w:rPr>
                <w:rFonts w:eastAsia="Times New Roman" w:cstheme="minorHAnsi"/>
                <w:lang w:eastAsia="ar-SA"/>
              </w:rPr>
              <w:t xml:space="preserve"> </w:t>
            </w:r>
            <w:r w:rsidRPr="006B6D61">
              <w:rPr>
                <w:rFonts w:eastAsia="Times New Roman" w:cstheme="minorHAnsi"/>
                <w:lang w:eastAsia="cs-CZ"/>
              </w:rPr>
              <w:t xml:space="preserve">nároky ve výši </w:t>
            </w:r>
            <w:r w:rsidR="0055298E" w:rsidRPr="006B6D61">
              <w:rPr>
                <w:rFonts w:eastAsia="Times New Roman" w:cstheme="minorHAnsi"/>
                <w:lang w:eastAsia="cs-CZ"/>
              </w:rPr>
              <w:t>120 000</w:t>
            </w:r>
            <w:r w:rsidRPr="006B6D61">
              <w:rPr>
                <w:rFonts w:eastAsia="Times New Roman" w:cstheme="minorHAnsi"/>
                <w:lang w:eastAsia="cs-CZ"/>
              </w:rPr>
              <w:t xml:space="preserve"> tis. Kč (neinvestiční dotace)</w:t>
            </w:r>
          </w:p>
        </w:tc>
      </w:tr>
      <w:tr w:rsidR="002F1BE7" w:rsidRPr="0044012B" w14:paraId="6ED3FBFF" w14:textId="77777777" w:rsidTr="006B6D61">
        <w:trPr>
          <w:trHeight w:val="240"/>
        </w:trPr>
        <w:tc>
          <w:tcPr>
            <w:tcW w:w="9072" w:type="dxa"/>
            <w:gridSpan w:val="2"/>
            <w:shd w:val="clear" w:color="auto" w:fill="auto"/>
            <w:noWrap/>
            <w:vAlign w:val="bottom"/>
          </w:tcPr>
          <w:p w14:paraId="0EC9CD41" w14:textId="0113F472" w:rsidR="006876B3" w:rsidRPr="0077128B" w:rsidRDefault="006876B3">
            <w:pPr>
              <w:spacing w:after="0" w:line="240" w:lineRule="auto"/>
              <w:rPr>
                <w:rFonts w:eastAsia="Times New Roman" w:cstheme="minorHAnsi"/>
                <w:color w:val="FF0000"/>
                <w:lang w:eastAsia="cs-CZ"/>
              </w:rPr>
            </w:pPr>
            <w:r w:rsidRPr="0077128B">
              <w:rPr>
                <w:rFonts w:eastAsia="Times New Roman" w:cstheme="minorHAnsi"/>
                <w:color w:val="FF0000"/>
                <w:lang w:eastAsia="cs-CZ"/>
              </w:rPr>
              <w:tab/>
            </w:r>
            <w:r w:rsidRPr="0077128B">
              <w:rPr>
                <w:rFonts w:eastAsia="Times New Roman" w:cstheme="minorHAnsi"/>
                <w:color w:val="FF0000"/>
                <w:lang w:eastAsia="cs-CZ"/>
              </w:rPr>
              <w:tab/>
            </w:r>
          </w:p>
        </w:tc>
      </w:tr>
    </w:tbl>
    <w:p w14:paraId="05DF98DB" w14:textId="77777777" w:rsidR="00B819AB" w:rsidRPr="006B6D61" w:rsidRDefault="00B819AB" w:rsidP="008A0E44">
      <w:pPr>
        <w:pStyle w:val="KOMnadp4"/>
        <w:rPr>
          <w:lang w:eastAsia="ar-SA"/>
        </w:rPr>
      </w:pPr>
      <w:r w:rsidRPr="006B6D61">
        <w:rPr>
          <w:lang w:eastAsia="ar-SA"/>
        </w:rPr>
        <w:t>Z27 03 Drážní a kombinovaná doprava</w:t>
      </w:r>
    </w:p>
    <w:p w14:paraId="6DF7B923" w14:textId="77777777" w:rsidR="00B819AB" w:rsidRPr="006B6D61" w:rsidRDefault="00B819AB" w:rsidP="00B819AB">
      <w:pPr>
        <w:pStyle w:val="KOMtext"/>
        <w:rPr>
          <w:szCs w:val="24"/>
        </w:rPr>
      </w:pPr>
      <w:r w:rsidRPr="006B6D61">
        <w:rPr>
          <w:szCs w:val="24"/>
        </w:rPr>
        <w:t>Cílem programu je podpora</w:t>
      </w:r>
    </w:p>
    <w:p w14:paraId="53865AAA" w14:textId="77777777" w:rsidR="00B819AB" w:rsidRPr="006B6D61" w:rsidRDefault="00B819AB" w:rsidP="00E54955">
      <w:pPr>
        <w:pStyle w:val="KOModrky"/>
        <w:numPr>
          <w:ilvl w:val="0"/>
          <w:numId w:val="39"/>
        </w:numPr>
        <w:ind w:left="709"/>
      </w:pPr>
      <w:r w:rsidRPr="006B6D61">
        <w:t>dofinancování regionální dopravní obslužnosti veřejnou železniční dopravou dle usnesení vlády ze dne 9. března 2016 č. 191.</w:t>
      </w:r>
    </w:p>
    <w:p w14:paraId="64511BC6" w14:textId="5523BE32" w:rsidR="00B819AB" w:rsidRPr="006B6D61" w:rsidRDefault="00B819AB" w:rsidP="00E54955">
      <w:pPr>
        <w:pStyle w:val="KOModrky"/>
        <w:numPr>
          <w:ilvl w:val="0"/>
          <w:numId w:val="39"/>
        </w:numPr>
        <w:ind w:left="709"/>
      </w:pPr>
      <w:r w:rsidRPr="006B6D61">
        <w:t>podpora přepravy a provozu „</w:t>
      </w:r>
      <w:proofErr w:type="spellStart"/>
      <w:r w:rsidRPr="006B6D61">
        <w:t>Legiovlaku</w:t>
      </w:r>
      <w:proofErr w:type="spellEnd"/>
      <w:r w:rsidRPr="006B6D61">
        <w:t>“ dle usnesení vlády ze dne 15. listopadu 2021 č.</w:t>
      </w:r>
      <w:r w:rsidR="00856E01" w:rsidRPr="006B6D61">
        <w:t xml:space="preserve"> </w:t>
      </w:r>
      <w:r w:rsidRPr="006B6D61">
        <w:t>1026.</w:t>
      </w:r>
    </w:p>
    <w:p w14:paraId="16A369FA" w14:textId="77777777" w:rsidR="00B819AB" w:rsidRPr="006B6D61" w:rsidRDefault="00B819AB" w:rsidP="00E54955">
      <w:pPr>
        <w:pStyle w:val="KOModrky"/>
        <w:numPr>
          <w:ilvl w:val="0"/>
          <w:numId w:val="39"/>
        </w:numPr>
        <w:ind w:left="709"/>
      </w:pPr>
      <w:r w:rsidRPr="006B6D61">
        <w:t xml:space="preserve">podpora provozovatelů železniční nákladní dopravy využívajících elektrickou trakci. </w:t>
      </w:r>
    </w:p>
    <w:p w14:paraId="162556A4" w14:textId="77777777" w:rsidR="00B819AB" w:rsidRPr="006B6D61" w:rsidRDefault="00B819AB" w:rsidP="00395837">
      <w:pPr>
        <w:pStyle w:val="KOMtext"/>
        <w:keepNext/>
        <w:rPr>
          <w:rFonts w:cstheme="minorHAnsi"/>
          <w:b/>
          <w:szCs w:val="24"/>
          <w:u w:val="single"/>
          <w:lang w:eastAsia="ar-SA"/>
        </w:rPr>
      </w:pPr>
      <w:r w:rsidRPr="006B6D61">
        <w:rPr>
          <w:szCs w:val="24"/>
        </w:rPr>
        <w:lastRenderedPageBreak/>
        <w:t>Program se skládá z agregací</w:t>
      </w:r>
    </w:p>
    <w:p w14:paraId="31799B9C" w14:textId="61126437" w:rsidR="00B819AB" w:rsidRPr="006B6D61" w:rsidRDefault="00B819AB">
      <w:pPr>
        <w:pStyle w:val="KOModrky"/>
      </w:pPr>
      <w:r w:rsidRPr="006B6D61">
        <w:t>Z270301 Drážní a kombinovaná doprava agregace</w:t>
      </w:r>
    </w:p>
    <w:p w14:paraId="32918D92" w14:textId="3C7107AA" w:rsidR="006876B3" w:rsidRPr="006B6D61" w:rsidRDefault="006876B3">
      <w:pPr>
        <w:pStyle w:val="KOModrky"/>
      </w:pPr>
      <w:r w:rsidRPr="006B6D61">
        <w:t>Z270302 Úhrada ztráty ze závazku veřejné služby ve veřejné drážní osobní dopravě</w:t>
      </w:r>
    </w:p>
    <w:p w14:paraId="573FCCD6" w14:textId="3E0541A3" w:rsidR="006876B3" w:rsidRPr="006B6D61" w:rsidRDefault="006876B3">
      <w:pPr>
        <w:pStyle w:val="KOModrky"/>
      </w:pPr>
      <w:r w:rsidRPr="006B6D61">
        <w:t>Z270303 Příspěvek na dopravní cestu nehrazený SFDI</w:t>
      </w:r>
    </w:p>
    <w:p w14:paraId="6AB3EA1F" w14:textId="435D3D58" w:rsidR="006876B3" w:rsidRPr="006B6D61" w:rsidRDefault="006876B3">
      <w:pPr>
        <w:pStyle w:val="KOModrky"/>
      </w:pPr>
      <w:r w:rsidRPr="006B6D61">
        <w:t>Z270304 Kombinovaná doprava</w:t>
      </w:r>
    </w:p>
    <w:p w14:paraId="6B073607" w14:textId="0B917C9B" w:rsidR="006876B3" w:rsidRPr="006B6D61" w:rsidRDefault="006876B3">
      <w:pPr>
        <w:pStyle w:val="KOModrky"/>
      </w:pPr>
      <w:r w:rsidRPr="006B6D61">
        <w:t>Z270305 Ostatní výdaje spojené s drážní dopravou</w:t>
      </w:r>
    </w:p>
    <w:p w14:paraId="0D3612FC" w14:textId="7E826F63" w:rsidR="00F163B7" w:rsidRPr="006B6D61" w:rsidRDefault="00F163B7" w:rsidP="0077128B">
      <w:pPr>
        <w:pStyle w:val="KOMtext"/>
      </w:pPr>
      <w:r w:rsidRPr="006B6D61">
        <w:t xml:space="preserve">V roce </w:t>
      </w:r>
      <w:r w:rsidR="00996B65" w:rsidRPr="006B6D61">
        <w:t>2023</w:t>
      </w:r>
      <w:r w:rsidRPr="006B6D61">
        <w:t xml:space="preserve"> byly čerpány prostředky pouze v agregaci </w:t>
      </w:r>
      <w:r w:rsidR="00B819AB" w:rsidRPr="006B6D61">
        <w:rPr>
          <w:i/>
        </w:rPr>
        <w:t xml:space="preserve">Z270302 </w:t>
      </w:r>
      <w:r w:rsidRPr="006B6D61">
        <w:rPr>
          <w:i/>
        </w:rPr>
        <w:t>„</w:t>
      </w:r>
      <w:r w:rsidR="00B819AB" w:rsidRPr="006B6D61">
        <w:rPr>
          <w:i/>
        </w:rPr>
        <w:t>Úhrada ztráty ze závazku veřejné služby ve veřejné drážní osobní dopravě</w:t>
      </w:r>
      <w:r w:rsidRPr="006B6D61">
        <w:t xml:space="preserve">“ a v agregaci </w:t>
      </w:r>
      <w:r w:rsidRPr="006B6D61">
        <w:rPr>
          <w:i/>
        </w:rPr>
        <w:t>Z270305 „Ostatní výdaje spojené s drážní dopravou“</w:t>
      </w:r>
      <w:r w:rsidRPr="006B6D61">
        <w:t>.</w:t>
      </w:r>
    </w:p>
    <w:p w14:paraId="6995C1B1" w14:textId="09109432" w:rsidR="00B819AB" w:rsidRPr="006B6D61" w:rsidRDefault="00F163B7" w:rsidP="0077128B">
      <w:pPr>
        <w:pStyle w:val="KOMtext"/>
      </w:pPr>
      <w:r w:rsidRPr="006B6D61">
        <w:t xml:space="preserve">V agregaci </w:t>
      </w:r>
      <w:r w:rsidR="00B819AB" w:rsidRPr="006B6D61">
        <w:rPr>
          <w:i/>
        </w:rPr>
        <w:t xml:space="preserve">Z270302 </w:t>
      </w:r>
      <w:r w:rsidRPr="006B6D61">
        <w:rPr>
          <w:i/>
        </w:rPr>
        <w:t>„</w:t>
      </w:r>
      <w:r w:rsidR="00B819AB" w:rsidRPr="006B6D61">
        <w:rPr>
          <w:i/>
        </w:rPr>
        <w:t>Úhrada ztráty ze závazku veřejné služby ve veřejné drážní osobní dopravě</w:t>
      </w:r>
      <w:r w:rsidRPr="006B6D61">
        <w:rPr>
          <w:i/>
        </w:rPr>
        <w:t>“</w:t>
      </w:r>
      <w:r w:rsidRPr="006B6D61">
        <w:t xml:space="preserve"> byla čerpána neinvestiční dotace ve výši 3</w:t>
      </w:r>
      <w:r w:rsidR="00996B65" w:rsidRPr="006B6D61">
        <w:t xml:space="preserve"> 406 </w:t>
      </w:r>
      <w:r w:rsidR="00D12BC8" w:rsidRPr="006B6D61">
        <w:t>230</w:t>
      </w:r>
      <w:r w:rsidRPr="006B6D61">
        <w:t xml:space="preserve"> tis. Kč</w:t>
      </w:r>
      <w:r w:rsidR="0061790D" w:rsidRPr="006B6D61">
        <w:t xml:space="preserve">. </w:t>
      </w:r>
      <w:r w:rsidR="00B819AB" w:rsidRPr="006B6D61">
        <w:t>Dotace byla určena na dofinancování</w:t>
      </w:r>
      <w:r w:rsidR="006F0813" w:rsidRPr="006B6D61">
        <w:t xml:space="preserve"> </w:t>
      </w:r>
      <w:r w:rsidR="00B819AB" w:rsidRPr="006B6D61">
        <w:t>územní dopravní obslužnosti, kterou si objednávají kraje a hl. m. Praha</w:t>
      </w:r>
      <w:r w:rsidRPr="006B6D61">
        <w:t>.</w:t>
      </w:r>
    </w:p>
    <w:p w14:paraId="1D2CDAFC" w14:textId="0BCD92CB" w:rsidR="00E921FC" w:rsidRPr="0077128B" w:rsidRDefault="004B499A">
      <w:pPr>
        <w:pStyle w:val="KOMtext"/>
        <w:rPr>
          <w:color w:val="FF0000"/>
        </w:rPr>
      </w:pPr>
      <w:r w:rsidRPr="006B6D61">
        <w:t xml:space="preserve">V agregaci </w:t>
      </w:r>
      <w:r w:rsidRPr="006B6D61">
        <w:rPr>
          <w:i/>
        </w:rPr>
        <w:t>Z270305 „Ostatní výdaje spojené s drážní dopravou“</w:t>
      </w:r>
      <w:r w:rsidRPr="006B6D61">
        <w:t xml:space="preserve"> byla čerpána neinvestiční dotace ve výši </w:t>
      </w:r>
      <w:r w:rsidR="001D7884" w:rsidRPr="006B6D61">
        <w:t>97 562</w:t>
      </w:r>
      <w:r w:rsidRPr="006B6D61">
        <w:t xml:space="preserve"> tis. Kč, z toho nároky </w:t>
      </w:r>
      <w:r w:rsidR="001955E9" w:rsidRPr="006B6D61">
        <w:t>96 029</w:t>
      </w:r>
      <w:r w:rsidRPr="006B6D61">
        <w:t xml:space="preserve"> tis. Kč</w:t>
      </w:r>
      <w:r w:rsidR="00E921FC" w:rsidRPr="006B6D61">
        <w:t xml:space="preserve">. Dotace byla určena na </w:t>
      </w:r>
      <w:bookmarkStart w:id="614" w:name="_Hlk162267339"/>
      <w:r w:rsidR="00E921FC" w:rsidRPr="006B6D61">
        <w:t xml:space="preserve">podporu využití nákladní železniční dopravy s využitím elektrické trakce </w:t>
      </w:r>
      <w:r w:rsidR="001955E9" w:rsidRPr="006B6D61">
        <w:t>(ROCET)</w:t>
      </w:r>
      <w:bookmarkEnd w:id="614"/>
      <w:r w:rsidR="00E921FC" w:rsidRPr="006B6D61">
        <w:t xml:space="preserve"> a </w:t>
      </w:r>
      <w:r w:rsidR="00CB4799" w:rsidRPr="006B6D61">
        <w:t xml:space="preserve">na </w:t>
      </w:r>
      <w:r w:rsidR="00E921FC" w:rsidRPr="006B6D61">
        <w:t>projekt „</w:t>
      </w:r>
      <w:proofErr w:type="spellStart"/>
      <w:r w:rsidR="00E921FC" w:rsidRPr="006B6D61">
        <w:t>Legiovlak</w:t>
      </w:r>
      <w:proofErr w:type="spellEnd"/>
      <w:r w:rsidR="00E921FC" w:rsidRPr="006B6D61">
        <w:t>“.</w:t>
      </w:r>
    </w:p>
    <w:p w14:paraId="1E3B1A46" w14:textId="68852FD0" w:rsidR="00B819AB" w:rsidRPr="006B6D61" w:rsidRDefault="00B819AB" w:rsidP="00BA4E5A">
      <w:pPr>
        <w:keepNext/>
        <w:keepLines/>
        <w:spacing w:before="120" w:after="120" w:line="276" w:lineRule="auto"/>
        <w:jc w:val="both"/>
        <w:rPr>
          <w:rFonts w:eastAsia="Times New Roman" w:cstheme="minorHAnsi"/>
          <w:b/>
          <w:i/>
          <w:lang w:eastAsia="ar-SA"/>
        </w:rPr>
      </w:pPr>
      <w:r w:rsidRPr="006B6D61">
        <w:rPr>
          <w:rFonts w:eastAsia="Times New Roman" w:cstheme="minorHAnsi"/>
          <w:b/>
          <w:i/>
          <w:lang w:eastAsia="ar-SA"/>
        </w:rPr>
        <w:t>Skutečné čerpání za rok 202</w:t>
      </w:r>
      <w:r w:rsidR="001955E9" w:rsidRPr="006B6D61">
        <w:rPr>
          <w:rFonts w:eastAsia="Times New Roman" w:cstheme="minorHAnsi"/>
          <w:b/>
          <w:bCs/>
          <w:i/>
          <w:lang w:eastAsia="ar-SA"/>
        </w:rPr>
        <w:t>3</w:t>
      </w:r>
      <w:r w:rsidRPr="006B6D61">
        <w:rPr>
          <w:rFonts w:eastAsia="Times New Roman" w:cstheme="minorHAnsi"/>
          <w:b/>
          <w:i/>
          <w:lang w:eastAsia="ar-SA"/>
        </w:rPr>
        <w:t>:</w:t>
      </w:r>
      <w:r w:rsidRPr="006B6D61">
        <w:rPr>
          <w:rFonts w:eastAsia="Times New Roman" w:cstheme="minorHAnsi"/>
          <w:b/>
          <w:i/>
          <w:lang w:eastAsia="ar-SA"/>
        </w:rPr>
        <w:tab/>
      </w:r>
    </w:p>
    <w:tbl>
      <w:tblPr>
        <w:tblW w:w="9228" w:type="dxa"/>
        <w:tblLayout w:type="fixed"/>
        <w:tblCellMar>
          <w:left w:w="70" w:type="dxa"/>
          <w:right w:w="70" w:type="dxa"/>
        </w:tblCellMar>
        <w:tblLook w:val="0000" w:firstRow="0" w:lastRow="0" w:firstColumn="0" w:lastColumn="0" w:noHBand="0" w:noVBand="0"/>
      </w:tblPr>
      <w:tblGrid>
        <w:gridCol w:w="7309"/>
        <w:gridCol w:w="1919"/>
      </w:tblGrid>
      <w:tr w:rsidR="002F1BE7" w:rsidRPr="00C04680" w14:paraId="4B54106B" w14:textId="77777777" w:rsidTr="007F3E4E">
        <w:trPr>
          <w:trHeight w:val="697"/>
        </w:trPr>
        <w:tc>
          <w:tcPr>
            <w:tcW w:w="7309" w:type="dxa"/>
          </w:tcPr>
          <w:p w14:paraId="27E27521" w14:textId="36AD24DE" w:rsidR="00B819AB" w:rsidRPr="006B6D61" w:rsidRDefault="00B819AB" w:rsidP="00D05A89">
            <w:pPr>
              <w:numPr>
                <w:ilvl w:val="0"/>
                <w:numId w:val="16"/>
              </w:numPr>
              <w:tabs>
                <w:tab w:val="left" w:pos="283"/>
              </w:tabs>
              <w:suppressAutoHyphens/>
              <w:snapToGrid w:val="0"/>
              <w:spacing w:after="120" w:line="240" w:lineRule="auto"/>
              <w:ind w:left="284" w:hanging="284"/>
              <w:rPr>
                <w:rFonts w:eastAsia="Times New Roman" w:cstheme="minorHAnsi"/>
                <w:i/>
                <w:sz w:val="24"/>
                <w:szCs w:val="24"/>
                <w:lang w:eastAsia="ar-SA"/>
              </w:rPr>
            </w:pPr>
            <w:r w:rsidRPr="006B6D61">
              <w:rPr>
                <w:rFonts w:eastAsia="Times New Roman" w:cstheme="minorHAnsi"/>
                <w:b/>
                <w:i/>
                <w:sz w:val="24"/>
                <w:szCs w:val="24"/>
                <w:lang w:eastAsia="ar-SA"/>
              </w:rPr>
              <w:t>ze státního rozpočtu (neinvestiční dotace)</w:t>
            </w:r>
            <w:r w:rsidR="00474F05" w:rsidRPr="006B6D61">
              <w:rPr>
                <w:rFonts w:eastAsia="Times New Roman" w:cstheme="minorHAnsi"/>
                <w:b/>
                <w:i/>
                <w:sz w:val="24"/>
                <w:szCs w:val="24"/>
                <w:lang w:eastAsia="ar-SA"/>
              </w:rPr>
              <w:t xml:space="preserve"> </w:t>
            </w:r>
            <w:r w:rsidR="00474F05" w:rsidRPr="006B6D61">
              <w:rPr>
                <w:rFonts w:eastAsia="Times New Roman" w:cstheme="minorHAnsi"/>
                <w:sz w:val="24"/>
                <w:szCs w:val="24"/>
                <w:vertAlign w:val="superscript"/>
                <w:lang w:eastAsia="ar-SA"/>
              </w:rPr>
              <w:t>x</w:t>
            </w:r>
            <w:r w:rsidR="00474F05" w:rsidRPr="006B6D61">
              <w:rPr>
                <w:rFonts w:eastAsia="Times New Roman" w:cstheme="minorHAnsi"/>
                <w:sz w:val="24"/>
                <w:szCs w:val="24"/>
                <w:lang w:eastAsia="ar-SA"/>
              </w:rPr>
              <w:t>)</w:t>
            </w:r>
          </w:p>
          <w:p w14:paraId="5CD82205" w14:textId="588835FF" w:rsidR="00B819AB" w:rsidRPr="006B6D61" w:rsidRDefault="00B819AB" w:rsidP="00D3010F">
            <w:pPr>
              <w:tabs>
                <w:tab w:val="left" w:pos="283"/>
              </w:tabs>
              <w:suppressAutoHyphens/>
              <w:snapToGrid w:val="0"/>
              <w:spacing w:after="0" w:line="240" w:lineRule="auto"/>
              <w:ind w:left="216"/>
              <w:rPr>
                <w:rFonts w:eastAsia="Times New Roman" w:cstheme="minorHAnsi"/>
                <w:i/>
                <w:sz w:val="24"/>
                <w:szCs w:val="24"/>
                <w:lang w:eastAsia="ar-SA"/>
              </w:rPr>
            </w:pPr>
            <w:r w:rsidRPr="006B6D61">
              <w:rPr>
                <w:rFonts w:eastAsia="Times New Roman" w:cstheme="minorHAnsi"/>
                <w:b/>
                <w:i/>
                <w:sz w:val="24"/>
                <w:szCs w:val="24"/>
                <w:lang w:eastAsia="ar-SA"/>
              </w:rPr>
              <w:t xml:space="preserve"> </w:t>
            </w:r>
            <w:r w:rsidR="004B499A" w:rsidRPr="006B6D61">
              <w:rPr>
                <w:rFonts w:eastAsia="Times New Roman" w:cstheme="minorHAnsi"/>
                <w:sz w:val="24"/>
                <w:szCs w:val="24"/>
                <w:vertAlign w:val="superscript"/>
                <w:lang w:eastAsia="ar-SA"/>
              </w:rPr>
              <w:t>x</w:t>
            </w:r>
            <w:r w:rsidR="004B499A" w:rsidRPr="006B6D61">
              <w:rPr>
                <w:rFonts w:eastAsia="Times New Roman" w:cstheme="minorHAnsi"/>
                <w:sz w:val="24"/>
                <w:szCs w:val="24"/>
                <w:lang w:eastAsia="ar-SA"/>
              </w:rPr>
              <w:t>) z toho:</w:t>
            </w:r>
            <w:r w:rsidR="009B0D06" w:rsidRPr="006B6D61">
              <w:rPr>
                <w:rFonts w:eastAsia="Times New Roman" w:cstheme="minorHAnsi"/>
                <w:sz w:val="24"/>
                <w:szCs w:val="24"/>
                <w:lang w:eastAsia="ar-SA"/>
              </w:rPr>
              <w:t xml:space="preserve"> </w:t>
            </w:r>
            <w:r w:rsidR="004B499A" w:rsidRPr="006B6D61">
              <w:rPr>
                <w:rFonts w:eastAsia="Times New Roman" w:cstheme="minorHAnsi"/>
                <w:sz w:val="24"/>
                <w:szCs w:val="24"/>
                <w:lang w:eastAsia="cs-CZ"/>
              </w:rPr>
              <w:t xml:space="preserve">nároky ve výši </w:t>
            </w:r>
            <w:r w:rsidR="00D22661" w:rsidRPr="006B6D61">
              <w:rPr>
                <w:rFonts w:eastAsia="Times New Roman" w:cstheme="minorHAnsi"/>
                <w:sz w:val="24"/>
                <w:szCs w:val="24"/>
                <w:lang w:eastAsia="cs-CZ"/>
              </w:rPr>
              <w:t>96 029</w:t>
            </w:r>
            <w:r w:rsidR="004B499A" w:rsidRPr="006B6D61">
              <w:rPr>
                <w:rFonts w:eastAsia="Times New Roman" w:cstheme="minorHAnsi"/>
                <w:sz w:val="24"/>
                <w:szCs w:val="24"/>
                <w:lang w:eastAsia="cs-CZ"/>
              </w:rPr>
              <w:t xml:space="preserve"> tis. Kč (neinvestiční dotace)</w:t>
            </w:r>
            <w:r w:rsidRPr="006B6D61">
              <w:rPr>
                <w:rFonts w:eastAsia="Times New Roman" w:cstheme="minorHAnsi"/>
                <w:b/>
                <w:i/>
                <w:sz w:val="24"/>
                <w:szCs w:val="24"/>
                <w:lang w:eastAsia="ar-SA"/>
              </w:rPr>
              <w:t xml:space="preserve"> </w:t>
            </w:r>
          </w:p>
        </w:tc>
        <w:tc>
          <w:tcPr>
            <w:tcW w:w="1919" w:type="dxa"/>
          </w:tcPr>
          <w:p w14:paraId="6A9DFF58" w14:textId="6B8AEDB4" w:rsidR="00B819AB" w:rsidRPr="006B6D61" w:rsidRDefault="0075637B" w:rsidP="007F3E4E">
            <w:pPr>
              <w:snapToGrid w:val="0"/>
              <w:spacing w:after="0" w:line="240" w:lineRule="auto"/>
              <w:jc w:val="right"/>
              <w:rPr>
                <w:rFonts w:eastAsia="Times New Roman" w:cstheme="minorHAnsi"/>
                <w:b/>
                <w:i/>
                <w:sz w:val="24"/>
                <w:szCs w:val="24"/>
                <w:lang w:eastAsia="ar-SA"/>
              </w:rPr>
            </w:pPr>
            <w:r w:rsidRPr="006B6D61">
              <w:rPr>
                <w:rFonts w:eastAsia="Times New Roman" w:cstheme="minorHAnsi"/>
                <w:b/>
                <w:i/>
                <w:sz w:val="24"/>
                <w:szCs w:val="24"/>
                <w:lang w:eastAsia="ar-SA"/>
              </w:rPr>
              <w:t>3 </w:t>
            </w:r>
            <w:r w:rsidRPr="006B6D61">
              <w:rPr>
                <w:rFonts w:eastAsia="Times New Roman" w:cstheme="minorHAnsi"/>
                <w:b/>
                <w:bCs/>
                <w:i/>
                <w:sz w:val="24"/>
                <w:szCs w:val="24"/>
                <w:lang w:eastAsia="ar-SA"/>
              </w:rPr>
              <w:t>5</w:t>
            </w:r>
            <w:r w:rsidR="00CD087D" w:rsidRPr="006B6D61">
              <w:rPr>
                <w:rFonts w:eastAsia="Times New Roman" w:cstheme="minorHAnsi"/>
                <w:b/>
                <w:bCs/>
                <w:i/>
                <w:sz w:val="24"/>
                <w:szCs w:val="24"/>
                <w:lang w:eastAsia="ar-SA"/>
              </w:rPr>
              <w:t>0</w:t>
            </w:r>
            <w:r w:rsidRPr="006B6D61">
              <w:rPr>
                <w:rFonts w:eastAsia="Times New Roman" w:cstheme="minorHAnsi"/>
                <w:b/>
                <w:bCs/>
                <w:i/>
                <w:sz w:val="24"/>
                <w:szCs w:val="24"/>
                <w:lang w:eastAsia="ar-SA"/>
              </w:rPr>
              <w:t>3</w:t>
            </w:r>
            <w:r w:rsidRPr="006B6D61">
              <w:rPr>
                <w:rFonts w:eastAsia="Times New Roman" w:cstheme="minorHAnsi"/>
                <w:b/>
                <w:i/>
                <w:sz w:val="24"/>
                <w:szCs w:val="24"/>
                <w:lang w:eastAsia="ar-SA"/>
              </w:rPr>
              <w:t xml:space="preserve"> </w:t>
            </w:r>
            <w:r w:rsidR="00CD087D" w:rsidRPr="006B6D61">
              <w:rPr>
                <w:rFonts w:eastAsia="Times New Roman" w:cstheme="minorHAnsi"/>
                <w:b/>
                <w:bCs/>
                <w:i/>
                <w:sz w:val="24"/>
                <w:szCs w:val="24"/>
                <w:lang w:eastAsia="ar-SA"/>
              </w:rPr>
              <w:t xml:space="preserve">792 </w:t>
            </w:r>
            <w:r w:rsidR="00B819AB" w:rsidRPr="006B6D61">
              <w:rPr>
                <w:rFonts w:eastAsia="Times New Roman" w:cstheme="minorHAnsi"/>
                <w:b/>
                <w:i/>
                <w:sz w:val="24"/>
                <w:szCs w:val="24"/>
                <w:lang w:eastAsia="ar-SA"/>
              </w:rPr>
              <w:t>tis. Kč</w:t>
            </w:r>
          </w:p>
          <w:p w14:paraId="07971D84" w14:textId="77777777" w:rsidR="00B819AB" w:rsidRPr="006B6D61" w:rsidRDefault="00B819AB" w:rsidP="007F3E4E">
            <w:pPr>
              <w:spacing w:after="0" w:line="240" w:lineRule="auto"/>
              <w:jc w:val="right"/>
              <w:rPr>
                <w:rFonts w:eastAsia="Times New Roman" w:cstheme="minorHAnsi"/>
                <w:i/>
                <w:sz w:val="24"/>
                <w:szCs w:val="24"/>
                <w:lang w:eastAsia="ar-SA"/>
              </w:rPr>
            </w:pPr>
          </w:p>
        </w:tc>
      </w:tr>
    </w:tbl>
    <w:p w14:paraId="62256BBF" w14:textId="77777777" w:rsidR="00B819AB" w:rsidRPr="006B6D61" w:rsidRDefault="00B819AB" w:rsidP="008A0E44">
      <w:pPr>
        <w:pStyle w:val="KOMnadp4"/>
        <w:rPr>
          <w:lang w:eastAsia="ar-SA"/>
        </w:rPr>
      </w:pPr>
      <w:r w:rsidRPr="006B6D61">
        <w:rPr>
          <w:lang w:eastAsia="ar-SA"/>
        </w:rPr>
        <w:t>Z27 04 Mimořádné situace</w:t>
      </w:r>
    </w:p>
    <w:p w14:paraId="113FEA83" w14:textId="3ED30D67" w:rsidR="00E921FC" w:rsidRPr="006B6D61" w:rsidRDefault="00E921FC" w:rsidP="00B819AB">
      <w:pPr>
        <w:pStyle w:val="KOMtext"/>
      </w:pPr>
      <w:r w:rsidRPr="006B6D61">
        <w:t xml:space="preserve">Cílem programu je evidence výdajů související s mimořádnými opatřeními, jako jsou </w:t>
      </w:r>
      <w:r w:rsidR="00395837">
        <w:br/>
      </w:r>
      <w:r w:rsidRPr="006B6D61">
        <w:t xml:space="preserve">např. pandemie COVID nebo škody způsobené </w:t>
      </w:r>
      <w:r w:rsidR="00395837" w:rsidRPr="006B6D61">
        <w:t>živelními</w:t>
      </w:r>
      <w:r w:rsidRPr="006B6D61">
        <w:t xml:space="preserve"> katastrofami. </w:t>
      </w:r>
    </w:p>
    <w:p w14:paraId="3A21648B" w14:textId="56E85F68" w:rsidR="00474F05" w:rsidRPr="006B6D61" w:rsidRDefault="00B819AB" w:rsidP="00D3010F">
      <w:pPr>
        <w:pStyle w:val="KOMtext"/>
      </w:pPr>
      <w:r w:rsidRPr="006B6D61">
        <w:t xml:space="preserve">Program se skládá z agregace </w:t>
      </w:r>
      <w:r w:rsidRPr="006B6D61">
        <w:rPr>
          <w:i/>
        </w:rPr>
        <w:t xml:space="preserve">Z270401 </w:t>
      </w:r>
      <w:r w:rsidR="006B3CA2" w:rsidRPr="006B6D61">
        <w:rPr>
          <w:i/>
        </w:rPr>
        <w:t>„</w:t>
      </w:r>
      <w:r w:rsidRPr="006B6D61">
        <w:rPr>
          <w:i/>
        </w:rPr>
        <w:t>Mimořádné situace agregace</w:t>
      </w:r>
      <w:r w:rsidR="006B3CA2" w:rsidRPr="006B6D61">
        <w:rPr>
          <w:i/>
        </w:rPr>
        <w:t>“</w:t>
      </w:r>
      <w:r w:rsidRPr="006B6D61">
        <w:t>.</w:t>
      </w:r>
      <w:r w:rsidR="00E921FC" w:rsidRPr="006B6D61">
        <w:t xml:space="preserve"> </w:t>
      </w:r>
      <w:r w:rsidR="004B499A" w:rsidRPr="006B6D61">
        <w:t xml:space="preserve">V roce </w:t>
      </w:r>
      <w:r w:rsidR="00657E60" w:rsidRPr="006B6D61">
        <w:t>2023 ne</w:t>
      </w:r>
      <w:r w:rsidR="004B499A" w:rsidRPr="006B6D61">
        <w:t>byl</w:t>
      </w:r>
      <w:r w:rsidR="00130920" w:rsidRPr="006B6D61">
        <w:t>a</w:t>
      </w:r>
      <w:r w:rsidR="004B499A" w:rsidRPr="006B6D61">
        <w:t xml:space="preserve"> v rámci dané agregace </w:t>
      </w:r>
      <w:r w:rsidR="00657E60" w:rsidRPr="006B6D61">
        <w:t>poskytnuta žádná dotace na mimořádné situace</w:t>
      </w:r>
      <w:r w:rsidR="00474F05" w:rsidRPr="006B6D61">
        <w:t>.</w:t>
      </w:r>
    </w:p>
    <w:p w14:paraId="6C5911C2" w14:textId="2BA10CC6" w:rsidR="00B819AB" w:rsidRPr="006B6D61" w:rsidRDefault="00B819AB" w:rsidP="00B819AB">
      <w:pPr>
        <w:keepLines/>
        <w:spacing w:before="120" w:after="120" w:line="276" w:lineRule="auto"/>
        <w:jc w:val="both"/>
        <w:rPr>
          <w:rFonts w:eastAsia="Times New Roman" w:cstheme="minorHAnsi"/>
          <w:b/>
          <w:i/>
          <w:lang w:eastAsia="ar-SA"/>
        </w:rPr>
      </w:pPr>
      <w:r w:rsidRPr="006B6D61">
        <w:rPr>
          <w:rFonts w:eastAsia="Times New Roman" w:cstheme="minorHAnsi"/>
          <w:b/>
          <w:i/>
          <w:lang w:eastAsia="ar-SA"/>
        </w:rPr>
        <w:t xml:space="preserve">Skutečné čerpání za rok </w:t>
      </w:r>
      <w:r w:rsidR="00D24297" w:rsidRPr="006B6D61">
        <w:rPr>
          <w:rFonts w:eastAsia="Times New Roman" w:cstheme="minorHAnsi"/>
          <w:b/>
          <w:bCs/>
          <w:i/>
          <w:lang w:eastAsia="ar-SA"/>
        </w:rPr>
        <w:t>2023</w:t>
      </w:r>
      <w:r w:rsidRPr="006B6D61">
        <w:rPr>
          <w:rFonts w:eastAsia="Times New Roman" w:cstheme="minorHAnsi"/>
          <w:b/>
          <w:i/>
          <w:lang w:eastAsia="ar-SA"/>
        </w:rPr>
        <w:t>:</w:t>
      </w:r>
      <w:r w:rsidRPr="006B6D61">
        <w:rPr>
          <w:rFonts w:eastAsia="Times New Roman" w:cstheme="minorHAnsi"/>
          <w:b/>
          <w:i/>
          <w:lang w:eastAsia="ar-SA"/>
        </w:rPr>
        <w:tab/>
      </w:r>
    </w:p>
    <w:tbl>
      <w:tblPr>
        <w:tblW w:w="9228" w:type="dxa"/>
        <w:tblLayout w:type="fixed"/>
        <w:tblCellMar>
          <w:left w:w="70" w:type="dxa"/>
          <w:right w:w="70" w:type="dxa"/>
        </w:tblCellMar>
        <w:tblLook w:val="0000" w:firstRow="0" w:lastRow="0" w:firstColumn="0" w:lastColumn="0" w:noHBand="0" w:noVBand="0"/>
      </w:tblPr>
      <w:tblGrid>
        <w:gridCol w:w="7309"/>
        <w:gridCol w:w="1919"/>
      </w:tblGrid>
      <w:tr w:rsidR="002F1BE7" w:rsidRPr="00657E60" w14:paraId="37926BD6" w14:textId="77777777" w:rsidTr="00395837">
        <w:trPr>
          <w:trHeight w:val="522"/>
        </w:trPr>
        <w:tc>
          <w:tcPr>
            <w:tcW w:w="7309" w:type="dxa"/>
          </w:tcPr>
          <w:p w14:paraId="1B012E64" w14:textId="01FF622B" w:rsidR="00B819AB" w:rsidRPr="00395837" w:rsidRDefault="00B819AB" w:rsidP="00395837">
            <w:pPr>
              <w:numPr>
                <w:ilvl w:val="0"/>
                <w:numId w:val="16"/>
              </w:numPr>
              <w:tabs>
                <w:tab w:val="left" w:pos="283"/>
              </w:tabs>
              <w:suppressAutoHyphens/>
              <w:snapToGrid w:val="0"/>
              <w:spacing w:after="120" w:line="240" w:lineRule="auto"/>
              <w:ind w:left="284" w:hanging="284"/>
              <w:rPr>
                <w:rFonts w:eastAsia="Times New Roman" w:cstheme="minorHAnsi"/>
                <w:i/>
                <w:sz w:val="24"/>
                <w:szCs w:val="24"/>
                <w:lang w:eastAsia="ar-SA"/>
              </w:rPr>
            </w:pPr>
            <w:r w:rsidRPr="006B6D61">
              <w:rPr>
                <w:rFonts w:eastAsia="Times New Roman" w:cstheme="minorHAnsi"/>
                <w:b/>
                <w:i/>
                <w:sz w:val="24"/>
                <w:szCs w:val="24"/>
                <w:lang w:eastAsia="ar-SA"/>
              </w:rPr>
              <w:t>ze státního rozpočtu (neinvestiční dotace)</w:t>
            </w:r>
            <w:r w:rsidR="00474F05" w:rsidRPr="006B6D61">
              <w:rPr>
                <w:rFonts w:eastAsia="Times New Roman" w:cstheme="minorHAnsi"/>
                <w:b/>
                <w:i/>
                <w:sz w:val="24"/>
                <w:szCs w:val="24"/>
                <w:lang w:eastAsia="ar-SA"/>
              </w:rPr>
              <w:t xml:space="preserve"> </w:t>
            </w:r>
          </w:p>
        </w:tc>
        <w:tc>
          <w:tcPr>
            <w:tcW w:w="1919" w:type="dxa"/>
          </w:tcPr>
          <w:p w14:paraId="4FDB9FE8" w14:textId="5F346494" w:rsidR="00B819AB" w:rsidRPr="00395837" w:rsidRDefault="00D24297" w:rsidP="00395837">
            <w:pPr>
              <w:snapToGrid w:val="0"/>
              <w:spacing w:after="0" w:line="240" w:lineRule="auto"/>
              <w:jc w:val="right"/>
              <w:rPr>
                <w:rFonts w:eastAsia="Times New Roman" w:cstheme="minorHAnsi"/>
                <w:b/>
                <w:i/>
                <w:sz w:val="24"/>
                <w:szCs w:val="24"/>
                <w:lang w:eastAsia="ar-SA"/>
              </w:rPr>
            </w:pPr>
            <w:r w:rsidRPr="006B6D61">
              <w:rPr>
                <w:rFonts w:eastAsia="Times New Roman" w:cstheme="minorHAnsi"/>
                <w:b/>
                <w:bCs/>
                <w:i/>
                <w:sz w:val="24"/>
                <w:szCs w:val="24"/>
                <w:lang w:eastAsia="ar-SA"/>
              </w:rPr>
              <w:t>0</w:t>
            </w:r>
            <w:r w:rsidR="00474F05" w:rsidRPr="006B6D61">
              <w:rPr>
                <w:rFonts w:eastAsia="Times New Roman" w:cstheme="minorHAnsi"/>
                <w:b/>
                <w:i/>
                <w:sz w:val="24"/>
                <w:szCs w:val="24"/>
                <w:lang w:eastAsia="ar-SA"/>
              </w:rPr>
              <w:t xml:space="preserve"> </w:t>
            </w:r>
            <w:r w:rsidR="00B819AB" w:rsidRPr="006B6D61">
              <w:rPr>
                <w:rFonts w:eastAsia="Times New Roman" w:cstheme="minorHAnsi"/>
                <w:b/>
                <w:i/>
                <w:sz w:val="24"/>
                <w:szCs w:val="24"/>
                <w:lang w:eastAsia="ar-SA"/>
              </w:rPr>
              <w:t>tis. Kč</w:t>
            </w:r>
          </w:p>
        </w:tc>
      </w:tr>
    </w:tbl>
    <w:p w14:paraId="25AFD474" w14:textId="77777777" w:rsidR="005755EF" w:rsidRPr="00E87DF7" w:rsidRDefault="005755EF" w:rsidP="005755EF">
      <w:pPr>
        <w:rPr>
          <w:b/>
          <w:bCs/>
          <w:sz w:val="24"/>
          <w:szCs w:val="24"/>
          <w:u w:val="single"/>
        </w:rPr>
      </w:pPr>
      <w:bookmarkStart w:id="615" w:name="_Toc128660423"/>
      <w:bookmarkStart w:id="616" w:name="_Toc128660721"/>
      <w:bookmarkStart w:id="617" w:name="_Toc128660938"/>
      <w:bookmarkStart w:id="618" w:name="_Toc128661153"/>
      <w:bookmarkStart w:id="619" w:name="_Toc128661368"/>
      <w:bookmarkStart w:id="620" w:name="_Toc128666826"/>
      <w:bookmarkStart w:id="621" w:name="_Toc128667058"/>
      <w:bookmarkStart w:id="622" w:name="_Toc128670328"/>
      <w:bookmarkStart w:id="623" w:name="_Toc128660426"/>
      <w:bookmarkStart w:id="624" w:name="_Toc128660724"/>
      <w:bookmarkStart w:id="625" w:name="_Toc128660941"/>
      <w:bookmarkStart w:id="626" w:name="_Toc128661156"/>
      <w:bookmarkStart w:id="627" w:name="_Toc128661371"/>
      <w:bookmarkStart w:id="628" w:name="_Toc128666829"/>
      <w:bookmarkStart w:id="629" w:name="_Toc128667061"/>
      <w:bookmarkStart w:id="630" w:name="_Toc128670331"/>
      <w:bookmarkStart w:id="631" w:name="_Toc128660431"/>
      <w:bookmarkStart w:id="632" w:name="_Toc128660729"/>
      <w:bookmarkStart w:id="633" w:name="_Toc128660946"/>
      <w:bookmarkStart w:id="634" w:name="_Toc128661161"/>
      <w:bookmarkStart w:id="635" w:name="_Toc128661376"/>
      <w:bookmarkStart w:id="636" w:name="_Toc128666834"/>
      <w:bookmarkStart w:id="637" w:name="_Toc128667066"/>
      <w:bookmarkStart w:id="638" w:name="_Toc128670336"/>
      <w:bookmarkStart w:id="639" w:name="_Toc128660433"/>
      <w:bookmarkStart w:id="640" w:name="_Toc128660731"/>
      <w:bookmarkStart w:id="641" w:name="_Toc128660948"/>
      <w:bookmarkStart w:id="642" w:name="_Toc128661163"/>
      <w:bookmarkStart w:id="643" w:name="_Toc128661378"/>
      <w:bookmarkStart w:id="644" w:name="_Toc128666836"/>
      <w:bookmarkStart w:id="645" w:name="_Toc128667068"/>
      <w:bookmarkStart w:id="646" w:name="_Toc128670338"/>
      <w:bookmarkStart w:id="647" w:name="_Toc128660436"/>
      <w:bookmarkStart w:id="648" w:name="_Toc128660734"/>
      <w:bookmarkStart w:id="649" w:name="_Toc128660951"/>
      <w:bookmarkStart w:id="650" w:name="_Toc128661166"/>
      <w:bookmarkStart w:id="651" w:name="_Toc128661381"/>
      <w:bookmarkStart w:id="652" w:name="_Toc128666839"/>
      <w:bookmarkStart w:id="653" w:name="_Toc128667071"/>
      <w:bookmarkStart w:id="654" w:name="_Toc128670341"/>
      <w:bookmarkStart w:id="655" w:name="_Toc128660437"/>
      <w:bookmarkStart w:id="656" w:name="_Toc128660735"/>
      <w:bookmarkStart w:id="657" w:name="_Toc128660952"/>
      <w:bookmarkStart w:id="658" w:name="_Toc128661167"/>
      <w:bookmarkStart w:id="659" w:name="_Toc128661382"/>
      <w:bookmarkStart w:id="660" w:name="_Toc128666840"/>
      <w:bookmarkStart w:id="661" w:name="_Toc128667072"/>
      <w:bookmarkStart w:id="662" w:name="_Toc128670342"/>
      <w:bookmarkStart w:id="663" w:name="_Toc128660438"/>
      <w:bookmarkStart w:id="664" w:name="_Toc128660736"/>
      <w:bookmarkStart w:id="665" w:name="_Toc128660953"/>
      <w:bookmarkStart w:id="666" w:name="_Toc128661168"/>
      <w:bookmarkStart w:id="667" w:name="_Toc128661383"/>
      <w:bookmarkStart w:id="668" w:name="_Toc128666841"/>
      <w:bookmarkStart w:id="669" w:name="_Toc128667073"/>
      <w:bookmarkStart w:id="670" w:name="_Toc128670343"/>
      <w:bookmarkStart w:id="671" w:name="_Toc128660439"/>
      <w:bookmarkStart w:id="672" w:name="_Toc128660737"/>
      <w:bookmarkStart w:id="673" w:name="_Toc128660954"/>
      <w:bookmarkStart w:id="674" w:name="_Toc128661169"/>
      <w:bookmarkStart w:id="675" w:name="_Toc128661384"/>
      <w:bookmarkStart w:id="676" w:name="_Toc128666842"/>
      <w:bookmarkStart w:id="677" w:name="_Toc128667074"/>
      <w:bookmarkStart w:id="678" w:name="_Toc128670344"/>
      <w:bookmarkStart w:id="679" w:name="_Toc128660440"/>
      <w:bookmarkStart w:id="680" w:name="_Toc128660738"/>
      <w:bookmarkStart w:id="681" w:name="_Toc128660955"/>
      <w:bookmarkStart w:id="682" w:name="_Toc128661170"/>
      <w:bookmarkStart w:id="683" w:name="_Toc128661385"/>
      <w:bookmarkStart w:id="684" w:name="_Toc128666843"/>
      <w:bookmarkStart w:id="685" w:name="_Toc128667075"/>
      <w:bookmarkStart w:id="686" w:name="_Toc128670345"/>
      <w:bookmarkStart w:id="687" w:name="_Toc128397696"/>
      <w:bookmarkStart w:id="688" w:name="_Toc128397829"/>
      <w:bookmarkStart w:id="689" w:name="_Toc128398050"/>
      <w:bookmarkStart w:id="690" w:name="_Toc128398393"/>
      <w:bookmarkStart w:id="691" w:name="_Toc128398519"/>
      <w:bookmarkStart w:id="692" w:name="_Toc128398733"/>
      <w:bookmarkStart w:id="693" w:name="_Toc128400049"/>
      <w:bookmarkStart w:id="694" w:name="_Toc128401289"/>
      <w:bookmarkStart w:id="695" w:name="_Toc128401417"/>
      <w:bookmarkStart w:id="696" w:name="_Toc128401904"/>
      <w:bookmarkStart w:id="697" w:name="_Toc128397697"/>
      <w:bookmarkStart w:id="698" w:name="_Toc128397830"/>
      <w:bookmarkStart w:id="699" w:name="_Toc128398051"/>
      <w:bookmarkStart w:id="700" w:name="_Toc128398394"/>
      <w:bookmarkStart w:id="701" w:name="_Toc128398520"/>
      <w:bookmarkStart w:id="702" w:name="_Toc128398734"/>
      <w:bookmarkStart w:id="703" w:name="_Toc128400050"/>
      <w:bookmarkStart w:id="704" w:name="_Toc128401290"/>
      <w:bookmarkStart w:id="705" w:name="_Toc128401418"/>
      <w:bookmarkStart w:id="706" w:name="_Toc128401905"/>
      <w:bookmarkStart w:id="707" w:name="_Toc128397698"/>
      <w:bookmarkStart w:id="708" w:name="_Toc128397831"/>
      <w:bookmarkStart w:id="709" w:name="_Toc128398052"/>
      <w:bookmarkStart w:id="710" w:name="_Toc128398395"/>
      <w:bookmarkStart w:id="711" w:name="_Toc128398521"/>
      <w:bookmarkStart w:id="712" w:name="_Toc128398735"/>
      <w:bookmarkStart w:id="713" w:name="_Toc128400051"/>
      <w:bookmarkStart w:id="714" w:name="_Toc128401291"/>
      <w:bookmarkStart w:id="715" w:name="_Toc128401419"/>
      <w:bookmarkStart w:id="716" w:name="_Toc128401906"/>
      <w:bookmarkStart w:id="717" w:name="_Toc128397699"/>
      <w:bookmarkStart w:id="718" w:name="_Toc128397832"/>
      <w:bookmarkStart w:id="719" w:name="_Toc128398053"/>
      <w:bookmarkStart w:id="720" w:name="_Toc128398396"/>
      <w:bookmarkStart w:id="721" w:name="_Toc128398522"/>
      <w:bookmarkStart w:id="722" w:name="_Toc128398736"/>
      <w:bookmarkStart w:id="723" w:name="_Toc128400052"/>
      <w:bookmarkStart w:id="724" w:name="_Toc128401292"/>
      <w:bookmarkStart w:id="725" w:name="_Toc128401420"/>
      <w:bookmarkStart w:id="726" w:name="_Toc128401907"/>
      <w:bookmarkStart w:id="727" w:name="_Toc128400053"/>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r w:rsidRPr="00E87DF7">
        <w:rPr>
          <w:b/>
          <w:bCs/>
          <w:sz w:val="24"/>
          <w:szCs w:val="24"/>
          <w:u w:val="single"/>
        </w:rPr>
        <w:t>Hodnocení hospodárnosti, efektivnosti a účelnosti dotačních programů – ZED</w:t>
      </w:r>
    </w:p>
    <w:p w14:paraId="65763BEE" w14:textId="77777777" w:rsidR="005755EF" w:rsidRPr="00E87DF7" w:rsidRDefault="005755EF" w:rsidP="005755EF">
      <w:pPr>
        <w:jc w:val="both"/>
        <w:rPr>
          <w:sz w:val="24"/>
          <w:szCs w:val="24"/>
        </w:rPr>
      </w:pPr>
      <w:r w:rsidRPr="00E87DF7">
        <w:rPr>
          <w:sz w:val="24"/>
          <w:szCs w:val="24"/>
        </w:rPr>
        <w:t xml:space="preserve">Základem jsou 4 typy kategorie programů, kde se realizují jednotlivé dotační programy. </w:t>
      </w:r>
    </w:p>
    <w:p w14:paraId="03E618D8" w14:textId="77777777" w:rsidR="005755EF" w:rsidRPr="00E87DF7" w:rsidRDefault="005755EF" w:rsidP="005755EF">
      <w:pPr>
        <w:jc w:val="both"/>
        <w:rPr>
          <w:sz w:val="24"/>
          <w:szCs w:val="24"/>
        </w:rPr>
      </w:pPr>
      <w:r w:rsidRPr="00E87DF7">
        <w:rPr>
          <w:sz w:val="24"/>
          <w:szCs w:val="24"/>
        </w:rPr>
        <w:t xml:space="preserve">První kategorií jsou </w:t>
      </w:r>
      <w:r w:rsidRPr="00E87DF7">
        <w:rPr>
          <w:b/>
          <w:bCs/>
          <w:sz w:val="24"/>
          <w:szCs w:val="24"/>
        </w:rPr>
        <w:t>dotační tituly poskytované Státnímu fondu dopravní infrastruktury</w:t>
      </w:r>
      <w:r w:rsidRPr="00E87DF7">
        <w:rPr>
          <w:sz w:val="24"/>
          <w:szCs w:val="24"/>
        </w:rPr>
        <w:t xml:space="preserve">. Účelem je zajistit finanční prostředky SFDI, aby měl k dispozici zdroje na realizaci konkrétních programů či projektů pro konečné příjemce, a zda byly tyto prostředky využity na příslušné </w:t>
      </w:r>
      <w:r w:rsidRPr="00E87DF7">
        <w:rPr>
          <w:sz w:val="24"/>
          <w:szCs w:val="24"/>
        </w:rPr>
        <w:lastRenderedPageBreak/>
        <w:t>projekty. Vlastní hodnocení hospodárnosti, efektivnosti a účelnosti jednotlivých projektů dopravní infrastruktury probíhá již mimo tyto dotační tituly. </w:t>
      </w:r>
    </w:p>
    <w:p w14:paraId="2D53C1DB" w14:textId="77777777" w:rsidR="005755EF" w:rsidRPr="00E87DF7" w:rsidRDefault="005755EF" w:rsidP="005755EF">
      <w:pPr>
        <w:jc w:val="both"/>
        <w:rPr>
          <w:sz w:val="24"/>
          <w:szCs w:val="24"/>
        </w:rPr>
      </w:pPr>
      <w:r w:rsidRPr="00E87DF7">
        <w:rPr>
          <w:sz w:val="24"/>
          <w:szCs w:val="24"/>
        </w:rPr>
        <w:t xml:space="preserve">Druhou kategorií jsou </w:t>
      </w:r>
      <w:r w:rsidRPr="00E87DF7">
        <w:rPr>
          <w:b/>
          <w:bCs/>
          <w:sz w:val="24"/>
          <w:szCs w:val="24"/>
        </w:rPr>
        <w:t>dotační tituly spadající do segmentu drážní a kombinované dopravy</w:t>
      </w:r>
      <w:r w:rsidRPr="00E87DF7">
        <w:rPr>
          <w:sz w:val="24"/>
          <w:szCs w:val="24"/>
        </w:rPr>
        <w:t>. V roce 2023 se zejména jedná o dofinancování regionální dopravní obslužnosti veřejnou železniční dopravou. Okruh příjemců je předem daný (kraje + hlavní město Praha) a podmínky pro poskytnutí dotace vychází ze smlouvy o zajištění stabilního financování regionální železniční osobní dopravy. Finanční prostředky se rozdělují podle přesně daných pravidel, které již v sobě obsahují prvky hospodárnosti, efektivnosti a účelnosti. Dalším dotačním titulem byla podpora využití nákladní železniční dopravy s využitím elektrické trakce (ROCET). Zde byla vyhlášena výzva, která byla určena pro železniční dopravce v nákladní dopravě, která měla motivovat železniční dopravce ke zvýšení podílu převodu nákladní dopravy ze silnice na železnici. Cílem opatření bylo přispět ke koordinaci dopravy v ČR zajištěním větší integrace železniční nákladní dopravy v elektrické trakci do multimodálních dopravních řetězců.</w:t>
      </w:r>
    </w:p>
    <w:p w14:paraId="0140A88F" w14:textId="77777777" w:rsidR="005755EF" w:rsidRPr="00E87DF7" w:rsidRDefault="005755EF" w:rsidP="005755EF">
      <w:pPr>
        <w:jc w:val="both"/>
        <w:rPr>
          <w:sz w:val="24"/>
          <w:szCs w:val="24"/>
        </w:rPr>
      </w:pPr>
      <w:r w:rsidRPr="00E87DF7">
        <w:rPr>
          <w:sz w:val="24"/>
          <w:szCs w:val="24"/>
        </w:rPr>
        <w:t xml:space="preserve">Další kategorií jsou </w:t>
      </w:r>
      <w:r w:rsidRPr="00E87DF7">
        <w:rPr>
          <w:b/>
          <w:bCs/>
          <w:sz w:val="24"/>
          <w:szCs w:val="24"/>
        </w:rPr>
        <w:t>dotační tituly vypisované v rámci ukazatele „Ostatní výdaje spojené s dopravní politikou státu“</w:t>
      </w:r>
      <w:r w:rsidRPr="00E87DF7">
        <w:rPr>
          <w:sz w:val="24"/>
          <w:szCs w:val="24"/>
        </w:rPr>
        <w:t xml:space="preserve">. Zde se jedná o souhrn různých dotačních titulů, které nespadají pod SFDI nebo drážní a kombinovanou dopravu. Hodnocení hospodárnosti, efektivnosti a účelnosti probíhá v rámci posuzování jednotlivých žádostí příjemců dotací, zda projekty splňují dané podmínky vyhlášených výzev. Dané dotační tituly zařazené v této kategorii v roce 2023 se vyznačují svou specifičností, protože je výzva určena pouze pro konkrétního příjemce na základě právních předpisů či usnesení vlády, ze kterých vyplývá právní nárok na kompenzaci nákladů. Jedná se o dotační tituly určené pro Centrum dopravního výzkumu, Řízení letového provozu nebo pro Leteckou amatérskou asociaci. Z tohoto důvodu nelze v rámci výzvy porovnávat jednotlivé žádosti s dalšími potencionálními příjemci. Poskytnutí dotace nebo kompenzace vychází z příslušných právních předpisů, viz. kapitoly 3.7.2 Transfery příspěvkovým a podobným organizacím, 3.7.3 Transfery neziskovým a podobným organizacím a 3.7.5 Transfery podnikatelským subjektům. V rámci hodnocení žádostí se pak posuzuje zejména to, zda žádost splňuje podmínky právních předpisů nebo nařízení EK. </w:t>
      </w:r>
    </w:p>
    <w:p w14:paraId="288F19B1" w14:textId="647979A9" w:rsidR="005755EF" w:rsidRDefault="005755EF" w:rsidP="005755EF">
      <w:pPr>
        <w:jc w:val="both"/>
        <w:rPr>
          <w:sz w:val="24"/>
          <w:szCs w:val="24"/>
        </w:rPr>
      </w:pPr>
      <w:r w:rsidRPr="00E87DF7">
        <w:rPr>
          <w:sz w:val="24"/>
          <w:szCs w:val="24"/>
        </w:rPr>
        <w:t xml:space="preserve">Závěrečnou kategorií programů jsou </w:t>
      </w:r>
      <w:r w:rsidRPr="00E87DF7">
        <w:rPr>
          <w:b/>
          <w:bCs/>
          <w:sz w:val="24"/>
          <w:szCs w:val="24"/>
        </w:rPr>
        <w:t>dotační tituly pro mimořádné situace</w:t>
      </w:r>
      <w:r w:rsidRPr="00E87DF7">
        <w:rPr>
          <w:sz w:val="24"/>
          <w:szCs w:val="24"/>
        </w:rPr>
        <w:t>, jako byla např. pandemie COVID nebo škody způsobené živeln</w:t>
      </w:r>
      <w:r w:rsidR="00207CA3">
        <w:rPr>
          <w:sz w:val="24"/>
          <w:szCs w:val="24"/>
        </w:rPr>
        <w:t>í</w:t>
      </w:r>
      <w:r w:rsidRPr="00E87DF7">
        <w:rPr>
          <w:sz w:val="24"/>
          <w:szCs w:val="24"/>
        </w:rPr>
        <w:t>mi katastrofami. V roce 2023 nebyly v rámci této kategorie poskytnuty žádné finanční prostředky a nelze tak provést hodnocení tohoto programu.</w:t>
      </w:r>
    </w:p>
    <w:p w14:paraId="3D83D3EA" w14:textId="77777777" w:rsidR="005755EF" w:rsidRPr="00E87DF7" w:rsidRDefault="005755EF" w:rsidP="005755EF">
      <w:pPr>
        <w:jc w:val="both"/>
        <w:rPr>
          <w:sz w:val="24"/>
          <w:szCs w:val="24"/>
        </w:rPr>
      </w:pPr>
      <w:r w:rsidRPr="00E87DF7">
        <w:rPr>
          <w:b/>
          <w:bCs/>
          <w:sz w:val="24"/>
          <w:szCs w:val="24"/>
        </w:rPr>
        <w:t>Lze tak konstatovat, že finanční prostředky na jednotlivé dotační tituly v rámci uvedených programů ZED byly v roce 2023 vynaloženy s maximální hospodárností, efektivností a účelností. Při posuzování jednotlivých žádostí o poskytnutí dotace bylo postupováno transparentně a jednotlivé tituly byly realizovány v souladu s příslušnými právními předpisy.</w:t>
      </w:r>
    </w:p>
    <w:p w14:paraId="05659DD7" w14:textId="77777777" w:rsidR="005755EF" w:rsidRPr="00E87DF7" w:rsidRDefault="005755EF" w:rsidP="005755EF">
      <w:pPr>
        <w:jc w:val="both"/>
        <w:rPr>
          <w:sz w:val="24"/>
          <w:szCs w:val="24"/>
        </w:rPr>
      </w:pPr>
      <w:r w:rsidRPr="00E87DF7">
        <w:rPr>
          <w:sz w:val="24"/>
          <w:szCs w:val="24"/>
        </w:rPr>
        <w:t xml:space="preserve"> </w:t>
      </w:r>
    </w:p>
    <w:p w14:paraId="478B18D9" w14:textId="0871BC57" w:rsidR="000E486E" w:rsidRDefault="003F4190" w:rsidP="00FE67C5">
      <w:pPr>
        <w:pStyle w:val="KOMnadp2"/>
      </w:pPr>
      <w:bookmarkStart w:id="728" w:name="_Toc162269262"/>
      <w:r w:rsidRPr="006B6D61">
        <w:t>Výdaje OSS</w:t>
      </w:r>
      <w:bookmarkEnd w:id="727"/>
      <w:bookmarkEnd w:id="728"/>
      <w:r w:rsidRPr="006B6D61">
        <w:t xml:space="preserve"> </w:t>
      </w:r>
    </w:p>
    <w:p w14:paraId="79FB5EE0" w14:textId="40C7A16D" w:rsidR="004F5E4F" w:rsidRPr="006B6D61" w:rsidRDefault="004F5E4F" w:rsidP="00E20BD6">
      <w:pPr>
        <w:pStyle w:val="KOMnadp3"/>
      </w:pPr>
      <w:bookmarkStart w:id="729" w:name="_Toc128400054"/>
      <w:bookmarkStart w:id="730" w:name="_Toc162269263"/>
      <w:r w:rsidRPr="006B6D61">
        <w:t>ÚO M</w:t>
      </w:r>
      <w:r w:rsidR="00446ACE" w:rsidRPr="006B6D61">
        <w:t>inisterstvo dopravy</w:t>
      </w:r>
      <w:bookmarkEnd w:id="729"/>
      <w:bookmarkEnd w:id="730"/>
    </w:p>
    <w:p w14:paraId="7D1E2677" w14:textId="418EB2CC" w:rsidR="00A57478" w:rsidRPr="00395837" w:rsidRDefault="00091712" w:rsidP="003F0A7C">
      <w:pPr>
        <w:pStyle w:val="KOMtext"/>
      </w:pPr>
      <w:r w:rsidRPr="006B6D61">
        <w:t>Ministerstvo dopravy ČR je ústředním orgánem státní správy.</w:t>
      </w:r>
      <w:r w:rsidR="00A57478">
        <w:rPr>
          <w:color w:val="FF0000"/>
        </w:rPr>
        <w:t xml:space="preserve">                                                                                                                   </w:t>
      </w:r>
    </w:p>
    <w:tbl>
      <w:tblPr>
        <w:tblW w:w="903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19"/>
        <w:gridCol w:w="1125"/>
        <w:gridCol w:w="1125"/>
        <w:gridCol w:w="1152"/>
        <w:gridCol w:w="1134"/>
        <w:gridCol w:w="1125"/>
        <w:gridCol w:w="754"/>
      </w:tblGrid>
      <w:tr w:rsidR="00395837" w:rsidRPr="006A755F" w14:paraId="58D679CA" w14:textId="77777777" w:rsidTr="00395837">
        <w:trPr>
          <w:trHeight w:val="394"/>
          <w:tblHeader/>
        </w:trPr>
        <w:tc>
          <w:tcPr>
            <w:tcW w:w="9034" w:type="dxa"/>
            <w:gridSpan w:val="7"/>
            <w:tcBorders>
              <w:top w:val="nil"/>
              <w:left w:val="nil"/>
              <w:right w:val="nil"/>
            </w:tcBorders>
            <w:shd w:val="clear" w:color="auto" w:fill="auto"/>
            <w:vAlign w:val="center"/>
          </w:tcPr>
          <w:p w14:paraId="5350ABAA" w14:textId="435AA1CE" w:rsidR="00395837" w:rsidRPr="006A755F" w:rsidRDefault="00395837">
            <w:pPr>
              <w:spacing w:after="0"/>
              <w:jc w:val="center"/>
              <w:rPr>
                <w:rFonts w:cstheme="minorHAnsi"/>
                <w:b/>
                <w:sz w:val="20"/>
                <w:szCs w:val="20"/>
              </w:rPr>
            </w:pPr>
            <w:r>
              <w:rPr>
                <w:rFonts w:cstheme="minorHAnsi"/>
                <w:sz w:val="20"/>
              </w:rPr>
              <w:lastRenderedPageBreak/>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sidRPr="006A755F">
              <w:rPr>
                <w:rFonts w:cstheme="minorHAnsi"/>
                <w:sz w:val="20"/>
              </w:rPr>
              <w:t>v tis. Kč</w:t>
            </w:r>
          </w:p>
        </w:tc>
      </w:tr>
      <w:tr w:rsidR="00A57478" w:rsidRPr="006A755F" w14:paraId="4C5F969C" w14:textId="77777777">
        <w:trPr>
          <w:trHeight w:val="394"/>
          <w:tblHeader/>
        </w:trPr>
        <w:tc>
          <w:tcPr>
            <w:tcW w:w="2619" w:type="dxa"/>
            <w:vMerge w:val="restart"/>
            <w:shd w:val="pct12" w:color="auto" w:fill="auto"/>
            <w:vAlign w:val="center"/>
          </w:tcPr>
          <w:p w14:paraId="693DF5C9" w14:textId="77777777" w:rsidR="00A57478" w:rsidRPr="006A755F" w:rsidRDefault="00A57478">
            <w:pPr>
              <w:spacing w:after="0"/>
              <w:jc w:val="center"/>
              <w:rPr>
                <w:rFonts w:cstheme="minorHAnsi"/>
                <w:b/>
                <w:sz w:val="20"/>
                <w:szCs w:val="20"/>
              </w:rPr>
            </w:pPr>
            <w:r w:rsidRPr="006A755F">
              <w:rPr>
                <w:rFonts w:cstheme="minorHAnsi"/>
                <w:b/>
                <w:sz w:val="20"/>
                <w:szCs w:val="20"/>
              </w:rPr>
              <w:t>Ukazatel</w:t>
            </w:r>
          </w:p>
        </w:tc>
        <w:tc>
          <w:tcPr>
            <w:tcW w:w="1125" w:type="dxa"/>
            <w:vMerge w:val="restart"/>
            <w:tcBorders>
              <w:top w:val="single" w:sz="4" w:space="0" w:color="auto"/>
              <w:right w:val="single" w:sz="4" w:space="0" w:color="auto"/>
            </w:tcBorders>
            <w:shd w:val="pct12" w:color="auto" w:fill="auto"/>
            <w:vAlign w:val="center"/>
          </w:tcPr>
          <w:p w14:paraId="090B0567" w14:textId="77777777" w:rsidR="00A57478" w:rsidRPr="006A755F" w:rsidRDefault="00A57478">
            <w:pPr>
              <w:spacing w:after="0"/>
              <w:jc w:val="center"/>
              <w:rPr>
                <w:rFonts w:cstheme="minorHAnsi"/>
                <w:b/>
                <w:sz w:val="20"/>
                <w:szCs w:val="20"/>
              </w:rPr>
            </w:pPr>
            <w:r w:rsidRPr="006A755F">
              <w:rPr>
                <w:rFonts w:cstheme="minorHAnsi"/>
                <w:b/>
                <w:sz w:val="20"/>
                <w:szCs w:val="20"/>
              </w:rPr>
              <w:t>Skutečnost</w:t>
            </w:r>
          </w:p>
          <w:p w14:paraId="06DAEAAE" w14:textId="77777777" w:rsidR="00A57478" w:rsidRPr="006A755F" w:rsidRDefault="00A57478">
            <w:pPr>
              <w:spacing w:after="0"/>
              <w:jc w:val="center"/>
              <w:rPr>
                <w:rFonts w:cstheme="minorHAnsi"/>
                <w:b/>
                <w:sz w:val="20"/>
                <w:szCs w:val="20"/>
              </w:rPr>
            </w:pPr>
            <w:r>
              <w:rPr>
                <w:rFonts w:cstheme="minorHAnsi"/>
                <w:b/>
                <w:sz w:val="20"/>
                <w:szCs w:val="20"/>
              </w:rPr>
              <w:t>2022</w:t>
            </w:r>
          </w:p>
        </w:tc>
        <w:tc>
          <w:tcPr>
            <w:tcW w:w="3411" w:type="dxa"/>
            <w:gridSpan w:val="3"/>
            <w:tcBorders>
              <w:top w:val="single" w:sz="4" w:space="0" w:color="auto"/>
              <w:left w:val="single" w:sz="4" w:space="0" w:color="auto"/>
              <w:bottom w:val="single" w:sz="4" w:space="0" w:color="auto"/>
              <w:right w:val="single" w:sz="4" w:space="0" w:color="auto"/>
            </w:tcBorders>
            <w:shd w:val="pct12" w:color="auto" w:fill="auto"/>
            <w:vAlign w:val="center"/>
          </w:tcPr>
          <w:p w14:paraId="1769D9C6" w14:textId="77777777" w:rsidR="00A57478" w:rsidRPr="006A755F" w:rsidRDefault="00A57478">
            <w:pPr>
              <w:spacing w:after="0"/>
              <w:jc w:val="center"/>
              <w:rPr>
                <w:rFonts w:cstheme="minorHAnsi"/>
                <w:b/>
                <w:sz w:val="20"/>
                <w:szCs w:val="20"/>
              </w:rPr>
            </w:pPr>
            <w:r>
              <w:rPr>
                <w:rFonts w:cstheme="minorHAnsi"/>
                <w:b/>
                <w:sz w:val="20"/>
                <w:szCs w:val="20"/>
              </w:rPr>
              <w:t>Rozpočet 2023</w:t>
            </w:r>
          </w:p>
        </w:tc>
        <w:tc>
          <w:tcPr>
            <w:tcW w:w="1125" w:type="dxa"/>
            <w:vMerge w:val="restart"/>
            <w:tcBorders>
              <w:top w:val="single" w:sz="4" w:space="0" w:color="auto"/>
              <w:left w:val="single" w:sz="4" w:space="0" w:color="auto"/>
              <w:right w:val="single" w:sz="4" w:space="0" w:color="auto"/>
            </w:tcBorders>
            <w:shd w:val="pct12" w:color="auto" w:fill="auto"/>
            <w:vAlign w:val="center"/>
          </w:tcPr>
          <w:p w14:paraId="52D43C1F" w14:textId="77777777" w:rsidR="00A57478" w:rsidRPr="006A755F" w:rsidRDefault="00A57478">
            <w:pPr>
              <w:spacing w:after="0"/>
              <w:jc w:val="center"/>
              <w:rPr>
                <w:rFonts w:cstheme="minorHAnsi"/>
                <w:b/>
                <w:sz w:val="20"/>
                <w:szCs w:val="20"/>
              </w:rPr>
            </w:pPr>
            <w:r w:rsidRPr="006A755F">
              <w:rPr>
                <w:rFonts w:cstheme="minorHAnsi"/>
                <w:b/>
                <w:sz w:val="20"/>
                <w:szCs w:val="20"/>
              </w:rPr>
              <w:t>Skutečnost</w:t>
            </w:r>
          </w:p>
          <w:p w14:paraId="33135E22" w14:textId="77777777" w:rsidR="00A57478" w:rsidRPr="006A755F" w:rsidRDefault="00A57478">
            <w:pPr>
              <w:spacing w:after="0"/>
              <w:jc w:val="center"/>
              <w:rPr>
                <w:rFonts w:cstheme="minorHAnsi"/>
                <w:b/>
                <w:sz w:val="20"/>
                <w:szCs w:val="20"/>
              </w:rPr>
            </w:pPr>
            <w:r>
              <w:rPr>
                <w:rFonts w:cstheme="minorHAnsi"/>
                <w:b/>
                <w:sz w:val="20"/>
                <w:szCs w:val="20"/>
              </w:rPr>
              <w:t>2023</w:t>
            </w:r>
          </w:p>
        </w:tc>
        <w:tc>
          <w:tcPr>
            <w:tcW w:w="754" w:type="dxa"/>
            <w:vMerge w:val="restart"/>
            <w:tcBorders>
              <w:top w:val="single" w:sz="4" w:space="0" w:color="auto"/>
              <w:left w:val="single" w:sz="4" w:space="0" w:color="auto"/>
            </w:tcBorders>
            <w:shd w:val="pct12" w:color="auto" w:fill="auto"/>
            <w:vAlign w:val="center"/>
          </w:tcPr>
          <w:p w14:paraId="090F1546" w14:textId="77777777" w:rsidR="00A57478" w:rsidRPr="006A755F" w:rsidRDefault="00A57478">
            <w:pPr>
              <w:spacing w:after="0"/>
              <w:jc w:val="center"/>
              <w:rPr>
                <w:rFonts w:cstheme="minorHAnsi"/>
                <w:b/>
                <w:sz w:val="20"/>
                <w:szCs w:val="20"/>
              </w:rPr>
            </w:pPr>
            <w:r w:rsidRPr="006A755F">
              <w:rPr>
                <w:rFonts w:cstheme="minorHAnsi"/>
                <w:b/>
                <w:sz w:val="20"/>
                <w:szCs w:val="20"/>
              </w:rPr>
              <w:t>Index</w:t>
            </w:r>
          </w:p>
          <w:p w14:paraId="22AFC685" w14:textId="77777777" w:rsidR="00A57478" w:rsidRPr="006A755F" w:rsidRDefault="00A57478">
            <w:pPr>
              <w:spacing w:after="0"/>
              <w:jc w:val="center"/>
              <w:rPr>
                <w:rFonts w:cstheme="minorHAnsi"/>
                <w:b/>
                <w:sz w:val="20"/>
                <w:szCs w:val="20"/>
              </w:rPr>
            </w:pPr>
            <w:r w:rsidRPr="006A755F">
              <w:rPr>
                <w:rFonts w:cstheme="minorHAnsi"/>
                <w:b/>
                <w:sz w:val="20"/>
                <w:szCs w:val="20"/>
              </w:rPr>
              <w:t>(v %)</w:t>
            </w:r>
          </w:p>
        </w:tc>
      </w:tr>
      <w:tr w:rsidR="00A57478" w:rsidRPr="006A755F" w14:paraId="53102AC5" w14:textId="77777777">
        <w:trPr>
          <w:trHeight w:val="427"/>
          <w:tblHeader/>
        </w:trPr>
        <w:tc>
          <w:tcPr>
            <w:tcW w:w="2619" w:type="dxa"/>
            <w:vMerge/>
            <w:tcBorders>
              <w:bottom w:val="nil"/>
            </w:tcBorders>
          </w:tcPr>
          <w:p w14:paraId="0A21C4A7" w14:textId="77777777" w:rsidR="00A57478" w:rsidRPr="006A755F" w:rsidRDefault="00A57478">
            <w:pPr>
              <w:jc w:val="center"/>
              <w:rPr>
                <w:rFonts w:cstheme="minorHAnsi"/>
                <w:sz w:val="20"/>
                <w:szCs w:val="20"/>
              </w:rPr>
            </w:pPr>
          </w:p>
        </w:tc>
        <w:tc>
          <w:tcPr>
            <w:tcW w:w="1125" w:type="dxa"/>
            <w:vMerge/>
            <w:tcBorders>
              <w:bottom w:val="nil"/>
              <w:right w:val="single" w:sz="4" w:space="0" w:color="auto"/>
            </w:tcBorders>
          </w:tcPr>
          <w:p w14:paraId="4C81F64F" w14:textId="77777777" w:rsidR="00A57478" w:rsidRPr="006A755F" w:rsidRDefault="00A57478">
            <w:pPr>
              <w:jc w:val="center"/>
              <w:rPr>
                <w:rFonts w:cstheme="minorHAnsi"/>
                <w:sz w:val="20"/>
                <w:szCs w:val="20"/>
              </w:rPr>
            </w:pPr>
          </w:p>
        </w:tc>
        <w:tc>
          <w:tcPr>
            <w:tcW w:w="1125" w:type="dxa"/>
            <w:tcBorders>
              <w:top w:val="single" w:sz="4" w:space="0" w:color="auto"/>
              <w:left w:val="single" w:sz="4" w:space="0" w:color="auto"/>
              <w:bottom w:val="single" w:sz="4" w:space="0" w:color="auto"/>
              <w:right w:val="single" w:sz="4" w:space="0" w:color="auto"/>
            </w:tcBorders>
            <w:shd w:val="pct12" w:color="auto" w:fill="auto"/>
          </w:tcPr>
          <w:p w14:paraId="30D32505" w14:textId="77777777" w:rsidR="00A57478" w:rsidRPr="006A755F" w:rsidRDefault="00A57478">
            <w:pPr>
              <w:spacing w:before="60" w:after="60"/>
              <w:jc w:val="center"/>
              <w:rPr>
                <w:rFonts w:cstheme="minorHAnsi"/>
                <w:b/>
                <w:sz w:val="20"/>
                <w:szCs w:val="20"/>
              </w:rPr>
            </w:pPr>
            <w:r w:rsidRPr="006A755F">
              <w:rPr>
                <w:rFonts w:cstheme="minorHAnsi"/>
                <w:b/>
                <w:sz w:val="20"/>
                <w:szCs w:val="20"/>
              </w:rPr>
              <w:t>schválený</w:t>
            </w:r>
          </w:p>
        </w:tc>
        <w:tc>
          <w:tcPr>
            <w:tcW w:w="1152" w:type="dxa"/>
            <w:tcBorders>
              <w:top w:val="single" w:sz="4" w:space="0" w:color="auto"/>
              <w:left w:val="single" w:sz="4" w:space="0" w:color="auto"/>
              <w:bottom w:val="single" w:sz="4" w:space="0" w:color="auto"/>
              <w:right w:val="single" w:sz="4" w:space="0" w:color="auto"/>
            </w:tcBorders>
            <w:shd w:val="pct12" w:color="auto" w:fill="auto"/>
          </w:tcPr>
          <w:p w14:paraId="2F3FEF02" w14:textId="77777777" w:rsidR="00A57478" w:rsidRPr="006A755F" w:rsidRDefault="00A57478">
            <w:pPr>
              <w:spacing w:before="60" w:after="60"/>
              <w:jc w:val="center"/>
              <w:rPr>
                <w:rFonts w:cstheme="minorHAnsi"/>
                <w:b/>
                <w:sz w:val="20"/>
                <w:szCs w:val="20"/>
              </w:rPr>
            </w:pPr>
            <w:r w:rsidRPr="006A755F">
              <w:rPr>
                <w:rFonts w:cstheme="minorHAnsi"/>
                <w:b/>
                <w:sz w:val="20"/>
                <w:szCs w:val="20"/>
              </w:rPr>
              <w:t>po změnách</w:t>
            </w:r>
          </w:p>
        </w:tc>
        <w:tc>
          <w:tcPr>
            <w:tcW w:w="1134" w:type="dxa"/>
            <w:tcBorders>
              <w:top w:val="single" w:sz="4" w:space="0" w:color="auto"/>
              <w:left w:val="single" w:sz="4" w:space="0" w:color="auto"/>
              <w:bottom w:val="single" w:sz="4" w:space="0" w:color="auto"/>
              <w:right w:val="single" w:sz="4" w:space="0" w:color="auto"/>
            </w:tcBorders>
            <w:shd w:val="pct12" w:color="auto" w:fill="auto"/>
          </w:tcPr>
          <w:p w14:paraId="42C0F06D" w14:textId="77777777" w:rsidR="00A57478" w:rsidRPr="006A755F" w:rsidRDefault="00A57478">
            <w:pPr>
              <w:spacing w:before="60" w:after="60"/>
              <w:jc w:val="center"/>
              <w:rPr>
                <w:rFonts w:cstheme="minorHAnsi"/>
                <w:b/>
                <w:sz w:val="20"/>
                <w:szCs w:val="20"/>
              </w:rPr>
            </w:pPr>
            <w:r w:rsidRPr="006A755F">
              <w:rPr>
                <w:rFonts w:cstheme="minorHAnsi"/>
                <w:b/>
                <w:sz w:val="20"/>
                <w:szCs w:val="20"/>
              </w:rPr>
              <w:t>konečný</w:t>
            </w:r>
          </w:p>
        </w:tc>
        <w:tc>
          <w:tcPr>
            <w:tcW w:w="1125" w:type="dxa"/>
            <w:vMerge/>
            <w:tcBorders>
              <w:left w:val="single" w:sz="4" w:space="0" w:color="auto"/>
              <w:bottom w:val="nil"/>
              <w:right w:val="single" w:sz="4" w:space="0" w:color="auto"/>
            </w:tcBorders>
            <w:shd w:val="clear" w:color="auto" w:fill="D9D9D9" w:themeFill="background1" w:themeFillShade="D9"/>
          </w:tcPr>
          <w:p w14:paraId="7ED4511F" w14:textId="77777777" w:rsidR="00A57478" w:rsidRPr="006A755F" w:rsidRDefault="00A57478">
            <w:pPr>
              <w:jc w:val="center"/>
              <w:rPr>
                <w:rFonts w:cstheme="minorHAnsi"/>
                <w:sz w:val="20"/>
                <w:szCs w:val="20"/>
              </w:rPr>
            </w:pPr>
          </w:p>
        </w:tc>
        <w:tc>
          <w:tcPr>
            <w:tcW w:w="754" w:type="dxa"/>
            <w:vMerge/>
            <w:tcBorders>
              <w:left w:val="single" w:sz="4" w:space="0" w:color="auto"/>
              <w:bottom w:val="nil"/>
            </w:tcBorders>
            <w:shd w:val="clear" w:color="auto" w:fill="D9D9D9" w:themeFill="background1" w:themeFillShade="D9"/>
          </w:tcPr>
          <w:p w14:paraId="32391610" w14:textId="77777777" w:rsidR="00A57478" w:rsidRPr="006A755F" w:rsidRDefault="00A57478">
            <w:pPr>
              <w:jc w:val="center"/>
              <w:rPr>
                <w:rFonts w:cstheme="minorHAnsi"/>
                <w:sz w:val="20"/>
                <w:szCs w:val="20"/>
              </w:rPr>
            </w:pPr>
          </w:p>
        </w:tc>
      </w:tr>
      <w:tr w:rsidR="00A57478" w:rsidRPr="006A755F" w14:paraId="0BE33D67" w14:textId="77777777">
        <w:trPr>
          <w:trHeight w:val="100"/>
          <w:tblHeader/>
        </w:trPr>
        <w:tc>
          <w:tcPr>
            <w:tcW w:w="2619" w:type="dxa"/>
            <w:tcBorders>
              <w:top w:val="single" w:sz="4" w:space="0" w:color="auto"/>
              <w:left w:val="single" w:sz="4" w:space="0" w:color="auto"/>
              <w:bottom w:val="single" w:sz="4" w:space="0" w:color="auto"/>
              <w:right w:val="single" w:sz="4" w:space="0" w:color="auto"/>
            </w:tcBorders>
          </w:tcPr>
          <w:p w14:paraId="2E45A1EE" w14:textId="77777777" w:rsidR="00A57478" w:rsidRPr="006A755F" w:rsidRDefault="00A57478">
            <w:pPr>
              <w:spacing w:after="0"/>
              <w:jc w:val="center"/>
              <w:rPr>
                <w:rFonts w:cstheme="minorHAnsi"/>
                <w:sz w:val="20"/>
                <w:szCs w:val="20"/>
              </w:rPr>
            </w:pPr>
            <w:r w:rsidRPr="006A755F">
              <w:rPr>
                <w:rFonts w:cstheme="minorHAnsi"/>
                <w:sz w:val="20"/>
                <w:szCs w:val="20"/>
              </w:rPr>
              <w:t>a</w:t>
            </w:r>
          </w:p>
        </w:tc>
        <w:tc>
          <w:tcPr>
            <w:tcW w:w="1125" w:type="dxa"/>
            <w:tcBorders>
              <w:top w:val="single" w:sz="4" w:space="0" w:color="auto"/>
              <w:left w:val="single" w:sz="4" w:space="0" w:color="auto"/>
              <w:bottom w:val="single" w:sz="4" w:space="0" w:color="auto"/>
              <w:right w:val="single" w:sz="4" w:space="0" w:color="auto"/>
            </w:tcBorders>
          </w:tcPr>
          <w:p w14:paraId="4062038C" w14:textId="77777777" w:rsidR="00A57478" w:rsidRPr="006A755F" w:rsidRDefault="00A57478">
            <w:pPr>
              <w:spacing w:after="0"/>
              <w:jc w:val="center"/>
              <w:rPr>
                <w:rFonts w:cstheme="minorHAnsi"/>
                <w:sz w:val="20"/>
                <w:szCs w:val="20"/>
              </w:rPr>
            </w:pPr>
            <w:r w:rsidRPr="006A755F">
              <w:rPr>
                <w:rFonts w:cstheme="minorHAnsi"/>
                <w:sz w:val="20"/>
                <w:szCs w:val="20"/>
              </w:rPr>
              <w:t>1</w:t>
            </w:r>
          </w:p>
        </w:tc>
        <w:tc>
          <w:tcPr>
            <w:tcW w:w="1125" w:type="dxa"/>
            <w:tcBorders>
              <w:top w:val="single" w:sz="4" w:space="0" w:color="auto"/>
              <w:left w:val="single" w:sz="4" w:space="0" w:color="auto"/>
              <w:bottom w:val="single" w:sz="4" w:space="0" w:color="auto"/>
              <w:right w:val="single" w:sz="4" w:space="0" w:color="auto"/>
            </w:tcBorders>
          </w:tcPr>
          <w:p w14:paraId="0B2EF4C5" w14:textId="77777777" w:rsidR="00A57478" w:rsidRPr="006A755F" w:rsidRDefault="00A57478">
            <w:pPr>
              <w:spacing w:after="0"/>
              <w:jc w:val="center"/>
              <w:rPr>
                <w:rFonts w:cstheme="minorHAnsi"/>
                <w:sz w:val="20"/>
                <w:szCs w:val="20"/>
              </w:rPr>
            </w:pPr>
            <w:r w:rsidRPr="006A755F">
              <w:rPr>
                <w:rFonts w:cstheme="minorHAnsi"/>
                <w:sz w:val="20"/>
                <w:szCs w:val="20"/>
              </w:rPr>
              <w:t>2</w:t>
            </w:r>
          </w:p>
        </w:tc>
        <w:tc>
          <w:tcPr>
            <w:tcW w:w="1152" w:type="dxa"/>
            <w:tcBorders>
              <w:top w:val="single" w:sz="4" w:space="0" w:color="auto"/>
              <w:left w:val="single" w:sz="4" w:space="0" w:color="auto"/>
              <w:bottom w:val="single" w:sz="4" w:space="0" w:color="auto"/>
              <w:right w:val="single" w:sz="4" w:space="0" w:color="auto"/>
            </w:tcBorders>
          </w:tcPr>
          <w:p w14:paraId="2370D40E" w14:textId="77777777" w:rsidR="00A57478" w:rsidRPr="006A755F" w:rsidRDefault="00A57478">
            <w:pPr>
              <w:spacing w:after="0"/>
              <w:jc w:val="center"/>
              <w:rPr>
                <w:rFonts w:cstheme="minorHAnsi"/>
                <w:sz w:val="20"/>
                <w:szCs w:val="20"/>
              </w:rPr>
            </w:pPr>
            <w:r w:rsidRPr="006A755F">
              <w:rPr>
                <w:rFonts w:cstheme="minorHAnsi"/>
                <w:sz w:val="20"/>
                <w:szCs w:val="20"/>
              </w:rPr>
              <w:t>3</w:t>
            </w:r>
          </w:p>
        </w:tc>
        <w:tc>
          <w:tcPr>
            <w:tcW w:w="1134" w:type="dxa"/>
            <w:tcBorders>
              <w:top w:val="single" w:sz="4" w:space="0" w:color="auto"/>
              <w:left w:val="single" w:sz="4" w:space="0" w:color="auto"/>
              <w:bottom w:val="single" w:sz="4" w:space="0" w:color="auto"/>
              <w:right w:val="single" w:sz="4" w:space="0" w:color="auto"/>
            </w:tcBorders>
          </w:tcPr>
          <w:p w14:paraId="3A83D030" w14:textId="77777777" w:rsidR="00A57478" w:rsidRPr="006A755F" w:rsidRDefault="00A57478">
            <w:pPr>
              <w:spacing w:after="0"/>
              <w:jc w:val="center"/>
              <w:rPr>
                <w:rFonts w:cstheme="minorHAnsi"/>
                <w:sz w:val="20"/>
                <w:szCs w:val="20"/>
              </w:rPr>
            </w:pPr>
            <w:r w:rsidRPr="006A755F">
              <w:rPr>
                <w:rFonts w:cstheme="minorHAnsi"/>
                <w:sz w:val="20"/>
                <w:szCs w:val="20"/>
              </w:rPr>
              <w:t>4</w:t>
            </w:r>
          </w:p>
        </w:tc>
        <w:tc>
          <w:tcPr>
            <w:tcW w:w="1125" w:type="dxa"/>
            <w:tcBorders>
              <w:top w:val="single" w:sz="4" w:space="0" w:color="auto"/>
              <w:left w:val="single" w:sz="4" w:space="0" w:color="auto"/>
              <w:bottom w:val="single" w:sz="4" w:space="0" w:color="auto"/>
              <w:right w:val="single" w:sz="4" w:space="0" w:color="auto"/>
            </w:tcBorders>
          </w:tcPr>
          <w:p w14:paraId="6DD696A1" w14:textId="77777777" w:rsidR="00A57478" w:rsidRPr="006A755F" w:rsidRDefault="00A57478">
            <w:pPr>
              <w:spacing w:after="0"/>
              <w:jc w:val="center"/>
              <w:rPr>
                <w:rFonts w:cstheme="minorHAnsi"/>
                <w:sz w:val="20"/>
                <w:szCs w:val="20"/>
              </w:rPr>
            </w:pPr>
            <w:r w:rsidRPr="006A755F">
              <w:rPr>
                <w:rFonts w:cstheme="minorHAnsi"/>
                <w:sz w:val="20"/>
                <w:szCs w:val="20"/>
              </w:rPr>
              <w:t>5</w:t>
            </w:r>
          </w:p>
        </w:tc>
        <w:tc>
          <w:tcPr>
            <w:tcW w:w="754" w:type="dxa"/>
            <w:tcBorders>
              <w:top w:val="single" w:sz="4" w:space="0" w:color="auto"/>
              <w:left w:val="single" w:sz="4" w:space="0" w:color="auto"/>
              <w:bottom w:val="single" w:sz="4" w:space="0" w:color="auto"/>
              <w:right w:val="single" w:sz="4" w:space="0" w:color="auto"/>
            </w:tcBorders>
          </w:tcPr>
          <w:p w14:paraId="5C5D8C7B" w14:textId="77777777" w:rsidR="00A57478" w:rsidRPr="006A755F" w:rsidRDefault="00A57478">
            <w:pPr>
              <w:spacing w:after="0"/>
              <w:jc w:val="center"/>
              <w:rPr>
                <w:rFonts w:cstheme="minorHAnsi"/>
                <w:sz w:val="20"/>
                <w:szCs w:val="20"/>
              </w:rPr>
            </w:pPr>
            <w:r w:rsidRPr="006A755F">
              <w:rPr>
                <w:rFonts w:cstheme="minorHAnsi"/>
                <w:sz w:val="20"/>
                <w:szCs w:val="20"/>
              </w:rPr>
              <w:t>5/1</w:t>
            </w:r>
          </w:p>
        </w:tc>
      </w:tr>
      <w:tr w:rsidR="00A57478" w:rsidRPr="00A01B1B" w14:paraId="13C8B173" w14:textId="77777777">
        <w:trPr>
          <w:trHeight w:val="388"/>
          <w:tblHeader/>
        </w:trPr>
        <w:tc>
          <w:tcPr>
            <w:tcW w:w="2619" w:type="dxa"/>
            <w:tcBorders>
              <w:top w:val="single" w:sz="4" w:space="0" w:color="auto"/>
              <w:left w:val="single" w:sz="4" w:space="0" w:color="auto"/>
              <w:bottom w:val="single" w:sz="4" w:space="0" w:color="auto"/>
              <w:right w:val="single" w:sz="4" w:space="0" w:color="auto"/>
            </w:tcBorders>
            <w:shd w:val="pct12" w:color="auto" w:fill="auto"/>
          </w:tcPr>
          <w:p w14:paraId="27B74F6B" w14:textId="77777777" w:rsidR="00A57478" w:rsidRPr="006A755F" w:rsidRDefault="00A57478">
            <w:pPr>
              <w:pStyle w:val="Zkladntext"/>
              <w:spacing w:before="60" w:after="60"/>
              <w:rPr>
                <w:rFonts w:cstheme="minorHAnsi"/>
                <w:b/>
                <w:bCs/>
                <w:sz w:val="20"/>
                <w:szCs w:val="20"/>
              </w:rPr>
            </w:pPr>
            <w:r w:rsidRPr="006A755F">
              <w:rPr>
                <w:rFonts w:cstheme="minorHAnsi"/>
                <w:b/>
                <w:bCs/>
                <w:sz w:val="20"/>
                <w:szCs w:val="20"/>
              </w:rPr>
              <w:t xml:space="preserve">Výdaje celkem </w:t>
            </w:r>
            <w:r w:rsidRPr="006A755F">
              <w:rPr>
                <w:rFonts w:cstheme="minorHAnsi"/>
                <w:bCs/>
                <w:sz w:val="20"/>
                <w:szCs w:val="20"/>
              </w:rPr>
              <w:t>(v tom:)</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3E6E7BC9" w14:textId="77777777" w:rsidR="00A57478" w:rsidRPr="00A01B1B" w:rsidRDefault="00A57478">
            <w:pPr>
              <w:spacing w:before="60" w:after="60"/>
              <w:jc w:val="right"/>
              <w:rPr>
                <w:rFonts w:cstheme="minorHAnsi"/>
                <w:b/>
                <w:bCs/>
                <w:sz w:val="20"/>
                <w:szCs w:val="20"/>
              </w:rPr>
            </w:pPr>
            <w:r w:rsidRPr="00A01B1B">
              <w:rPr>
                <w:rFonts w:cstheme="minorHAnsi"/>
                <w:b/>
                <w:bCs/>
                <w:sz w:val="20"/>
                <w:szCs w:val="20"/>
              </w:rPr>
              <w:t>5 993 787</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2F8FA589" w14:textId="77777777" w:rsidR="00A57478" w:rsidRPr="00A01B1B" w:rsidRDefault="00A57478">
            <w:pPr>
              <w:spacing w:before="60" w:after="60"/>
              <w:jc w:val="right"/>
              <w:rPr>
                <w:rFonts w:cstheme="minorHAnsi"/>
                <w:b/>
                <w:bCs/>
                <w:sz w:val="20"/>
                <w:szCs w:val="20"/>
              </w:rPr>
            </w:pPr>
            <w:r w:rsidRPr="00A01B1B">
              <w:rPr>
                <w:rFonts w:cstheme="minorHAnsi"/>
                <w:b/>
                <w:bCs/>
                <w:sz w:val="20"/>
                <w:szCs w:val="20"/>
              </w:rPr>
              <w:t>6 260 737</w:t>
            </w:r>
          </w:p>
        </w:tc>
        <w:tc>
          <w:tcPr>
            <w:tcW w:w="1152" w:type="dxa"/>
            <w:tcBorders>
              <w:top w:val="single" w:sz="4" w:space="0" w:color="auto"/>
              <w:left w:val="single" w:sz="4" w:space="0" w:color="auto"/>
              <w:bottom w:val="single" w:sz="4" w:space="0" w:color="auto"/>
              <w:right w:val="single" w:sz="4" w:space="0" w:color="auto"/>
            </w:tcBorders>
            <w:shd w:val="pct12" w:color="auto" w:fill="auto"/>
            <w:vAlign w:val="center"/>
          </w:tcPr>
          <w:p w14:paraId="34CE589B" w14:textId="77777777" w:rsidR="00A57478" w:rsidRPr="00A01B1B" w:rsidRDefault="00A57478">
            <w:pPr>
              <w:spacing w:before="60" w:after="60"/>
              <w:jc w:val="right"/>
              <w:rPr>
                <w:rFonts w:cstheme="minorHAnsi"/>
                <w:b/>
                <w:bCs/>
                <w:sz w:val="20"/>
                <w:szCs w:val="20"/>
              </w:rPr>
            </w:pPr>
            <w:r w:rsidRPr="00A01B1B">
              <w:rPr>
                <w:rFonts w:cstheme="minorHAnsi"/>
                <w:b/>
                <w:bCs/>
                <w:sz w:val="20"/>
                <w:szCs w:val="20"/>
              </w:rPr>
              <w:t>6 335 679</w:t>
            </w:r>
          </w:p>
        </w:tc>
        <w:tc>
          <w:tcPr>
            <w:tcW w:w="1134" w:type="dxa"/>
            <w:tcBorders>
              <w:top w:val="single" w:sz="4" w:space="0" w:color="auto"/>
              <w:left w:val="single" w:sz="4" w:space="0" w:color="auto"/>
              <w:bottom w:val="single" w:sz="4" w:space="0" w:color="auto"/>
              <w:right w:val="single" w:sz="4" w:space="0" w:color="auto"/>
            </w:tcBorders>
            <w:shd w:val="pct12" w:color="auto" w:fill="auto"/>
          </w:tcPr>
          <w:p w14:paraId="6B29F1FF" w14:textId="77777777" w:rsidR="00A57478" w:rsidRPr="00A01B1B" w:rsidRDefault="00A57478">
            <w:pPr>
              <w:spacing w:before="60" w:after="60"/>
              <w:jc w:val="right"/>
              <w:rPr>
                <w:rFonts w:cstheme="minorHAnsi"/>
                <w:b/>
                <w:bCs/>
                <w:sz w:val="20"/>
                <w:szCs w:val="20"/>
              </w:rPr>
            </w:pPr>
            <w:r w:rsidRPr="00A01B1B">
              <w:rPr>
                <w:rFonts w:cstheme="minorHAnsi"/>
                <w:b/>
                <w:bCs/>
                <w:sz w:val="20"/>
                <w:szCs w:val="20"/>
              </w:rPr>
              <w:t>6 691 393</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4335AC9D" w14:textId="77777777" w:rsidR="00A57478" w:rsidRPr="00A01B1B" w:rsidRDefault="00A57478">
            <w:pPr>
              <w:spacing w:before="60" w:after="60"/>
              <w:jc w:val="right"/>
              <w:rPr>
                <w:rFonts w:cstheme="minorHAnsi"/>
                <w:b/>
                <w:bCs/>
                <w:sz w:val="20"/>
                <w:szCs w:val="20"/>
              </w:rPr>
            </w:pPr>
            <w:r w:rsidRPr="00A01B1B">
              <w:rPr>
                <w:rFonts w:cstheme="minorHAnsi"/>
                <w:b/>
                <w:bCs/>
                <w:sz w:val="20"/>
                <w:szCs w:val="20"/>
              </w:rPr>
              <w:t>5 921 783</w:t>
            </w:r>
          </w:p>
        </w:tc>
        <w:tc>
          <w:tcPr>
            <w:tcW w:w="754" w:type="dxa"/>
            <w:tcBorders>
              <w:top w:val="single" w:sz="4" w:space="0" w:color="auto"/>
              <w:left w:val="single" w:sz="4" w:space="0" w:color="auto"/>
              <w:bottom w:val="single" w:sz="4" w:space="0" w:color="auto"/>
              <w:right w:val="single" w:sz="4" w:space="0" w:color="auto"/>
            </w:tcBorders>
            <w:shd w:val="pct12" w:color="auto" w:fill="auto"/>
            <w:vAlign w:val="center"/>
          </w:tcPr>
          <w:p w14:paraId="7D2BC8F1" w14:textId="77777777" w:rsidR="00A57478" w:rsidRPr="00A01B1B" w:rsidRDefault="00A57478">
            <w:pPr>
              <w:spacing w:before="60" w:after="60"/>
              <w:jc w:val="right"/>
              <w:rPr>
                <w:rFonts w:cstheme="minorHAnsi"/>
                <w:b/>
                <w:bCs/>
                <w:sz w:val="20"/>
                <w:szCs w:val="20"/>
              </w:rPr>
            </w:pPr>
            <w:r w:rsidRPr="00A01B1B">
              <w:rPr>
                <w:rFonts w:cstheme="minorHAnsi"/>
                <w:b/>
                <w:bCs/>
                <w:sz w:val="20"/>
                <w:szCs w:val="20"/>
              </w:rPr>
              <w:t>98,8</w:t>
            </w:r>
          </w:p>
        </w:tc>
      </w:tr>
      <w:tr w:rsidR="00A57478" w:rsidRPr="00A01B1B" w14:paraId="1AEBB7AB" w14:textId="77777777">
        <w:trPr>
          <w:trHeight w:val="388"/>
          <w:tblHeader/>
        </w:trPr>
        <w:tc>
          <w:tcPr>
            <w:tcW w:w="2619" w:type="dxa"/>
            <w:tcBorders>
              <w:top w:val="single" w:sz="4" w:space="0" w:color="auto"/>
              <w:left w:val="single" w:sz="4" w:space="0" w:color="auto"/>
              <w:bottom w:val="nil"/>
              <w:right w:val="single" w:sz="4" w:space="0" w:color="auto"/>
            </w:tcBorders>
          </w:tcPr>
          <w:p w14:paraId="154C51D6" w14:textId="77777777" w:rsidR="00A57478" w:rsidRPr="006A755F" w:rsidRDefault="00A57478">
            <w:pPr>
              <w:pStyle w:val="Zkladntext"/>
              <w:spacing w:before="60" w:after="60"/>
              <w:rPr>
                <w:rFonts w:cstheme="minorHAnsi"/>
                <w:b/>
                <w:bCs/>
                <w:sz w:val="20"/>
                <w:szCs w:val="20"/>
              </w:rPr>
            </w:pPr>
            <w:r w:rsidRPr="004A12C5">
              <w:rPr>
                <w:rFonts w:cstheme="minorHAnsi"/>
                <w:b/>
                <w:bCs/>
                <w:color w:val="2E74B5" w:themeColor="accent1" w:themeShade="BF"/>
                <w:sz w:val="20"/>
                <w:szCs w:val="20"/>
              </w:rPr>
              <w:t xml:space="preserve">Běžné výdaje </w:t>
            </w:r>
            <w:r w:rsidRPr="004A12C5">
              <w:rPr>
                <w:rFonts w:cstheme="minorHAnsi"/>
                <w:bCs/>
                <w:color w:val="2E74B5" w:themeColor="accent1" w:themeShade="BF"/>
                <w:sz w:val="20"/>
                <w:szCs w:val="20"/>
              </w:rPr>
              <w:t>(v tom</w:t>
            </w:r>
            <w:r>
              <w:rPr>
                <w:rFonts w:cstheme="minorHAnsi"/>
                <w:bCs/>
                <w:color w:val="2E74B5" w:themeColor="accent1" w:themeShade="BF"/>
                <w:sz w:val="20"/>
                <w:szCs w:val="20"/>
              </w:rPr>
              <w:t>:</w:t>
            </w:r>
            <w:r w:rsidRPr="004A12C5">
              <w:rPr>
                <w:rFonts w:cstheme="minorHAnsi"/>
                <w:bCs/>
                <w:color w:val="2E74B5" w:themeColor="accent1" w:themeShade="BF"/>
                <w:sz w:val="20"/>
                <w:szCs w:val="20"/>
              </w:rPr>
              <w:t>)</w:t>
            </w:r>
          </w:p>
        </w:tc>
        <w:tc>
          <w:tcPr>
            <w:tcW w:w="1125" w:type="dxa"/>
            <w:tcBorders>
              <w:top w:val="single" w:sz="4" w:space="0" w:color="auto"/>
              <w:left w:val="single" w:sz="4" w:space="0" w:color="auto"/>
              <w:bottom w:val="nil"/>
              <w:right w:val="single" w:sz="4" w:space="0" w:color="auto"/>
            </w:tcBorders>
            <w:vAlign w:val="center"/>
          </w:tcPr>
          <w:p w14:paraId="2BEC360A"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5 908 253</w:t>
            </w:r>
          </w:p>
        </w:tc>
        <w:tc>
          <w:tcPr>
            <w:tcW w:w="1125" w:type="dxa"/>
            <w:tcBorders>
              <w:top w:val="single" w:sz="4" w:space="0" w:color="auto"/>
              <w:left w:val="single" w:sz="4" w:space="0" w:color="auto"/>
              <w:bottom w:val="nil"/>
              <w:right w:val="single" w:sz="4" w:space="0" w:color="auto"/>
            </w:tcBorders>
            <w:vAlign w:val="center"/>
          </w:tcPr>
          <w:p w14:paraId="1FE1F96C"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6 184 153</w:t>
            </w:r>
          </w:p>
        </w:tc>
        <w:tc>
          <w:tcPr>
            <w:tcW w:w="1152" w:type="dxa"/>
            <w:tcBorders>
              <w:top w:val="single" w:sz="4" w:space="0" w:color="auto"/>
              <w:left w:val="single" w:sz="4" w:space="0" w:color="auto"/>
              <w:bottom w:val="nil"/>
              <w:right w:val="single" w:sz="4" w:space="0" w:color="auto"/>
            </w:tcBorders>
            <w:vAlign w:val="center"/>
          </w:tcPr>
          <w:p w14:paraId="3B2A6B44"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6 247 323</w:t>
            </w:r>
          </w:p>
        </w:tc>
        <w:tc>
          <w:tcPr>
            <w:tcW w:w="1134" w:type="dxa"/>
            <w:tcBorders>
              <w:top w:val="single" w:sz="4" w:space="0" w:color="auto"/>
              <w:left w:val="single" w:sz="4" w:space="0" w:color="auto"/>
              <w:bottom w:val="nil"/>
              <w:right w:val="single" w:sz="4" w:space="0" w:color="auto"/>
            </w:tcBorders>
            <w:vAlign w:val="center"/>
          </w:tcPr>
          <w:p w14:paraId="6561F108"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6 417 805</w:t>
            </w:r>
          </w:p>
        </w:tc>
        <w:tc>
          <w:tcPr>
            <w:tcW w:w="1125" w:type="dxa"/>
            <w:tcBorders>
              <w:top w:val="single" w:sz="4" w:space="0" w:color="auto"/>
              <w:left w:val="single" w:sz="4" w:space="0" w:color="auto"/>
              <w:bottom w:val="nil"/>
              <w:right w:val="single" w:sz="4" w:space="0" w:color="auto"/>
            </w:tcBorders>
            <w:vAlign w:val="center"/>
          </w:tcPr>
          <w:p w14:paraId="7968BE3B"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5 824 383</w:t>
            </w:r>
          </w:p>
        </w:tc>
        <w:tc>
          <w:tcPr>
            <w:tcW w:w="754" w:type="dxa"/>
            <w:tcBorders>
              <w:top w:val="single" w:sz="4" w:space="0" w:color="auto"/>
              <w:left w:val="single" w:sz="4" w:space="0" w:color="auto"/>
              <w:bottom w:val="nil"/>
              <w:right w:val="single" w:sz="4" w:space="0" w:color="auto"/>
            </w:tcBorders>
            <w:vAlign w:val="center"/>
          </w:tcPr>
          <w:p w14:paraId="4256E714"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98,6</w:t>
            </w:r>
          </w:p>
        </w:tc>
      </w:tr>
      <w:tr w:rsidR="00A57478" w:rsidRPr="00A01B1B" w14:paraId="139546B0" w14:textId="77777777">
        <w:trPr>
          <w:tblHeader/>
        </w:trPr>
        <w:tc>
          <w:tcPr>
            <w:tcW w:w="2619" w:type="dxa"/>
            <w:tcBorders>
              <w:top w:val="nil"/>
              <w:left w:val="single" w:sz="4" w:space="0" w:color="auto"/>
              <w:bottom w:val="nil"/>
              <w:right w:val="single" w:sz="4" w:space="0" w:color="auto"/>
            </w:tcBorders>
          </w:tcPr>
          <w:p w14:paraId="5FF1E6F2" w14:textId="77777777" w:rsidR="00A57478" w:rsidRPr="006A755F" w:rsidRDefault="00A57478">
            <w:pPr>
              <w:spacing w:before="60" w:after="60"/>
              <w:ind w:firstLine="4"/>
              <w:jc w:val="both"/>
              <w:rPr>
                <w:rFonts w:cstheme="minorHAnsi"/>
                <w:sz w:val="20"/>
                <w:szCs w:val="20"/>
              </w:rPr>
            </w:pPr>
            <w:r w:rsidRPr="006A755F">
              <w:rPr>
                <w:rFonts w:cstheme="minorHAnsi"/>
                <w:sz w:val="20"/>
                <w:szCs w:val="20"/>
              </w:rPr>
              <w:t xml:space="preserve">platy zaměstnanců a ostatní </w:t>
            </w:r>
          </w:p>
          <w:p w14:paraId="5E35CB39" w14:textId="77777777" w:rsidR="00A57478" w:rsidRPr="006A755F" w:rsidRDefault="00A57478">
            <w:pPr>
              <w:spacing w:before="60" w:after="60"/>
              <w:jc w:val="both"/>
              <w:rPr>
                <w:rFonts w:cstheme="minorHAnsi"/>
                <w:sz w:val="20"/>
                <w:szCs w:val="20"/>
              </w:rPr>
            </w:pPr>
            <w:r w:rsidRPr="006A755F">
              <w:rPr>
                <w:rFonts w:cstheme="minorHAnsi"/>
                <w:sz w:val="20"/>
                <w:szCs w:val="20"/>
              </w:rPr>
              <w:t>platby za provedenou práci</w:t>
            </w:r>
          </w:p>
        </w:tc>
        <w:tc>
          <w:tcPr>
            <w:tcW w:w="1125" w:type="dxa"/>
            <w:tcBorders>
              <w:top w:val="nil"/>
              <w:left w:val="single" w:sz="4" w:space="0" w:color="auto"/>
              <w:bottom w:val="nil"/>
              <w:right w:val="single" w:sz="4" w:space="0" w:color="auto"/>
            </w:tcBorders>
            <w:vAlign w:val="center"/>
          </w:tcPr>
          <w:p w14:paraId="50C22678"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315 598 </w:t>
            </w:r>
          </w:p>
        </w:tc>
        <w:tc>
          <w:tcPr>
            <w:tcW w:w="1125" w:type="dxa"/>
            <w:tcBorders>
              <w:top w:val="nil"/>
              <w:left w:val="single" w:sz="4" w:space="0" w:color="auto"/>
              <w:bottom w:val="nil"/>
              <w:right w:val="single" w:sz="4" w:space="0" w:color="auto"/>
            </w:tcBorders>
            <w:vAlign w:val="center"/>
          </w:tcPr>
          <w:p w14:paraId="434A9E7D"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341 726 </w:t>
            </w:r>
          </w:p>
        </w:tc>
        <w:tc>
          <w:tcPr>
            <w:tcW w:w="1152" w:type="dxa"/>
            <w:tcBorders>
              <w:top w:val="nil"/>
              <w:left w:val="single" w:sz="4" w:space="0" w:color="auto"/>
              <w:bottom w:val="nil"/>
              <w:right w:val="single" w:sz="4" w:space="0" w:color="auto"/>
            </w:tcBorders>
            <w:vAlign w:val="center"/>
          </w:tcPr>
          <w:p w14:paraId="20AEF389"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345 561 </w:t>
            </w:r>
          </w:p>
        </w:tc>
        <w:tc>
          <w:tcPr>
            <w:tcW w:w="1134" w:type="dxa"/>
            <w:tcBorders>
              <w:top w:val="nil"/>
              <w:left w:val="single" w:sz="4" w:space="0" w:color="auto"/>
              <w:bottom w:val="nil"/>
              <w:right w:val="single" w:sz="4" w:space="0" w:color="auto"/>
            </w:tcBorders>
            <w:vAlign w:val="center"/>
          </w:tcPr>
          <w:p w14:paraId="72C1853D"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371 225 </w:t>
            </w:r>
          </w:p>
        </w:tc>
        <w:tc>
          <w:tcPr>
            <w:tcW w:w="1125" w:type="dxa"/>
            <w:tcBorders>
              <w:top w:val="nil"/>
              <w:left w:val="single" w:sz="4" w:space="0" w:color="auto"/>
              <w:bottom w:val="nil"/>
              <w:right w:val="single" w:sz="4" w:space="0" w:color="auto"/>
            </w:tcBorders>
            <w:vAlign w:val="center"/>
          </w:tcPr>
          <w:p w14:paraId="05217764"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325 592 </w:t>
            </w:r>
          </w:p>
        </w:tc>
        <w:tc>
          <w:tcPr>
            <w:tcW w:w="754" w:type="dxa"/>
            <w:tcBorders>
              <w:top w:val="nil"/>
              <w:left w:val="single" w:sz="4" w:space="0" w:color="auto"/>
              <w:bottom w:val="nil"/>
              <w:right w:val="single" w:sz="4" w:space="0" w:color="auto"/>
            </w:tcBorders>
            <w:vAlign w:val="center"/>
          </w:tcPr>
          <w:p w14:paraId="6FEDDF1D" w14:textId="77777777" w:rsidR="00A57478" w:rsidRPr="00A01B1B" w:rsidRDefault="00A57478">
            <w:pPr>
              <w:spacing w:before="60" w:after="60"/>
              <w:jc w:val="right"/>
              <w:rPr>
                <w:rFonts w:cstheme="minorHAnsi"/>
                <w:sz w:val="20"/>
                <w:szCs w:val="20"/>
              </w:rPr>
            </w:pPr>
            <w:r w:rsidRPr="00A01B1B">
              <w:rPr>
                <w:rFonts w:cstheme="minorHAnsi"/>
                <w:sz w:val="20"/>
                <w:szCs w:val="20"/>
              </w:rPr>
              <w:t>103,2</w:t>
            </w:r>
          </w:p>
        </w:tc>
      </w:tr>
      <w:tr w:rsidR="00A57478" w:rsidRPr="00A01B1B" w14:paraId="643D0AF1" w14:textId="77777777">
        <w:trPr>
          <w:tblHeader/>
        </w:trPr>
        <w:tc>
          <w:tcPr>
            <w:tcW w:w="2619" w:type="dxa"/>
            <w:tcBorders>
              <w:top w:val="nil"/>
              <w:left w:val="single" w:sz="4" w:space="0" w:color="auto"/>
              <w:bottom w:val="nil"/>
              <w:right w:val="single" w:sz="4" w:space="0" w:color="auto"/>
            </w:tcBorders>
          </w:tcPr>
          <w:p w14:paraId="60C577D2" w14:textId="77777777" w:rsidR="00A57478" w:rsidRPr="006A755F" w:rsidRDefault="00A57478">
            <w:pPr>
              <w:spacing w:before="60" w:after="60"/>
              <w:ind w:firstLine="4"/>
              <w:jc w:val="both"/>
              <w:rPr>
                <w:rFonts w:cstheme="minorHAnsi"/>
                <w:sz w:val="20"/>
                <w:szCs w:val="20"/>
              </w:rPr>
            </w:pPr>
            <w:proofErr w:type="spellStart"/>
            <w:r w:rsidRPr="006A755F">
              <w:rPr>
                <w:rFonts w:cstheme="minorHAnsi"/>
                <w:sz w:val="20"/>
                <w:szCs w:val="20"/>
              </w:rPr>
              <w:t>pov</w:t>
            </w:r>
            <w:proofErr w:type="spellEnd"/>
            <w:r w:rsidRPr="006A755F">
              <w:rPr>
                <w:rFonts w:cstheme="minorHAnsi"/>
                <w:sz w:val="20"/>
                <w:szCs w:val="20"/>
              </w:rPr>
              <w:t>. poj. placené zaměstnav.</w:t>
            </w:r>
          </w:p>
        </w:tc>
        <w:tc>
          <w:tcPr>
            <w:tcW w:w="1125" w:type="dxa"/>
            <w:tcBorders>
              <w:top w:val="nil"/>
              <w:left w:val="single" w:sz="4" w:space="0" w:color="auto"/>
              <w:bottom w:val="nil"/>
              <w:right w:val="single" w:sz="4" w:space="0" w:color="auto"/>
            </w:tcBorders>
            <w:vAlign w:val="center"/>
          </w:tcPr>
          <w:p w14:paraId="1292A1BD"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106 012 </w:t>
            </w:r>
          </w:p>
        </w:tc>
        <w:tc>
          <w:tcPr>
            <w:tcW w:w="1125" w:type="dxa"/>
            <w:tcBorders>
              <w:top w:val="nil"/>
              <w:left w:val="single" w:sz="4" w:space="0" w:color="auto"/>
              <w:bottom w:val="nil"/>
              <w:right w:val="single" w:sz="4" w:space="0" w:color="auto"/>
            </w:tcBorders>
            <w:vAlign w:val="center"/>
          </w:tcPr>
          <w:p w14:paraId="1E537919" w14:textId="77777777" w:rsidR="00A57478" w:rsidRPr="00A01B1B" w:rsidRDefault="00A57478">
            <w:pPr>
              <w:spacing w:before="60" w:after="60"/>
              <w:jc w:val="right"/>
              <w:rPr>
                <w:rFonts w:cstheme="minorHAnsi"/>
                <w:sz w:val="20"/>
                <w:szCs w:val="20"/>
              </w:rPr>
            </w:pPr>
            <w:r w:rsidRPr="00A01B1B">
              <w:rPr>
                <w:rFonts w:cstheme="minorHAnsi"/>
                <w:sz w:val="20"/>
                <w:szCs w:val="20"/>
              </w:rPr>
              <w:t>115 503</w:t>
            </w:r>
          </w:p>
        </w:tc>
        <w:tc>
          <w:tcPr>
            <w:tcW w:w="1152" w:type="dxa"/>
            <w:tcBorders>
              <w:top w:val="nil"/>
              <w:left w:val="single" w:sz="4" w:space="0" w:color="auto"/>
              <w:bottom w:val="nil"/>
              <w:right w:val="single" w:sz="4" w:space="0" w:color="auto"/>
            </w:tcBorders>
            <w:vAlign w:val="center"/>
          </w:tcPr>
          <w:p w14:paraId="035978B8" w14:textId="77777777" w:rsidR="00A57478" w:rsidRPr="00A01B1B" w:rsidRDefault="00A57478">
            <w:pPr>
              <w:spacing w:before="60" w:after="60"/>
              <w:jc w:val="right"/>
              <w:rPr>
                <w:rFonts w:cstheme="minorHAnsi"/>
                <w:sz w:val="20"/>
                <w:szCs w:val="20"/>
              </w:rPr>
            </w:pPr>
            <w:r w:rsidRPr="00A01B1B">
              <w:rPr>
                <w:rFonts w:cstheme="minorHAnsi"/>
                <w:sz w:val="20"/>
                <w:szCs w:val="20"/>
              </w:rPr>
              <w:t>116 800</w:t>
            </w:r>
          </w:p>
        </w:tc>
        <w:tc>
          <w:tcPr>
            <w:tcW w:w="1134" w:type="dxa"/>
            <w:tcBorders>
              <w:top w:val="nil"/>
              <w:left w:val="single" w:sz="4" w:space="0" w:color="auto"/>
              <w:bottom w:val="nil"/>
              <w:right w:val="single" w:sz="4" w:space="0" w:color="auto"/>
            </w:tcBorders>
            <w:vAlign w:val="center"/>
          </w:tcPr>
          <w:p w14:paraId="1A78ED02" w14:textId="77777777" w:rsidR="00A57478" w:rsidRPr="00A01B1B" w:rsidRDefault="00A57478">
            <w:pPr>
              <w:spacing w:before="60" w:after="60"/>
              <w:jc w:val="right"/>
              <w:rPr>
                <w:rFonts w:cstheme="minorHAnsi"/>
                <w:sz w:val="20"/>
                <w:szCs w:val="20"/>
              </w:rPr>
            </w:pPr>
            <w:r w:rsidRPr="00A01B1B">
              <w:rPr>
                <w:rFonts w:cstheme="minorHAnsi"/>
                <w:sz w:val="20"/>
                <w:szCs w:val="20"/>
              </w:rPr>
              <w:t>122 389</w:t>
            </w:r>
          </w:p>
        </w:tc>
        <w:tc>
          <w:tcPr>
            <w:tcW w:w="1125" w:type="dxa"/>
            <w:tcBorders>
              <w:top w:val="nil"/>
              <w:left w:val="single" w:sz="4" w:space="0" w:color="auto"/>
              <w:bottom w:val="nil"/>
              <w:right w:val="single" w:sz="4" w:space="0" w:color="auto"/>
            </w:tcBorders>
            <w:vAlign w:val="center"/>
          </w:tcPr>
          <w:p w14:paraId="2C29281D"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108 985 </w:t>
            </w:r>
          </w:p>
        </w:tc>
        <w:tc>
          <w:tcPr>
            <w:tcW w:w="754" w:type="dxa"/>
            <w:tcBorders>
              <w:top w:val="nil"/>
              <w:left w:val="single" w:sz="4" w:space="0" w:color="auto"/>
              <w:bottom w:val="nil"/>
              <w:right w:val="single" w:sz="4" w:space="0" w:color="auto"/>
            </w:tcBorders>
            <w:vAlign w:val="center"/>
          </w:tcPr>
          <w:p w14:paraId="41F4B7D4" w14:textId="77777777" w:rsidR="00A57478" w:rsidRPr="00A01B1B" w:rsidRDefault="00A57478">
            <w:pPr>
              <w:spacing w:before="60" w:after="60"/>
              <w:jc w:val="right"/>
              <w:rPr>
                <w:rFonts w:cstheme="minorHAnsi"/>
                <w:sz w:val="20"/>
                <w:szCs w:val="20"/>
              </w:rPr>
            </w:pPr>
            <w:r w:rsidRPr="00A01B1B">
              <w:rPr>
                <w:rFonts w:cstheme="minorHAnsi"/>
                <w:sz w:val="20"/>
                <w:szCs w:val="20"/>
              </w:rPr>
              <w:t>102,8</w:t>
            </w:r>
          </w:p>
        </w:tc>
      </w:tr>
      <w:tr w:rsidR="00A57478" w:rsidRPr="00A01B1B" w14:paraId="1ED8E4A1" w14:textId="77777777">
        <w:trPr>
          <w:tblHeader/>
        </w:trPr>
        <w:tc>
          <w:tcPr>
            <w:tcW w:w="2619" w:type="dxa"/>
            <w:tcBorders>
              <w:top w:val="nil"/>
              <w:left w:val="single" w:sz="4" w:space="0" w:color="auto"/>
              <w:bottom w:val="nil"/>
              <w:right w:val="single" w:sz="4" w:space="0" w:color="auto"/>
            </w:tcBorders>
          </w:tcPr>
          <w:p w14:paraId="14D9B1F8" w14:textId="77777777" w:rsidR="00A57478" w:rsidRPr="006A755F" w:rsidRDefault="00A57478">
            <w:pPr>
              <w:spacing w:before="60" w:after="60"/>
              <w:ind w:firstLine="4"/>
              <w:jc w:val="both"/>
              <w:rPr>
                <w:rFonts w:cstheme="minorHAnsi"/>
                <w:sz w:val="20"/>
                <w:szCs w:val="20"/>
              </w:rPr>
            </w:pPr>
            <w:r w:rsidRPr="006A755F">
              <w:rPr>
                <w:rFonts w:cstheme="minorHAnsi"/>
                <w:sz w:val="20"/>
                <w:szCs w:val="20"/>
              </w:rPr>
              <w:t>základní příděl FKSP</w:t>
            </w:r>
          </w:p>
        </w:tc>
        <w:tc>
          <w:tcPr>
            <w:tcW w:w="1125" w:type="dxa"/>
            <w:tcBorders>
              <w:top w:val="nil"/>
              <w:left w:val="single" w:sz="4" w:space="0" w:color="auto"/>
              <w:bottom w:val="nil"/>
              <w:right w:val="single" w:sz="4" w:space="0" w:color="auto"/>
            </w:tcBorders>
            <w:vAlign w:val="center"/>
          </w:tcPr>
          <w:p w14:paraId="7E8D3894" w14:textId="77777777" w:rsidR="00A57478" w:rsidRPr="00A01B1B" w:rsidRDefault="00A57478">
            <w:pPr>
              <w:spacing w:before="60" w:after="60"/>
              <w:jc w:val="right"/>
              <w:rPr>
                <w:rFonts w:cstheme="minorHAnsi"/>
                <w:sz w:val="20"/>
                <w:szCs w:val="20"/>
              </w:rPr>
            </w:pPr>
            <w:r w:rsidRPr="00A01B1B">
              <w:rPr>
                <w:rFonts w:cstheme="minorHAnsi"/>
                <w:sz w:val="20"/>
                <w:szCs w:val="20"/>
              </w:rPr>
              <w:t>6 164</w:t>
            </w:r>
          </w:p>
        </w:tc>
        <w:tc>
          <w:tcPr>
            <w:tcW w:w="1125" w:type="dxa"/>
            <w:tcBorders>
              <w:top w:val="nil"/>
              <w:left w:val="single" w:sz="4" w:space="0" w:color="auto"/>
              <w:bottom w:val="nil"/>
              <w:right w:val="single" w:sz="4" w:space="0" w:color="auto"/>
            </w:tcBorders>
            <w:vAlign w:val="center"/>
          </w:tcPr>
          <w:p w14:paraId="0AC07C88" w14:textId="77777777" w:rsidR="00A57478" w:rsidRPr="00A01B1B" w:rsidRDefault="00A57478">
            <w:pPr>
              <w:spacing w:before="60" w:after="60"/>
              <w:jc w:val="right"/>
              <w:rPr>
                <w:rFonts w:cstheme="minorHAnsi"/>
                <w:sz w:val="20"/>
                <w:szCs w:val="20"/>
              </w:rPr>
            </w:pPr>
            <w:r w:rsidRPr="00A01B1B">
              <w:rPr>
                <w:rFonts w:cstheme="minorHAnsi"/>
                <w:sz w:val="20"/>
                <w:szCs w:val="20"/>
              </w:rPr>
              <w:t>6 548</w:t>
            </w:r>
          </w:p>
        </w:tc>
        <w:tc>
          <w:tcPr>
            <w:tcW w:w="1152" w:type="dxa"/>
            <w:tcBorders>
              <w:top w:val="nil"/>
              <w:left w:val="single" w:sz="4" w:space="0" w:color="auto"/>
              <w:bottom w:val="nil"/>
              <w:right w:val="single" w:sz="4" w:space="0" w:color="auto"/>
            </w:tcBorders>
            <w:vAlign w:val="center"/>
          </w:tcPr>
          <w:p w14:paraId="15761D23" w14:textId="77777777" w:rsidR="00A57478" w:rsidRPr="00A01B1B" w:rsidRDefault="00A57478">
            <w:pPr>
              <w:spacing w:before="60" w:after="60"/>
              <w:jc w:val="right"/>
              <w:rPr>
                <w:rFonts w:cstheme="minorHAnsi"/>
                <w:sz w:val="20"/>
                <w:szCs w:val="20"/>
              </w:rPr>
            </w:pPr>
            <w:r w:rsidRPr="00A01B1B">
              <w:rPr>
                <w:rFonts w:cstheme="minorHAnsi"/>
                <w:sz w:val="20"/>
                <w:szCs w:val="20"/>
              </w:rPr>
              <w:t>6 625</w:t>
            </w:r>
          </w:p>
        </w:tc>
        <w:tc>
          <w:tcPr>
            <w:tcW w:w="1134" w:type="dxa"/>
            <w:tcBorders>
              <w:top w:val="nil"/>
              <w:left w:val="single" w:sz="4" w:space="0" w:color="auto"/>
              <w:bottom w:val="nil"/>
              <w:right w:val="single" w:sz="4" w:space="0" w:color="auto"/>
            </w:tcBorders>
            <w:vAlign w:val="center"/>
          </w:tcPr>
          <w:p w14:paraId="6F48963D" w14:textId="77777777" w:rsidR="00A57478" w:rsidRPr="00A01B1B" w:rsidRDefault="00A57478">
            <w:pPr>
              <w:spacing w:before="60" w:after="60"/>
              <w:jc w:val="right"/>
              <w:rPr>
                <w:rFonts w:cstheme="minorHAnsi"/>
                <w:sz w:val="20"/>
                <w:szCs w:val="20"/>
              </w:rPr>
            </w:pPr>
            <w:r w:rsidRPr="00A01B1B">
              <w:rPr>
                <w:rFonts w:cstheme="minorHAnsi"/>
                <w:sz w:val="20"/>
                <w:szCs w:val="20"/>
              </w:rPr>
              <w:t>6 796</w:t>
            </w:r>
          </w:p>
        </w:tc>
        <w:tc>
          <w:tcPr>
            <w:tcW w:w="1125" w:type="dxa"/>
            <w:tcBorders>
              <w:top w:val="nil"/>
              <w:left w:val="single" w:sz="4" w:space="0" w:color="auto"/>
              <w:bottom w:val="nil"/>
              <w:right w:val="single" w:sz="4" w:space="0" w:color="auto"/>
            </w:tcBorders>
            <w:vAlign w:val="center"/>
          </w:tcPr>
          <w:p w14:paraId="4EB889C9" w14:textId="77777777" w:rsidR="00A57478" w:rsidRPr="00A01B1B" w:rsidRDefault="00A57478">
            <w:pPr>
              <w:spacing w:before="60" w:after="60"/>
              <w:jc w:val="right"/>
              <w:rPr>
                <w:rFonts w:cstheme="minorHAnsi"/>
                <w:sz w:val="20"/>
                <w:szCs w:val="20"/>
              </w:rPr>
            </w:pPr>
            <w:r w:rsidRPr="00A01B1B">
              <w:rPr>
                <w:rFonts w:cstheme="minorHAnsi"/>
                <w:sz w:val="20"/>
                <w:szCs w:val="20"/>
              </w:rPr>
              <w:t>6 374</w:t>
            </w:r>
          </w:p>
        </w:tc>
        <w:tc>
          <w:tcPr>
            <w:tcW w:w="754" w:type="dxa"/>
            <w:tcBorders>
              <w:top w:val="nil"/>
              <w:left w:val="single" w:sz="4" w:space="0" w:color="auto"/>
              <w:bottom w:val="nil"/>
              <w:right w:val="single" w:sz="4" w:space="0" w:color="auto"/>
            </w:tcBorders>
            <w:vAlign w:val="center"/>
          </w:tcPr>
          <w:p w14:paraId="188AC5F4" w14:textId="77777777" w:rsidR="00A57478" w:rsidRPr="00A01B1B" w:rsidRDefault="00A57478">
            <w:pPr>
              <w:spacing w:before="60" w:after="60"/>
              <w:jc w:val="right"/>
              <w:rPr>
                <w:rFonts w:cstheme="minorHAnsi"/>
                <w:sz w:val="20"/>
                <w:szCs w:val="20"/>
              </w:rPr>
            </w:pPr>
            <w:r w:rsidRPr="00A01B1B">
              <w:rPr>
                <w:rFonts w:cstheme="minorHAnsi"/>
                <w:sz w:val="20"/>
                <w:szCs w:val="20"/>
              </w:rPr>
              <w:t>103,4</w:t>
            </w:r>
          </w:p>
        </w:tc>
      </w:tr>
      <w:tr w:rsidR="00A57478" w:rsidRPr="00A01B1B" w14:paraId="27A832BA" w14:textId="77777777">
        <w:trPr>
          <w:tblHeader/>
        </w:trPr>
        <w:tc>
          <w:tcPr>
            <w:tcW w:w="2619" w:type="dxa"/>
            <w:tcBorders>
              <w:top w:val="nil"/>
              <w:left w:val="single" w:sz="4" w:space="0" w:color="auto"/>
              <w:bottom w:val="nil"/>
              <w:right w:val="single" w:sz="4" w:space="0" w:color="auto"/>
            </w:tcBorders>
          </w:tcPr>
          <w:p w14:paraId="01C7B6CE" w14:textId="77777777" w:rsidR="00A57478" w:rsidRPr="006A755F" w:rsidRDefault="00A57478">
            <w:pPr>
              <w:spacing w:before="60" w:after="60"/>
              <w:ind w:firstLine="4"/>
              <w:jc w:val="both"/>
              <w:rPr>
                <w:rFonts w:cstheme="minorHAnsi"/>
                <w:sz w:val="20"/>
                <w:szCs w:val="20"/>
              </w:rPr>
            </w:pPr>
            <w:r w:rsidRPr="006A755F">
              <w:rPr>
                <w:rFonts w:cstheme="minorHAnsi"/>
                <w:sz w:val="20"/>
                <w:szCs w:val="20"/>
              </w:rPr>
              <w:t>ostatní neinvestiční výdaje</w:t>
            </w:r>
          </w:p>
        </w:tc>
        <w:tc>
          <w:tcPr>
            <w:tcW w:w="1125" w:type="dxa"/>
            <w:tcBorders>
              <w:top w:val="nil"/>
              <w:left w:val="single" w:sz="4" w:space="0" w:color="auto"/>
              <w:bottom w:val="nil"/>
              <w:right w:val="single" w:sz="4" w:space="0" w:color="auto"/>
            </w:tcBorders>
            <w:vAlign w:val="center"/>
          </w:tcPr>
          <w:p w14:paraId="65BCA6CB" w14:textId="77777777" w:rsidR="00A57478" w:rsidRPr="00A01B1B" w:rsidRDefault="00A57478">
            <w:pPr>
              <w:spacing w:before="60" w:after="60"/>
              <w:jc w:val="right"/>
              <w:rPr>
                <w:rFonts w:cstheme="minorHAnsi"/>
                <w:sz w:val="20"/>
                <w:szCs w:val="20"/>
              </w:rPr>
            </w:pPr>
            <w:r w:rsidRPr="00A01B1B">
              <w:rPr>
                <w:rFonts w:cstheme="minorHAnsi"/>
                <w:sz w:val="20"/>
                <w:szCs w:val="20"/>
              </w:rPr>
              <w:t>5 480 480</w:t>
            </w:r>
          </w:p>
        </w:tc>
        <w:tc>
          <w:tcPr>
            <w:tcW w:w="1125" w:type="dxa"/>
            <w:tcBorders>
              <w:top w:val="nil"/>
              <w:left w:val="single" w:sz="4" w:space="0" w:color="auto"/>
              <w:bottom w:val="nil"/>
              <w:right w:val="single" w:sz="4" w:space="0" w:color="auto"/>
            </w:tcBorders>
            <w:vAlign w:val="center"/>
          </w:tcPr>
          <w:p w14:paraId="1157AF2A" w14:textId="77777777" w:rsidR="00A57478" w:rsidRPr="00A01B1B" w:rsidRDefault="00A57478">
            <w:pPr>
              <w:spacing w:before="60" w:after="60"/>
              <w:jc w:val="right"/>
              <w:rPr>
                <w:rFonts w:cstheme="minorHAnsi"/>
                <w:sz w:val="20"/>
                <w:szCs w:val="20"/>
              </w:rPr>
            </w:pPr>
            <w:r w:rsidRPr="00A01B1B">
              <w:rPr>
                <w:rFonts w:cstheme="minorHAnsi"/>
                <w:sz w:val="20"/>
                <w:szCs w:val="20"/>
              </w:rPr>
              <w:t>5 720 375</w:t>
            </w:r>
          </w:p>
        </w:tc>
        <w:tc>
          <w:tcPr>
            <w:tcW w:w="1152" w:type="dxa"/>
            <w:tcBorders>
              <w:top w:val="nil"/>
              <w:left w:val="single" w:sz="4" w:space="0" w:color="auto"/>
              <w:bottom w:val="nil"/>
              <w:right w:val="single" w:sz="4" w:space="0" w:color="auto"/>
            </w:tcBorders>
            <w:vAlign w:val="center"/>
          </w:tcPr>
          <w:p w14:paraId="6BE79A93" w14:textId="77777777" w:rsidR="00A57478" w:rsidRPr="00A01B1B" w:rsidRDefault="00A57478">
            <w:pPr>
              <w:spacing w:before="60" w:after="60"/>
              <w:jc w:val="right"/>
              <w:rPr>
                <w:rFonts w:cstheme="minorHAnsi"/>
                <w:sz w:val="20"/>
                <w:szCs w:val="20"/>
              </w:rPr>
            </w:pPr>
            <w:r w:rsidRPr="00A01B1B">
              <w:rPr>
                <w:rFonts w:cstheme="minorHAnsi"/>
                <w:sz w:val="20"/>
                <w:szCs w:val="20"/>
              </w:rPr>
              <w:t>5 778 337</w:t>
            </w:r>
          </w:p>
        </w:tc>
        <w:tc>
          <w:tcPr>
            <w:tcW w:w="1134" w:type="dxa"/>
            <w:tcBorders>
              <w:top w:val="nil"/>
              <w:left w:val="single" w:sz="4" w:space="0" w:color="auto"/>
              <w:bottom w:val="nil"/>
              <w:right w:val="single" w:sz="4" w:space="0" w:color="auto"/>
            </w:tcBorders>
            <w:vAlign w:val="center"/>
          </w:tcPr>
          <w:p w14:paraId="2F21DBB6" w14:textId="77777777" w:rsidR="00A57478" w:rsidRPr="00A01B1B" w:rsidRDefault="00A57478">
            <w:pPr>
              <w:spacing w:before="60" w:after="60"/>
              <w:jc w:val="right"/>
              <w:rPr>
                <w:rFonts w:cstheme="minorHAnsi"/>
                <w:sz w:val="20"/>
                <w:szCs w:val="20"/>
              </w:rPr>
            </w:pPr>
            <w:r w:rsidRPr="00A01B1B">
              <w:rPr>
                <w:rFonts w:cstheme="minorHAnsi"/>
                <w:sz w:val="20"/>
                <w:szCs w:val="20"/>
              </w:rPr>
              <w:t>5 917 395</w:t>
            </w:r>
          </w:p>
        </w:tc>
        <w:tc>
          <w:tcPr>
            <w:tcW w:w="1125" w:type="dxa"/>
            <w:tcBorders>
              <w:top w:val="nil"/>
              <w:left w:val="single" w:sz="4" w:space="0" w:color="auto"/>
              <w:bottom w:val="nil"/>
              <w:right w:val="single" w:sz="4" w:space="0" w:color="auto"/>
            </w:tcBorders>
            <w:vAlign w:val="center"/>
          </w:tcPr>
          <w:p w14:paraId="40F69495" w14:textId="77777777" w:rsidR="00A57478" w:rsidRPr="00A01B1B" w:rsidRDefault="00A57478">
            <w:pPr>
              <w:spacing w:before="60" w:after="60"/>
              <w:jc w:val="right"/>
              <w:rPr>
                <w:rFonts w:cstheme="minorHAnsi"/>
                <w:sz w:val="20"/>
                <w:szCs w:val="20"/>
              </w:rPr>
            </w:pPr>
            <w:r w:rsidRPr="00A01B1B">
              <w:rPr>
                <w:rFonts w:cstheme="minorHAnsi"/>
                <w:sz w:val="20"/>
                <w:szCs w:val="20"/>
              </w:rPr>
              <w:t>5 383 432</w:t>
            </w:r>
          </w:p>
        </w:tc>
        <w:tc>
          <w:tcPr>
            <w:tcW w:w="754" w:type="dxa"/>
            <w:tcBorders>
              <w:top w:val="nil"/>
              <w:left w:val="single" w:sz="4" w:space="0" w:color="auto"/>
              <w:bottom w:val="nil"/>
              <w:right w:val="single" w:sz="4" w:space="0" w:color="auto"/>
            </w:tcBorders>
            <w:vAlign w:val="center"/>
          </w:tcPr>
          <w:p w14:paraId="4EAEEC33" w14:textId="77777777" w:rsidR="00A57478" w:rsidRPr="00A01B1B" w:rsidRDefault="00A57478">
            <w:pPr>
              <w:spacing w:before="60" w:after="60"/>
              <w:jc w:val="right"/>
              <w:rPr>
                <w:rFonts w:cstheme="minorHAnsi"/>
                <w:sz w:val="20"/>
                <w:szCs w:val="20"/>
              </w:rPr>
            </w:pPr>
            <w:r w:rsidRPr="00A01B1B">
              <w:rPr>
                <w:rFonts w:cstheme="minorHAnsi"/>
                <w:sz w:val="20"/>
                <w:szCs w:val="20"/>
              </w:rPr>
              <w:t>98,2</w:t>
            </w:r>
          </w:p>
        </w:tc>
      </w:tr>
      <w:tr w:rsidR="00A57478" w:rsidRPr="00A01B1B" w14:paraId="10277D26" w14:textId="77777777">
        <w:trPr>
          <w:tblHeader/>
        </w:trPr>
        <w:tc>
          <w:tcPr>
            <w:tcW w:w="2619" w:type="dxa"/>
            <w:tcBorders>
              <w:top w:val="nil"/>
              <w:left w:val="single" w:sz="4" w:space="0" w:color="auto"/>
              <w:bottom w:val="single" w:sz="4" w:space="0" w:color="auto"/>
              <w:right w:val="single" w:sz="4" w:space="0" w:color="auto"/>
            </w:tcBorders>
          </w:tcPr>
          <w:p w14:paraId="7AAEC702" w14:textId="77777777" w:rsidR="00A57478" w:rsidRPr="006A755F" w:rsidRDefault="00A57478">
            <w:pPr>
              <w:spacing w:before="60" w:after="60"/>
              <w:ind w:firstLine="4"/>
              <w:jc w:val="both"/>
              <w:rPr>
                <w:rFonts w:cstheme="minorHAnsi"/>
                <w:sz w:val="20"/>
                <w:szCs w:val="20"/>
              </w:rPr>
            </w:pPr>
            <w:r w:rsidRPr="006A755F">
              <w:rPr>
                <w:rFonts w:cstheme="minorHAnsi"/>
                <w:sz w:val="20"/>
                <w:szCs w:val="20"/>
              </w:rPr>
              <w:t>z toho: RISPF</w:t>
            </w:r>
          </w:p>
        </w:tc>
        <w:tc>
          <w:tcPr>
            <w:tcW w:w="1125" w:type="dxa"/>
            <w:tcBorders>
              <w:top w:val="nil"/>
              <w:left w:val="single" w:sz="4" w:space="0" w:color="auto"/>
              <w:bottom w:val="single" w:sz="4" w:space="0" w:color="auto"/>
              <w:right w:val="single" w:sz="4" w:space="0" w:color="auto"/>
            </w:tcBorders>
            <w:vAlign w:val="center"/>
          </w:tcPr>
          <w:p w14:paraId="1E1595D5" w14:textId="77777777" w:rsidR="00A57478" w:rsidRPr="00A01B1B" w:rsidRDefault="00A57478">
            <w:pPr>
              <w:spacing w:before="60" w:after="60"/>
              <w:jc w:val="right"/>
              <w:rPr>
                <w:rFonts w:cstheme="minorHAnsi"/>
                <w:sz w:val="20"/>
                <w:szCs w:val="20"/>
              </w:rPr>
            </w:pPr>
            <w:r w:rsidRPr="00A01B1B">
              <w:rPr>
                <w:rFonts w:cstheme="minorHAnsi"/>
                <w:sz w:val="20"/>
                <w:szCs w:val="20"/>
              </w:rPr>
              <w:t>102 104</w:t>
            </w:r>
          </w:p>
        </w:tc>
        <w:tc>
          <w:tcPr>
            <w:tcW w:w="1125" w:type="dxa"/>
            <w:tcBorders>
              <w:top w:val="nil"/>
              <w:left w:val="single" w:sz="4" w:space="0" w:color="auto"/>
              <w:bottom w:val="single" w:sz="4" w:space="0" w:color="auto"/>
              <w:right w:val="single" w:sz="4" w:space="0" w:color="auto"/>
            </w:tcBorders>
            <w:vAlign w:val="center"/>
          </w:tcPr>
          <w:p w14:paraId="3D21DAD4" w14:textId="77777777" w:rsidR="00A57478" w:rsidRPr="00A01B1B" w:rsidRDefault="00A57478">
            <w:pPr>
              <w:spacing w:before="60" w:after="60"/>
              <w:jc w:val="right"/>
              <w:rPr>
                <w:rFonts w:cstheme="minorHAnsi"/>
                <w:sz w:val="20"/>
                <w:szCs w:val="20"/>
              </w:rPr>
            </w:pPr>
            <w:r w:rsidRPr="00A01B1B">
              <w:rPr>
                <w:rFonts w:cstheme="minorHAnsi"/>
                <w:sz w:val="20"/>
                <w:szCs w:val="20"/>
              </w:rPr>
              <w:t>99 864</w:t>
            </w:r>
          </w:p>
        </w:tc>
        <w:tc>
          <w:tcPr>
            <w:tcW w:w="1152" w:type="dxa"/>
            <w:tcBorders>
              <w:top w:val="nil"/>
              <w:left w:val="single" w:sz="4" w:space="0" w:color="auto"/>
              <w:bottom w:val="single" w:sz="4" w:space="0" w:color="auto"/>
              <w:right w:val="single" w:sz="4" w:space="0" w:color="auto"/>
            </w:tcBorders>
            <w:vAlign w:val="center"/>
          </w:tcPr>
          <w:p w14:paraId="56D4D7AC" w14:textId="77777777" w:rsidR="00A57478" w:rsidRPr="00A01B1B" w:rsidRDefault="00A57478">
            <w:pPr>
              <w:spacing w:before="60" w:after="60"/>
              <w:jc w:val="right"/>
              <w:rPr>
                <w:rFonts w:cstheme="minorHAnsi"/>
                <w:sz w:val="20"/>
                <w:szCs w:val="20"/>
              </w:rPr>
            </w:pPr>
            <w:r w:rsidRPr="00A01B1B">
              <w:rPr>
                <w:rFonts w:cstheme="minorHAnsi"/>
                <w:sz w:val="20"/>
                <w:szCs w:val="20"/>
              </w:rPr>
              <w:t>101 240</w:t>
            </w:r>
          </w:p>
        </w:tc>
        <w:tc>
          <w:tcPr>
            <w:tcW w:w="1134" w:type="dxa"/>
            <w:tcBorders>
              <w:top w:val="nil"/>
              <w:left w:val="single" w:sz="4" w:space="0" w:color="auto"/>
              <w:bottom w:val="single" w:sz="4" w:space="0" w:color="auto"/>
              <w:right w:val="single" w:sz="4" w:space="0" w:color="auto"/>
            </w:tcBorders>
            <w:vAlign w:val="center"/>
          </w:tcPr>
          <w:p w14:paraId="3E62C776" w14:textId="77777777" w:rsidR="00A57478" w:rsidRPr="00A01B1B" w:rsidRDefault="00A57478">
            <w:pPr>
              <w:spacing w:before="60" w:after="60"/>
              <w:jc w:val="right"/>
              <w:rPr>
                <w:rFonts w:cstheme="minorHAnsi"/>
                <w:sz w:val="20"/>
                <w:szCs w:val="20"/>
              </w:rPr>
            </w:pPr>
            <w:r w:rsidRPr="00A01B1B">
              <w:rPr>
                <w:rFonts w:cstheme="minorHAnsi"/>
                <w:sz w:val="20"/>
                <w:szCs w:val="20"/>
              </w:rPr>
              <w:t>167 089</w:t>
            </w:r>
          </w:p>
        </w:tc>
        <w:tc>
          <w:tcPr>
            <w:tcW w:w="1125" w:type="dxa"/>
            <w:tcBorders>
              <w:top w:val="nil"/>
              <w:left w:val="single" w:sz="4" w:space="0" w:color="auto"/>
              <w:bottom w:val="single" w:sz="4" w:space="0" w:color="auto"/>
              <w:right w:val="single" w:sz="4" w:space="0" w:color="auto"/>
            </w:tcBorders>
            <w:vAlign w:val="center"/>
          </w:tcPr>
          <w:p w14:paraId="6E8ADBDF" w14:textId="77777777" w:rsidR="00A57478" w:rsidRPr="00A01B1B" w:rsidRDefault="00A57478">
            <w:pPr>
              <w:spacing w:before="60" w:after="60"/>
              <w:jc w:val="right"/>
              <w:rPr>
                <w:rFonts w:cstheme="minorHAnsi"/>
                <w:sz w:val="20"/>
                <w:szCs w:val="20"/>
              </w:rPr>
            </w:pPr>
            <w:r w:rsidRPr="00A01B1B">
              <w:rPr>
                <w:rFonts w:cstheme="minorHAnsi"/>
                <w:sz w:val="20"/>
                <w:szCs w:val="20"/>
              </w:rPr>
              <w:t>152 657</w:t>
            </w:r>
          </w:p>
        </w:tc>
        <w:tc>
          <w:tcPr>
            <w:tcW w:w="754" w:type="dxa"/>
            <w:tcBorders>
              <w:top w:val="nil"/>
              <w:left w:val="single" w:sz="4" w:space="0" w:color="auto"/>
              <w:bottom w:val="single" w:sz="4" w:space="0" w:color="auto"/>
              <w:right w:val="single" w:sz="4" w:space="0" w:color="auto"/>
            </w:tcBorders>
            <w:vAlign w:val="center"/>
          </w:tcPr>
          <w:p w14:paraId="6021EA54" w14:textId="77777777" w:rsidR="00A57478" w:rsidRPr="00A01B1B" w:rsidRDefault="00A57478">
            <w:pPr>
              <w:spacing w:before="60" w:after="60"/>
              <w:jc w:val="right"/>
              <w:rPr>
                <w:rFonts w:cstheme="minorHAnsi"/>
                <w:sz w:val="20"/>
                <w:szCs w:val="20"/>
              </w:rPr>
            </w:pPr>
            <w:r w:rsidRPr="00A01B1B">
              <w:rPr>
                <w:rFonts w:cstheme="minorHAnsi"/>
                <w:sz w:val="20"/>
                <w:szCs w:val="20"/>
              </w:rPr>
              <w:t>149,5</w:t>
            </w:r>
          </w:p>
        </w:tc>
      </w:tr>
      <w:tr w:rsidR="00A57478" w:rsidRPr="00A01B1B" w14:paraId="36C78E79" w14:textId="77777777">
        <w:trPr>
          <w:tblHeader/>
        </w:trPr>
        <w:tc>
          <w:tcPr>
            <w:tcW w:w="2619" w:type="dxa"/>
            <w:tcBorders>
              <w:top w:val="single" w:sz="4" w:space="0" w:color="auto"/>
              <w:left w:val="single" w:sz="4" w:space="0" w:color="auto"/>
              <w:bottom w:val="nil"/>
              <w:right w:val="single" w:sz="4" w:space="0" w:color="auto"/>
            </w:tcBorders>
          </w:tcPr>
          <w:p w14:paraId="55F8CC1B" w14:textId="77777777" w:rsidR="00A57478" w:rsidRPr="006A755F" w:rsidRDefault="00A57478">
            <w:pPr>
              <w:spacing w:before="60" w:after="60"/>
              <w:jc w:val="both"/>
              <w:rPr>
                <w:rFonts w:cstheme="minorHAnsi"/>
                <w:b/>
                <w:sz w:val="20"/>
                <w:szCs w:val="20"/>
              </w:rPr>
            </w:pPr>
            <w:r w:rsidRPr="004A12C5">
              <w:rPr>
                <w:rFonts w:cstheme="minorHAnsi"/>
                <w:b/>
                <w:color w:val="2E74B5" w:themeColor="accent1" w:themeShade="BF"/>
                <w:sz w:val="20"/>
                <w:szCs w:val="20"/>
              </w:rPr>
              <w:t xml:space="preserve">Kapitálové výdaje </w:t>
            </w:r>
            <w:r w:rsidRPr="004A12C5">
              <w:rPr>
                <w:rFonts w:cstheme="minorHAnsi"/>
                <w:color w:val="2E74B5" w:themeColor="accent1" w:themeShade="BF"/>
                <w:sz w:val="20"/>
                <w:szCs w:val="20"/>
              </w:rPr>
              <w:t>(v tom:)</w:t>
            </w:r>
          </w:p>
        </w:tc>
        <w:tc>
          <w:tcPr>
            <w:tcW w:w="1125" w:type="dxa"/>
            <w:tcBorders>
              <w:top w:val="single" w:sz="4" w:space="0" w:color="auto"/>
              <w:left w:val="single" w:sz="4" w:space="0" w:color="auto"/>
              <w:bottom w:val="nil"/>
              <w:right w:val="single" w:sz="4" w:space="0" w:color="auto"/>
            </w:tcBorders>
            <w:vAlign w:val="center"/>
          </w:tcPr>
          <w:p w14:paraId="44BB1594"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85 534</w:t>
            </w:r>
          </w:p>
        </w:tc>
        <w:tc>
          <w:tcPr>
            <w:tcW w:w="1125" w:type="dxa"/>
            <w:tcBorders>
              <w:top w:val="single" w:sz="4" w:space="0" w:color="auto"/>
              <w:left w:val="single" w:sz="4" w:space="0" w:color="auto"/>
              <w:bottom w:val="nil"/>
              <w:right w:val="single" w:sz="4" w:space="0" w:color="auto"/>
            </w:tcBorders>
            <w:vAlign w:val="center"/>
          </w:tcPr>
          <w:p w14:paraId="5837AC93"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76 585</w:t>
            </w:r>
          </w:p>
        </w:tc>
        <w:tc>
          <w:tcPr>
            <w:tcW w:w="1152" w:type="dxa"/>
            <w:tcBorders>
              <w:top w:val="single" w:sz="4" w:space="0" w:color="auto"/>
              <w:left w:val="single" w:sz="4" w:space="0" w:color="auto"/>
              <w:bottom w:val="nil"/>
              <w:right w:val="single" w:sz="4" w:space="0" w:color="auto"/>
            </w:tcBorders>
            <w:vAlign w:val="center"/>
          </w:tcPr>
          <w:p w14:paraId="6AE46D20"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88 356</w:t>
            </w:r>
          </w:p>
        </w:tc>
        <w:tc>
          <w:tcPr>
            <w:tcW w:w="1134" w:type="dxa"/>
            <w:tcBorders>
              <w:top w:val="single" w:sz="4" w:space="0" w:color="auto"/>
              <w:left w:val="single" w:sz="4" w:space="0" w:color="auto"/>
              <w:bottom w:val="nil"/>
              <w:right w:val="single" w:sz="4" w:space="0" w:color="auto"/>
            </w:tcBorders>
            <w:vAlign w:val="center"/>
          </w:tcPr>
          <w:p w14:paraId="583B49C7"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273 588</w:t>
            </w:r>
          </w:p>
        </w:tc>
        <w:tc>
          <w:tcPr>
            <w:tcW w:w="1125" w:type="dxa"/>
            <w:tcBorders>
              <w:top w:val="single" w:sz="4" w:space="0" w:color="auto"/>
              <w:left w:val="single" w:sz="4" w:space="0" w:color="auto"/>
              <w:bottom w:val="nil"/>
              <w:right w:val="single" w:sz="4" w:space="0" w:color="auto"/>
            </w:tcBorders>
            <w:vAlign w:val="center"/>
          </w:tcPr>
          <w:p w14:paraId="758A3985" w14:textId="77777777" w:rsidR="00A57478" w:rsidRPr="00A01B1B" w:rsidRDefault="00A57478">
            <w:pPr>
              <w:spacing w:before="60" w:after="60"/>
              <w:ind w:hanging="201"/>
              <w:jc w:val="right"/>
              <w:rPr>
                <w:rFonts w:cstheme="minorHAnsi"/>
                <w:b/>
                <w:color w:val="0070C0"/>
                <w:sz w:val="20"/>
                <w:szCs w:val="20"/>
              </w:rPr>
            </w:pPr>
            <w:r w:rsidRPr="00A01B1B">
              <w:rPr>
                <w:rFonts w:cstheme="minorHAnsi"/>
                <w:b/>
                <w:color w:val="0070C0"/>
                <w:sz w:val="20"/>
                <w:szCs w:val="20"/>
              </w:rPr>
              <w:t>97 400</w:t>
            </w:r>
          </w:p>
        </w:tc>
        <w:tc>
          <w:tcPr>
            <w:tcW w:w="754" w:type="dxa"/>
            <w:tcBorders>
              <w:top w:val="single" w:sz="4" w:space="0" w:color="auto"/>
              <w:left w:val="single" w:sz="4" w:space="0" w:color="auto"/>
              <w:bottom w:val="nil"/>
              <w:right w:val="single" w:sz="4" w:space="0" w:color="auto"/>
            </w:tcBorders>
            <w:vAlign w:val="center"/>
          </w:tcPr>
          <w:p w14:paraId="52CDA88A" w14:textId="77777777" w:rsidR="00A57478" w:rsidRPr="00A01B1B" w:rsidRDefault="00A57478">
            <w:pPr>
              <w:spacing w:before="60" w:after="60"/>
              <w:jc w:val="right"/>
              <w:rPr>
                <w:rFonts w:cstheme="minorHAnsi"/>
                <w:b/>
                <w:color w:val="0070C0"/>
                <w:sz w:val="20"/>
                <w:szCs w:val="20"/>
              </w:rPr>
            </w:pPr>
            <w:r w:rsidRPr="00A01B1B">
              <w:rPr>
                <w:rFonts w:cstheme="minorHAnsi"/>
                <w:b/>
                <w:color w:val="0070C0"/>
                <w:sz w:val="20"/>
                <w:szCs w:val="20"/>
              </w:rPr>
              <w:t>113,9</w:t>
            </w:r>
          </w:p>
        </w:tc>
      </w:tr>
      <w:tr w:rsidR="00A57478" w:rsidRPr="00A01B1B" w14:paraId="6CE247D8" w14:textId="77777777">
        <w:trPr>
          <w:tblHeader/>
        </w:trPr>
        <w:tc>
          <w:tcPr>
            <w:tcW w:w="2619" w:type="dxa"/>
            <w:tcBorders>
              <w:top w:val="nil"/>
              <w:left w:val="single" w:sz="4" w:space="0" w:color="auto"/>
              <w:bottom w:val="single" w:sz="4" w:space="0" w:color="auto"/>
              <w:right w:val="single" w:sz="4" w:space="0" w:color="auto"/>
            </w:tcBorders>
          </w:tcPr>
          <w:p w14:paraId="20B197B8" w14:textId="77777777" w:rsidR="00A57478" w:rsidRPr="006A755F" w:rsidRDefault="00A57478">
            <w:pPr>
              <w:spacing w:before="60" w:after="60"/>
              <w:ind w:hanging="6"/>
              <w:jc w:val="both"/>
              <w:rPr>
                <w:rFonts w:cstheme="minorHAnsi"/>
                <w:sz w:val="20"/>
                <w:szCs w:val="20"/>
              </w:rPr>
            </w:pPr>
            <w:r w:rsidRPr="006A755F">
              <w:rPr>
                <w:rFonts w:cstheme="minorHAnsi"/>
                <w:sz w:val="20"/>
                <w:szCs w:val="20"/>
              </w:rPr>
              <w:t>RISPF</w:t>
            </w:r>
          </w:p>
        </w:tc>
        <w:tc>
          <w:tcPr>
            <w:tcW w:w="1125" w:type="dxa"/>
            <w:tcBorders>
              <w:top w:val="nil"/>
              <w:left w:val="single" w:sz="4" w:space="0" w:color="auto"/>
              <w:bottom w:val="single" w:sz="4" w:space="0" w:color="auto"/>
              <w:right w:val="single" w:sz="4" w:space="0" w:color="auto"/>
            </w:tcBorders>
            <w:vAlign w:val="center"/>
          </w:tcPr>
          <w:p w14:paraId="58162690" w14:textId="77777777" w:rsidR="00A57478" w:rsidRPr="00A01B1B" w:rsidRDefault="00A57478">
            <w:pPr>
              <w:spacing w:before="60" w:after="60"/>
              <w:jc w:val="right"/>
              <w:rPr>
                <w:rFonts w:cstheme="minorHAnsi"/>
                <w:sz w:val="20"/>
                <w:szCs w:val="20"/>
              </w:rPr>
            </w:pPr>
            <w:r w:rsidRPr="00A01B1B">
              <w:rPr>
                <w:rFonts w:cstheme="minorHAnsi"/>
                <w:sz w:val="20"/>
                <w:szCs w:val="20"/>
              </w:rPr>
              <w:t>85 534</w:t>
            </w:r>
          </w:p>
        </w:tc>
        <w:tc>
          <w:tcPr>
            <w:tcW w:w="1125" w:type="dxa"/>
            <w:tcBorders>
              <w:top w:val="nil"/>
              <w:left w:val="single" w:sz="4" w:space="0" w:color="auto"/>
              <w:bottom w:val="single" w:sz="4" w:space="0" w:color="auto"/>
              <w:right w:val="single" w:sz="4" w:space="0" w:color="auto"/>
            </w:tcBorders>
            <w:vAlign w:val="center"/>
          </w:tcPr>
          <w:p w14:paraId="64D24F68" w14:textId="77777777" w:rsidR="00A57478" w:rsidRPr="00A01B1B" w:rsidRDefault="00A57478">
            <w:pPr>
              <w:spacing w:before="60" w:after="60"/>
              <w:jc w:val="right"/>
              <w:rPr>
                <w:rFonts w:cstheme="minorHAnsi"/>
                <w:sz w:val="20"/>
                <w:szCs w:val="20"/>
              </w:rPr>
            </w:pPr>
            <w:r w:rsidRPr="00A01B1B">
              <w:rPr>
                <w:rFonts w:cstheme="minorHAnsi"/>
                <w:sz w:val="20"/>
                <w:szCs w:val="20"/>
              </w:rPr>
              <w:t>76 585</w:t>
            </w:r>
          </w:p>
        </w:tc>
        <w:tc>
          <w:tcPr>
            <w:tcW w:w="1152" w:type="dxa"/>
            <w:tcBorders>
              <w:top w:val="nil"/>
              <w:left w:val="single" w:sz="4" w:space="0" w:color="auto"/>
              <w:bottom w:val="single" w:sz="4" w:space="0" w:color="auto"/>
              <w:right w:val="single" w:sz="4" w:space="0" w:color="auto"/>
            </w:tcBorders>
            <w:vAlign w:val="center"/>
          </w:tcPr>
          <w:p w14:paraId="733D349A" w14:textId="77777777" w:rsidR="00A57478" w:rsidRPr="00A01B1B" w:rsidRDefault="00A57478">
            <w:pPr>
              <w:spacing w:before="60" w:after="60"/>
              <w:jc w:val="right"/>
              <w:rPr>
                <w:rFonts w:cstheme="minorHAnsi"/>
                <w:sz w:val="20"/>
                <w:szCs w:val="20"/>
              </w:rPr>
            </w:pPr>
            <w:r w:rsidRPr="00A01B1B">
              <w:rPr>
                <w:rFonts w:cstheme="minorHAnsi"/>
                <w:sz w:val="20"/>
                <w:szCs w:val="20"/>
              </w:rPr>
              <w:t xml:space="preserve">88 356 </w:t>
            </w:r>
          </w:p>
        </w:tc>
        <w:tc>
          <w:tcPr>
            <w:tcW w:w="1134" w:type="dxa"/>
            <w:tcBorders>
              <w:top w:val="nil"/>
              <w:left w:val="single" w:sz="4" w:space="0" w:color="auto"/>
              <w:bottom w:val="single" w:sz="4" w:space="0" w:color="auto"/>
              <w:right w:val="single" w:sz="4" w:space="0" w:color="auto"/>
            </w:tcBorders>
            <w:vAlign w:val="center"/>
          </w:tcPr>
          <w:p w14:paraId="0E17E066" w14:textId="77777777" w:rsidR="00A57478" w:rsidRPr="00A01B1B" w:rsidRDefault="00A57478">
            <w:pPr>
              <w:spacing w:before="60" w:after="60"/>
              <w:jc w:val="right"/>
              <w:rPr>
                <w:rFonts w:cstheme="minorHAnsi"/>
                <w:sz w:val="20"/>
                <w:szCs w:val="20"/>
              </w:rPr>
            </w:pPr>
            <w:r w:rsidRPr="00A01B1B">
              <w:rPr>
                <w:rFonts w:cstheme="minorHAnsi"/>
                <w:sz w:val="20"/>
                <w:szCs w:val="20"/>
              </w:rPr>
              <w:t>273 588</w:t>
            </w:r>
          </w:p>
        </w:tc>
        <w:tc>
          <w:tcPr>
            <w:tcW w:w="1125" w:type="dxa"/>
            <w:tcBorders>
              <w:top w:val="nil"/>
              <w:left w:val="single" w:sz="4" w:space="0" w:color="auto"/>
              <w:bottom w:val="single" w:sz="4" w:space="0" w:color="auto"/>
              <w:right w:val="single" w:sz="4" w:space="0" w:color="auto"/>
            </w:tcBorders>
            <w:vAlign w:val="center"/>
          </w:tcPr>
          <w:p w14:paraId="4508649F" w14:textId="77777777" w:rsidR="00A57478" w:rsidRPr="00A01B1B" w:rsidRDefault="00A57478">
            <w:pPr>
              <w:spacing w:before="60" w:after="60"/>
              <w:jc w:val="right"/>
              <w:rPr>
                <w:rFonts w:cstheme="minorHAnsi"/>
                <w:sz w:val="20"/>
                <w:szCs w:val="20"/>
              </w:rPr>
            </w:pPr>
            <w:r w:rsidRPr="00A01B1B">
              <w:rPr>
                <w:rFonts w:cstheme="minorHAnsi"/>
                <w:sz w:val="20"/>
                <w:szCs w:val="20"/>
              </w:rPr>
              <w:t>97 400</w:t>
            </w:r>
          </w:p>
        </w:tc>
        <w:tc>
          <w:tcPr>
            <w:tcW w:w="754" w:type="dxa"/>
            <w:tcBorders>
              <w:top w:val="nil"/>
              <w:left w:val="single" w:sz="4" w:space="0" w:color="auto"/>
              <w:bottom w:val="single" w:sz="4" w:space="0" w:color="auto"/>
              <w:right w:val="single" w:sz="4" w:space="0" w:color="auto"/>
            </w:tcBorders>
            <w:vAlign w:val="center"/>
          </w:tcPr>
          <w:p w14:paraId="6E09111C" w14:textId="77777777" w:rsidR="00A57478" w:rsidRPr="00A01B1B" w:rsidRDefault="00A57478">
            <w:pPr>
              <w:spacing w:before="60" w:after="60"/>
              <w:jc w:val="right"/>
              <w:rPr>
                <w:rFonts w:cstheme="minorHAnsi"/>
                <w:sz w:val="20"/>
                <w:szCs w:val="20"/>
              </w:rPr>
            </w:pPr>
            <w:r w:rsidRPr="00A01B1B">
              <w:rPr>
                <w:rFonts w:cstheme="minorHAnsi"/>
                <w:sz w:val="20"/>
                <w:szCs w:val="20"/>
              </w:rPr>
              <w:t>113,9</w:t>
            </w:r>
          </w:p>
        </w:tc>
      </w:tr>
    </w:tbl>
    <w:p w14:paraId="4F832B4E" w14:textId="0E266B41" w:rsidR="00081FC7" w:rsidRPr="006B6D61" w:rsidRDefault="00081FC7" w:rsidP="003F0A7C">
      <w:pPr>
        <w:pStyle w:val="KOMtext"/>
      </w:pPr>
      <w:r w:rsidRPr="006B6D61">
        <w:rPr>
          <w:rFonts w:cstheme="minorHAnsi"/>
        </w:rPr>
        <w:t xml:space="preserve">Schválený rozpočet ústředního orgánu Ministerstva dopravy byl ve výši 6 260 737 tis. Kč. V průběhu roku byl rozpočet navýšen o 74 942 tis. Kč na částku 6 335 679 tis. Kč. Skutečné čerpání bylo ve výši 5 921 783 tis. Kč, tj. 93,5 % rozpočtu po změnách, a to včetně čerpání nároků z nespotřebovaných výdajů ve výši 202 868 tis. Kč a prostředků rezervního fondu </w:t>
      </w:r>
      <w:r w:rsidRPr="006B6D61">
        <w:rPr>
          <w:rFonts w:cstheme="minorHAnsi"/>
        </w:rPr>
        <w:br/>
        <w:t xml:space="preserve">ve výši 3 726 tis. Kč. Čerpání finančních prostředků bylo nejnižší v 1. čtvrtletí 2023, nejvyšší čerpání se uskutečnilo ve 4. čtvrtletí, podíl na celkovém čerpání činil 35,4 %. Oproti roku 2022 došlo k mírnému snížení čerpaných výdajů o 72 004 tis. Kč, tj. o 1,2 %.  K poklesu </w:t>
      </w:r>
      <w:r w:rsidRPr="006B6D61">
        <w:t>oproti roku 2022 do</w:t>
      </w:r>
      <w:r w:rsidR="005503F3">
        <w:t>šlo</w:t>
      </w:r>
      <w:r w:rsidRPr="006B6D61">
        <w:rPr>
          <w:rFonts w:cstheme="minorHAnsi"/>
        </w:rPr>
        <w:t xml:space="preserve"> u výdajů určených na </w:t>
      </w:r>
      <w:r w:rsidRPr="006B6D61">
        <w:t>kompenzace ztráty vznikající dopravcům ve veřejné osobní dopravě přiznáváním státem nařízených slev z jízdného (o 191 723 tis. Kč).</w:t>
      </w:r>
    </w:p>
    <w:p w14:paraId="043859E0" w14:textId="77777777" w:rsidR="00545B81" w:rsidRPr="006B6D61" w:rsidRDefault="00545B81" w:rsidP="008A0E44">
      <w:pPr>
        <w:pStyle w:val="KOMnadp4"/>
        <w:rPr>
          <w:lang w:eastAsia="cs-CZ"/>
        </w:rPr>
      </w:pPr>
      <w:r w:rsidRPr="006B6D61">
        <w:rPr>
          <w:lang w:eastAsia="cs-CZ"/>
        </w:rPr>
        <w:t>Běžné výdaje</w:t>
      </w:r>
    </w:p>
    <w:p w14:paraId="37DC4094" w14:textId="4798360D" w:rsidR="00E839B2" w:rsidRPr="006B6D61" w:rsidRDefault="00E839B2" w:rsidP="00E839B2">
      <w:pPr>
        <w:pStyle w:val="KOMtext"/>
      </w:pPr>
      <w:r w:rsidRPr="006B6D61">
        <w:t xml:space="preserve">Schválený rozpočet ve výši 6 184 153 tis. Kč byl v průběhu roku navýšen o 63 170 tis. Kč </w:t>
      </w:r>
      <w:r w:rsidR="008F0A80">
        <w:br/>
      </w:r>
      <w:r w:rsidRPr="006B6D61">
        <w:t>na částku 6 247 323 tis. Kč. Navýšení nejvíce ovlivnilo posílení</w:t>
      </w:r>
      <w:r w:rsidR="00CA6392" w:rsidRPr="006B6D61">
        <w:t xml:space="preserve"> </w:t>
      </w:r>
      <w:r w:rsidRPr="006B6D61">
        <w:t xml:space="preserve">výdajů určených na platy včetně příslušenství (podrobně viz kapitola 3.2), převedení prostředků z Ministerstva obrany </w:t>
      </w:r>
      <w:r w:rsidR="008F0A80">
        <w:br/>
      </w:r>
      <w:r w:rsidRPr="006B6D61">
        <w:t xml:space="preserve">na financování výcviku vojenských řídících letového provozu a navýšení programu 127 07 „Rozvoj a obnova materiálně technické základny systému řízení MD – OSS“ na vrub neinvestičních transferů mezinárodním organizacím. </w:t>
      </w:r>
      <w:r w:rsidRPr="000C4718">
        <w:t xml:space="preserve"> </w:t>
      </w:r>
      <w:r w:rsidRPr="006B6D61">
        <w:t xml:space="preserve">Dále rozpočet ovlivnily převody do jiných kapitol: zejména </w:t>
      </w:r>
      <w:r w:rsidRPr="006B6D61">
        <w:rPr>
          <w:szCs w:val="24"/>
        </w:rPr>
        <w:t xml:space="preserve">do kapitoly 313-MPSV na dávky důchodového pojištění, do kapitoly 322-MPO na spolupráci při zabezpečení činností spojených s přejímáním technických předpisů Evropské unie a do kapitoly 364-DIA na zajištění projektu Registr zastupování. </w:t>
      </w:r>
      <w:r w:rsidRPr="006B6D61">
        <w:t xml:space="preserve"> Běžné výdaje byly čerpané ve výši 5 824 383 tis. Kč, tj. 93,23 % rozpočtu po změnách, a to včetně čerpání nároků z nespotřebovaných výdajů ve výši 131 180 tis. Kč a prostředků rezervního fondu </w:t>
      </w:r>
      <w:r w:rsidR="008F0A80">
        <w:br/>
      </w:r>
      <w:r w:rsidRPr="006B6D61">
        <w:t>ve výši 3 022 tis. Kč.</w:t>
      </w:r>
    </w:p>
    <w:p w14:paraId="0C4F113E" w14:textId="77777777" w:rsidR="00160BB5" w:rsidRPr="006B6D61" w:rsidRDefault="00160BB5" w:rsidP="008A0E44">
      <w:pPr>
        <w:pStyle w:val="KOMnadp4"/>
      </w:pPr>
      <w:r w:rsidRPr="006B6D61">
        <w:lastRenderedPageBreak/>
        <w:t>Kapitálové výdaje</w:t>
      </w:r>
    </w:p>
    <w:p w14:paraId="7117115F" w14:textId="4B390F58" w:rsidR="00160BB5" w:rsidRPr="0077128B" w:rsidRDefault="00160BB5" w:rsidP="003F0A7C">
      <w:pPr>
        <w:pStyle w:val="KOMtext"/>
        <w:rPr>
          <w:color w:val="FF0000"/>
        </w:rPr>
      </w:pPr>
      <w:r w:rsidRPr="006B6D61">
        <w:t>Schválený rozpočet ve výši</w:t>
      </w:r>
      <w:r w:rsidR="001E5D10" w:rsidRPr="006B6D61">
        <w:t xml:space="preserve"> 76 585</w:t>
      </w:r>
      <w:r w:rsidRPr="006B6D61">
        <w:t xml:space="preserve"> tis. Kč byl v průběhu roku navýšen o </w:t>
      </w:r>
      <w:r w:rsidR="00D71447" w:rsidRPr="006B6D61">
        <w:t>11 771</w:t>
      </w:r>
      <w:r w:rsidRPr="006B6D61">
        <w:t xml:space="preserve"> tis. Kč na částku </w:t>
      </w:r>
      <w:r w:rsidR="00783F5D" w:rsidRPr="006B6D61">
        <w:t>88 356</w:t>
      </w:r>
      <w:r w:rsidRPr="006B6D61">
        <w:t xml:space="preserve"> tis. Kč. Navýšení se týkalo zejména posílení výdajů </w:t>
      </w:r>
      <w:r w:rsidR="005D2EFC" w:rsidRPr="006B6D61">
        <w:t>s ICT technologiemi (digitalizace agend, kybernetická bezpečnost či rozvoj informačních systémů dle zákonných požadavků), které ne</w:t>
      </w:r>
      <w:r w:rsidR="008863C0" w:rsidRPr="006B6D61">
        <w:t>byly</w:t>
      </w:r>
      <w:r w:rsidR="005D2EFC" w:rsidRPr="006B6D61">
        <w:t xml:space="preserve"> zabezpečeny v rámci schváleného státního rozpočtu na rok 2023. Prostředky </w:t>
      </w:r>
      <w:r w:rsidR="008863C0" w:rsidRPr="006B6D61">
        <w:t>byly</w:t>
      </w:r>
      <w:r w:rsidR="005D2EFC" w:rsidRPr="006B6D61">
        <w:t xml:space="preserve"> navýšeny na vrub rozpočtu ÚO MD z položky 5511 „neinvestiční transfery mezinárodním vládním organizacím“</w:t>
      </w:r>
      <w:r w:rsidR="008863C0" w:rsidRPr="006B6D61">
        <w:t>.</w:t>
      </w:r>
      <w:r w:rsidR="005D2EFC" w:rsidRPr="006B6D61">
        <w:t xml:space="preserve"> </w:t>
      </w:r>
      <w:r w:rsidRPr="006B6D61">
        <w:t xml:space="preserve">Kapitálové výdaje byly čerpány ve výši </w:t>
      </w:r>
      <w:r w:rsidR="00F31F51" w:rsidRPr="006B6D61">
        <w:t>97 400</w:t>
      </w:r>
      <w:r w:rsidRPr="006B6D61">
        <w:t xml:space="preserve"> tis. Kč, tj. </w:t>
      </w:r>
      <w:r w:rsidR="00B57F65" w:rsidRPr="006B6D61">
        <w:t>110,24</w:t>
      </w:r>
      <w:r w:rsidRPr="006B6D61">
        <w:t xml:space="preserve"> % rozpočtu po změnách, z toho nároky ve výši </w:t>
      </w:r>
      <w:r w:rsidR="009B2600" w:rsidRPr="006B6D61">
        <w:t>71 689</w:t>
      </w:r>
      <w:r w:rsidRPr="006B6D61">
        <w:t xml:space="preserve"> tis. Kč.</w:t>
      </w:r>
    </w:p>
    <w:p w14:paraId="076D2B7F" w14:textId="173C6B10" w:rsidR="003755E7" w:rsidRPr="006B6D61" w:rsidRDefault="003755E7" w:rsidP="003755E7">
      <w:pPr>
        <w:pStyle w:val="KOMGrafy"/>
      </w:pPr>
      <w:bookmarkStart w:id="731" w:name="_Toc160457137"/>
      <w:r w:rsidRPr="006B6D61">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20</w:t>
      </w:r>
      <w:r w:rsidRPr="006B6D61">
        <w:rPr>
          <w:noProof/>
        </w:rPr>
        <w:fldChar w:fldCharType="end"/>
      </w:r>
      <w:r w:rsidRPr="006B6D61">
        <w:t>: Srovnání skutečností v letech 202</w:t>
      </w:r>
      <w:r w:rsidR="008E4059" w:rsidRPr="006B6D61">
        <w:t>2</w:t>
      </w:r>
      <w:r w:rsidRPr="006B6D61">
        <w:t xml:space="preserve"> a 202</w:t>
      </w:r>
      <w:r w:rsidR="008E4059" w:rsidRPr="006B6D61">
        <w:t>3</w:t>
      </w:r>
      <w:r w:rsidRPr="006B6D61">
        <w:t xml:space="preserve"> u Ústředního orgánu MD (v tis. Kč)</w:t>
      </w:r>
      <w:bookmarkEnd w:id="731"/>
    </w:p>
    <w:p w14:paraId="4CC17B99" w14:textId="286FFAD4" w:rsidR="00130920" w:rsidRPr="0077128B" w:rsidRDefault="00130920" w:rsidP="003F0A7C">
      <w:pPr>
        <w:pStyle w:val="KOMtext"/>
        <w:rPr>
          <w:color w:val="FF0000"/>
        </w:rPr>
      </w:pPr>
      <w:r w:rsidRPr="002F1BE7">
        <w:rPr>
          <w:noProof/>
          <w:color w:val="FF0000"/>
        </w:rPr>
        <w:drawing>
          <wp:inline distT="0" distB="0" distL="0" distR="0" wp14:anchorId="426EF64D" wp14:editId="37F04719">
            <wp:extent cx="5760000" cy="2160000"/>
            <wp:effectExtent l="0" t="0" r="12700" b="12065"/>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01AC9660" w14:textId="7890DF28" w:rsidR="00F853CD" w:rsidRPr="0077128B" w:rsidRDefault="00F853CD" w:rsidP="008F0A80">
      <w:pPr>
        <w:pStyle w:val="KOMtext"/>
        <w:keepNext/>
        <w:rPr>
          <w:rFonts w:cstheme="minorHAnsi"/>
          <w:b/>
          <w:color w:val="FF0000"/>
        </w:rPr>
      </w:pPr>
      <w:r w:rsidRPr="006B6D61">
        <w:rPr>
          <w:rFonts w:cstheme="minorHAnsi"/>
          <w:b/>
        </w:rPr>
        <w:t xml:space="preserve">Mezi významné výdaje ústředního orgánu Ministerstva dopravy </w:t>
      </w:r>
      <w:proofErr w:type="gramStart"/>
      <w:r w:rsidRPr="006B6D61">
        <w:rPr>
          <w:rFonts w:cstheme="minorHAnsi"/>
          <w:b/>
        </w:rPr>
        <w:t>patří</w:t>
      </w:r>
      <w:proofErr w:type="gramEnd"/>
      <w:r w:rsidRPr="006B6D61">
        <w:rPr>
          <w:rFonts w:cstheme="minorHAnsi"/>
          <w:b/>
        </w:rPr>
        <w:t xml:space="preserve"> zejména:</w:t>
      </w:r>
    </w:p>
    <w:p w14:paraId="65C2C0C4" w14:textId="77777777" w:rsidR="00041280" w:rsidRPr="006B6D61" w:rsidRDefault="00F853CD" w:rsidP="00BA4E5A">
      <w:pPr>
        <w:pStyle w:val="KOMnadp5"/>
        <w:rPr>
          <w:rFonts w:eastAsia="Times New Roman"/>
          <w:color w:val="4472C4" w:themeColor="accent5"/>
        </w:rPr>
      </w:pPr>
      <w:r w:rsidRPr="006B6D61">
        <w:rPr>
          <w:rFonts w:eastAsia="Times New Roman"/>
          <w:color w:val="4472C4" w:themeColor="accent5"/>
        </w:rPr>
        <w:t xml:space="preserve">Dopravně správní agendy </w:t>
      </w:r>
    </w:p>
    <w:p w14:paraId="122D6F33" w14:textId="40C408B6" w:rsidR="00CA770B" w:rsidRPr="004A12C5" w:rsidRDefault="00CA770B" w:rsidP="00CA770B">
      <w:pPr>
        <w:pStyle w:val="KOMtext"/>
      </w:pPr>
      <w:r w:rsidRPr="004A12C5">
        <w:t xml:space="preserve">Na zajištění financování činností dopravně správních agend byly čerpány finanční prostředky v celkové výši </w:t>
      </w:r>
      <w:r w:rsidRPr="007270CC">
        <w:t>199</w:t>
      </w:r>
      <w:r>
        <w:t> </w:t>
      </w:r>
      <w:r w:rsidRPr="007270CC">
        <w:t>2</w:t>
      </w:r>
      <w:r>
        <w:t xml:space="preserve">30 </w:t>
      </w:r>
      <w:r w:rsidRPr="004A12C5">
        <w:t xml:space="preserve">tis. Kč, přičemž výroba registračních značek činila </w:t>
      </w:r>
      <w:r w:rsidRPr="00EC026B">
        <w:t>86</w:t>
      </w:r>
      <w:r>
        <w:t> </w:t>
      </w:r>
      <w:r w:rsidRPr="00EC026B">
        <w:t>98</w:t>
      </w:r>
      <w:r>
        <w:t xml:space="preserve">4 </w:t>
      </w:r>
      <w:r w:rsidRPr="004A12C5">
        <w:t xml:space="preserve">tis. Kč </w:t>
      </w:r>
      <w:r w:rsidRPr="004A12C5">
        <w:br/>
        <w:t xml:space="preserve">a výroba řidičských průkazů a průkazů profesní způsobilosti řidiče činila </w:t>
      </w:r>
      <w:r w:rsidRPr="0041501A">
        <w:t>112</w:t>
      </w:r>
      <w:r>
        <w:t> </w:t>
      </w:r>
      <w:r w:rsidRPr="0041501A">
        <w:t>246</w:t>
      </w:r>
      <w:r>
        <w:t xml:space="preserve"> </w:t>
      </w:r>
      <w:r w:rsidRPr="004A12C5">
        <w:t>tis. Kč.</w:t>
      </w:r>
    </w:p>
    <w:p w14:paraId="190A3596" w14:textId="77777777" w:rsidR="00041280" w:rsidRPr="006B6D61" w:rsidRDefault="00041280" w:rsidP="00BA4E5A">
      <w:pPr>
        <w:pStyle w:val="KOMnadp5"/>
        <w:rPr>
          <w:rFonts w:eastAsia="Times New Roman"/>
          <w:color w:val="4472C4" w:themeColor="accent5"/>
          <w:lang w:eastAsia="cs-CZ"/>
        </w:rPr>
      </w:pPr>
      <w:r w:rsidRPr="006B6D61">
        <w:rPr>
          <w:rFonts w:eastAsia="Times New Roman"/>
          <w:color w:val="4472C4" w:themeColor="accent5"/>
          <w:lang w:eastAsia="cs-CZ"/>
        </w:rPr>
        <w:t>Kompenzace ztráty vznikající dopravcům ve veřejné osobní dopravě přiznáváním státem nařízených slev z jízdného</w:t>
      </w:r>
    </w:p>
    <w:p w14:paraId="14D984CF" w14:textId="641FED7C" w:rsidR="00041280" w:rsidRPr="006B6D61" w:rsidRDefault="003E0AD4" w:rsidP="003F0A7C">
      <w:pPr>
        <w:pStyle w:val="KOMtext"/>
      </w:pPr>
      <w:r w:rsidRPr="006B6D61">
        <w:t xml:space="preserve">Vláda usnesením ze dne 27. března 2018 č. 206 schválila zavedení 75 % slevy z jízdného </w:t>
      </w:r>
      <w:r w:rsidR="008F0A80">
        <w:br/>
      </w:r>
      <w:r w:rsidRPr="006B6D61">
        <w:t>ve veřejné osobní dopravě (regionálních a dálkových vlacích a autobusech). Ministerstvo financí slevy vyhlásilo 10. května 2018 Výměrem MF č. 02/2018, kterým se vydává seznam zboží s regulovanými cenami. K 1. 4. 2022 došlo na základě rozhodnutí vlády ke snížení slevy pro děti, žáky, studenty a seniory ze 75 % na 50 %, a to z důvodu redukce dopadů na výdaje státního rozpočtu. Od 1. 7. 2022 pak byla zavedena 50% sleva pro osoby invalidní ve 3. stupni</w:t>
      </w:r>
      <w:r w:rsidRPr="00A6637F">
        <w:rPr>
          <w:color w:val="00B050"/>
        </w:rPr>
        <w:t>.</w:t>
      </w:r>
    </w:p>
    <w:p w14:paraId="3A2372B8" w14:textId="714EF963" w:rsidR="005378A3" w:rsidRPr="006B6D61" w:rsidRDefault="005378A3" w:rsidP="005378A3">
      <w:pPr>
        <w:pStyle w:val="KOMtext"/>
      </w:pPr>
      <w:r w:rsidRPr="006B6D61">
        <w:lastRenderedPageBreak/>
        <w:t>Kompenzace slev probíhají na základě smlouvy uzavřené mezi dopravcem a Ministerstvem dopravy. V roce 2019 bylo s autobusovými a železničními dopravci uzavřeno celkem 154 smluv na dobu neurčitou, v roce 2020 pak dalších 21 smluv. Celkem bylo k 31. 12. 2023 uzavřeno 203 smluv. Pro rok 2023 byl na krytí ztrát dopravců z poskytování slev schválen rozpočet ve výši 5 000 000 tis. Kč.  Skutečné čerpání bylo ve výši 4 663 026 tis. Kč. 2 439 534 tis. Kč bylo proplaceno za vlakové jízdenky a 2 223 492 tis. Kč za autobusové. Největšími příjemci byli následující dopravci (údaje v tis. Kč):</w:t>
      </w:r>
    </w:p>
    <w:tbl>
      <w:tblPr>
        <w:tblStyle w:val="Mkatabulky1"/>
        <w:tblW w:w="0" w:type="auto"/>
        <w:tblInd w:w="-5" w:type="dxa"/>
        <w:tblLook w:val="04A0" w:firstRow="1" w:lastRow="0" w:firstColumn="1" w:lastColumn="0" w:noHBand="0" w:noVBand="1"/>
      </w:tblPr>
      <w:tblGrid>
        <w:gridCol w:w="3969"/>
        <w:gridCol w:w="1560"/>
        <w:gridCol w:w="2120"/>
        <w:gridCol w:w="1418"/>
      </w:tblGrid>
      <w:tr w:rsidR="00257C36" w:rsidRPr="006A755F" w14:paraId="299AA159" w14:textId="77777777" w:rsidTr="004B544F">
        <w:trPr>
          <w:tblHeader/>
        </w:trPr>
        <w:tc>
          <w:tcPr>
            <w:tcW w:w="5529" w:type="dxa"/>
            <w:gridSpan w:val="2"/>
            <w:shd w:val="clear" w:color="auto" w:fill="D9D9D9" w:themeFill="background1" w:themeFillShade="D9"/>
          </w:tcPr>
          <w:p w14:paraId="0CC98B50" w14:textId="2CA0627F" w:rsidR="00257C36" w:rsidRPr="004B544F" w:rsidRDefault="004B544F" w:rsidP="001E647E">
            <w:pPr>
              <w:spacing w:before="120"/>
              <w:jc w:val="center"/>
              <w:rPr>
                <w:rFonts w:asciiTheme="majorHAnsi" w:hAnsiTheme="majorHAnsi" w:cstheme="majorHAnsi"/>
                <w:b/>
                <w:sz w:val="24"/>
              </w:rPr>
            </w:pPr>
            <w:r w:rsidRPr="004B544F">
              <w:rPr>
                <w:rFonts w:asciiTheme="majorHAnsi" w:hAnsiTheme="majorHAnsi" w:cstheme="majorHAnsi"/>
                <w:b/>
                <w:sz w:val="24"/>
              </w:rPr>
              <w:t>Autobusy</w:t>
            </w:r>
          </w:p>
        </w:tc>
        <w:tc>
          <w:tcPr>
            <w:tcW w:w="3538" w:type="dxa"/>
            <w:gridSpan w:val="2"/>
            <w:shd w:val="clear" w:color="auto" w:fill="D9D9D9" w:themeFill="background1" w:themeFillShade="D9"/>
          </w:tcPr>
          <w:p w14:paraId="2AF239A8" w14:textId="77777777" w:rsidR="00257C36" w:rsidRPr="004B544F" w:rsidRDefault="00257C36" w:rsidP="001E647E">
            <w:pPr>
              <w:spacing w:before="120"/>
              <w:jc w:val="center"/>
              <w:rPr>
                <w:rFonts w:asciiTheme="majorHAnsi" w:hAnsiTheme="majorHAnsi" w:cstheme="majorHAnsi"/>
                <w:b/>
                <w:sz w:val="24"/>
              </w:rPr>
            </w:pPr>
            <w:r w:rsidRPr="004B544F">
              <w:rPr>
                <w:rFonts w:asciiTheme="majorHAnsi" w:hAnsiTheme="majorHAnsi" w:cstheme="majorHAnsi"/>
                <w:b/>
                <w:sz w:val="24"/>
              </w:rPr>
              <w:t>Vlaky</w:t>
            </w:r>
          </w:p>
        </w:tc>
      </w:tr>
      <w:tr w:rsidR="00257C36" w:rsidRPr="006A755F" w14:paraId="36BD2193" w14:textId="77777777" w:rsidTr="004B544F">
        <w:trPr>
          <w:trHeight w:val="504"/>
          <w:tblHeader/>
        </w:trPr>
        <w:tc>
          <w:tcPr>
            <w:tcW w:w="3969" w:type="dxa"/>
            <w:vAlign w:val="center"/>
          </w:tcPr>
          <w:p w14:paraId="2C2C9977"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ARRIVA STŘEDNÍ ČECHY s.r.o.</w:t>
            </w:r>
          </w:p>
        </w:tc>
        <w:tc>
          <w:tcPr>
            <w:tcW w:w="1560" w:type="dxa"/>
            <w:vAlign w:val="center"/>
          </w:tcPr>
          <w:p w14:paraId="460844AB" w14:textId="77777777" w:rsidR="00257C36" w:rsidRPr="004B544F" w:rsidRDefault="00257C36" w:rsidP="004B544F">
            <w:pPr>
              <w:keepNext/>
              <w:jc w:val="right"/>
              <w:rPr>
                <w:rFonts w:asciiTheme="majorHAnsi" w:hAnsiTheme="majorHAnsi" w:cstheme="majorHAnsi"/>
                <w:sz w:val="24"/>
                <w:szCs w:val="24"/>
              </w:rPr>
            </w:pPr>
            <w:r w:rsidRPr="004B544F">
              <w:rPr>
                <w:rFonts w:asciiTheme="majorHAnsi" w:hAnsiTheme="majorHAnsi" w:cstheme="majorHAnsi"/>
                <w:sz w:val="24"/>
                <w:szCs w:val="24"/>
              </w:rPr>
              <w:t>189 013</w:t>
            </w:r>
          </w:p>
        </w:tc>
        <w:tc>
          <w:tcPr>
            <w:tcW w:w="2120" w:type="dxa"/>
            <w:vAlign w:val="center"/>
          </w:tcPr>
          <w:p w14:paraId="463F372D" w14:textId="77777777" w:rsidR="00257C36" w:rsidRPr="004B544F" w:rsidRDefault="00257C36" w:rsidP="001E647E">
            <w:pPr>
              <w:keepNext/>
              <w:ind w:right="-1173"/>
              <w:rPr>
                <w:rFonts w:asciiTheme="majorHAnsi" w:hAnsiTheme="majorHAnsi" w:cstheme="majorHAnsi"/>
                <w:sz w:val="24"/>
                <w:szCs w:val="24"/>
              </w:rPr>
            </w:pPr>
            <w:r w:rsidRPr="004B544F">
              <w:rPr>
                <w:rFonts w:asciiTheme="majorHAnsi" w:hAnsiTheme="majorHAnsi" w:cstheme="majorHAnsi"/>
                <w:sz w:val="24"/>
                <w:szCs w:val="24"/>
              </w:rPr>
              <w:t>České dráhy, a.s.</w:t>
            </w:r>
          </w:p>
        </w:tc>
        <w:tc>
          <w:tcPr>
            <w:tcW w:w="1418" w:type="dxa"/>
            <w:vAlign w:val="center"/>
          </w:tcPr>
          <w:p w14:paraId="02349823" w14:textId="77777777" w:rsidR="00257C36" w:rsidRPr="004B544F" w:rsidRDefault="00257C36" w:rsidP="001E647E">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1 828 928</w:t>
            </w:r>
          </w:p>
        </w:tc>
      </w:tr>
      <w:tr w:rsidR="00257C36" w:rsidRPr="006A755F" w14:paraId="025A2061" w14:textId="77777777" w:rsidTr="004B544F">
        <w:trPr>
          <w:trHeight w:val="410"/>
          <w:tblHeader/>
        </w:trPr>
        <w:tc>
          <w:tcPr>
            <w:tcW w:w="3969" w:type="dxa"/>
            <w:vAlign w:val="center"/>
          </w:tcPr>
          <w:p w14:paraId="10BDDA5A"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 xml:space="preserve">ARRIVA autobusy a.s. </w:t>
            </w:r>
          </w:p>
        </w:tc>
        <w:tc>
          <w:tcPr>
            <w:tcW w:w="1560" w:type="dxa"/>
            <w:vAlign w:val="center"/>
          </w:tcPr>
          <w:p w14:paraId="5E6E5FEC" w14:textId="77777777" w:rsidR="00257C36" w:rsidRPr="004B544F" w:rsidRDefault="00257C36" w:rsidP="004B544F">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130 867</w:t>
            </w:r>
          </w:p>
        </w:tc>
        <w:tc>
          <w:tcPr>
            <w:tcW w:w="2120" w:type="dxa"/>
            <w:vAlign w:val="center"/>
          </w:tcPr>
          <w:p w14:paraId="4B62C789"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RegioJet a.s.</w:t>
            </w:r>
          </w:p>
        </w:tc>
        <w:tc>
          <w:tcPr>
            <w:tcW w:w="1418" w:type="dxa"/>
            <w:vAlign w:val="center"/>
          </w:tcPr>
          <w:p w14:paraId="278DB4B4" w14:textId="77777777" w:rsidR="00257C36" w:rsidRPr="004B544F" w:rsidRDefault="00257C36" w:rsidP="004B544F">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398 957</w:t>
            </w:r>
          </w:p>
        </w:tc>
      </w:tr>
      <w:tr w:rsidR="00257C36" w:rsidRPr="006A755F" w14:paraId="4D25B098" w14:textId="77777777" w:rsidTr="004B544F">
        <w:trPr>
          <w:tblHeader/>
        </w:trPr>
        <w:tc>
          <w:tcPr>
            <w:tcW w:w="3969" w:type="dxa"/>
            <w:vAlign w:val="center"/>
          </w:tcPr>
          <w:p w14:paraId="5698EB8C"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STUDENT AGENCY k.s.</w:t>
            </w:r>
          </w:p>
        </w:tc>
        <w:tc>
          <w:tcPr>
            <w:tcW w:w="1560" w:type="dxa"/>
            <w:vAlign w:val="center"/>
          </w:tcPr>
          <w:p w14:paraId="4391508C" w14:textId="77777777" w:rsidR="00257C36" w:rsidRPr="004B544F" w:rsidRDefault="00257C36" w:rsidP="004B544F">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106 269</w:t>
            </w:r>
          </w:p>
        </w:tc>
        <w:tc>
          <w:tcPr>
            <w:tcW w:w="2120" w:type="dxa"/>
            <w:vAlign w:val="center"/>
          </w:tcPr>
          <w:p w14:paraId="38CBF0EA"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ARRIVA vlaky s.r.o.</w:t>
            </w:r>
          </w:p>
        </w:tc>
        <w:tc>
          <w:tcPr>
            <w:tcW w:w="1418" w:type="dxa"/>
            <w:vAlign w:val="center"/>
          </w:tcPr>
          <w:p w14:paraId="02E603A0" w14:textId="77777777" w:rsidR="00257C36" w:rsidRPr="004B544F" w:rsidRDefault="00257C36" w:rsidP="001E647E">
            <w:pPr>
              <w:keepNext/>
              <w:spacing w:before="120"/>
              <w:jc w:val="right"/>
              <w:rPr>
                <w:rFonts w:asciiTheme="majorHAnsi" w:hAnsiTheme="majorHAnsi" w:cstheme="majorHAnsi"/>
                <w:sz w:val="24"/>
                <w:szCs w:val="24"/>
              </w:rPr>
            </w:pPr>
            <w:r w:rsidRPr="004B544F">
              <w:rPr>
                <w:rFonts w:asciiTheme="majorHAnsi" w:hAnsiTheme="majorHAnsi" w:cstheme="majorHAnsi"/>
                <w:color w:val="000000"/>
                <w:sz w:val="24"/>
                <w:szCs w:val="24"/>
              </w:rPr>
              <w:t>80 581</w:t>
            </w:r>
          </w:p>
        </w:tc>
      </w:tr>
      <w:tr w:rsidR="00257C36" w:rsidRPr="006A755F" w14:paraId="323C75CE" w14:textId="77777777" w:rsidTr="004B544F">
        <w:trPr>
          <w:trHeight w:val="402"/>
          <w:tblHeader/>
        </w:trPr>
        <w:tc>
          <w:tcPr>
            <w:tcW w:w="3969" w:type="dxa"/>
            <w:vAlign w:val="center"/>
          </w:tcPr>
          <w:p w14:paraId="39F49C26"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Dopravní společnost Ústeckého kraje, příspěvková organizace</w:t>
            </w:r>
          </w:p>
        </w:tc>
        <w:tc>
          <w:tcPr>
            <w:tcW w:w="1560" w:type="dxa"/>
            <w:vAlign w:val="center"/>
          </w:tcPr>
          <w:p w14:paraId="781741FB" w14:textId="77777777" w:rsidR="00257C36" w:rsidRPr="004B544F" w:rsidRDefault="00257C36" w:rsidP="004B544F">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84 989</w:t>
            </w:r>
          </w:p>
        </w:tc>
        <w:tc>
          <w:tcPr>
            <w:tcW w:w="2120" w:type="dxa"/>
            <w:vAlign w:val="center"/>
          </w:tcPr>
          <w:p w14:paraId="2F4B34C5"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LEO Express s.r.o.</w:t>
            </w:r>
          </w:p>
        </w:tc>
        <w:tc>
          <w:tcPr>
            <w:tcW w:w="1418" w:type="dxa"/>
            <w:vAlign w:val="center"/>
          </w:tcPr>
          <w:p w14:paraId="73342355" w14:textId="77777777" w:rsidR="00257C36" w:rsidRPr="004B544F" w:rsidRDefault="00257C36" w:rsidP="001E647E">
            <w:pPr>
              <w:keepNext/>
              <w:jc w:val="right"/>
              <w:rPr>
                <w:rFonts w:asciiTheme="majorHAnsi" w:hAnsiTheme="majorHAnsi" w:cstheme="majorHAnsi"/>
                <w:color w:val="000000"/>
                <w:sz w:val="24"/>
                <w:szCs w:val="24"/>
              </w:rPr>
            </w:pPr>
            <w:r w:rsidRPr="004B544F">
              <w:rPr>
                <w:rFonts w:asciiTheme="majorHAnsi" w:hAnsiTheme="majorHAnsi" w:cstheme="majorHAnsi"/>
                <w:color w:val="000000"/>
                <w:sz w:val="24"/>
                <w:szCs w:val="24"/>
              </w:rPr>
              <w:t>69 194</w:t>
            </w:r>
          </w:p>
        </w:tc>
      </w:tr>
      <w:tr w:rsidR="00257C36" w:rsidRPr="006A755F" w14:paraId="0E4A8A09" w14:textId="77777777" w:rsidTr="00C50BF9">
        <w:trPr>
          <w:trHeight w:val="390"/>
          <w:tblHeader/>
        </w:trPr>
        <w:tc>
          <w:tcPr>
            <w:tcW w:w="3969" w:type="dxa"/>
            <w:vAlign w:val="center"/>
          </w:tcPr>
          <w:p w14:paraId="5480387A"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Z-Group bus a.s.</w:t>
            </w:r>
          </w:p>
        </w:tc>
        <w:tc>
          <w:tcPr>
            <w:tcW w:w="1560" w:type="dxa"/>
            <w:vAlign w:val="center"/>
          </w:tcPr>
          <w:p w14:paraId="56037596" w14:textId="77777777" w:rsidR="00257C36" w:rsidRPr="004B544F" w:rsidRDefault="00257C36" w:rsidP="004B544F">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83 598</w:t>
            </w:r>
          </w:p>
        </w:tc>
        <w:tc>
          <w:tcPr>
            <w:tcW w:w="2120" w:type="dxa"/>
            <w:vAlign w:val="center"/>
          </w:tcPr>
          <w:p w14:paraId="5DC2F074" w14:textId="77777777" w:rsidR="00257C36" w:rsidRPr="004B544F" w:rsidRDefault="00257C36" w:rsidP="001E647E">
            <w:pPr>
              <w:keepNext/>
              <w:rPr>
                <w:rFonts w:asciiTheme="majorHAnsi" w:hAnsiTheme="majorHAnsi" w:cstheme="majorHAnsi"/>
                <w:sz w:val="24"/>
                <w:szCs w:val="24"/>
              </w:rPr>
            </w:pPr>
            <w:r w:rsidRPr="004B544F">
              <w:rPr>
                <w:rFonts w:asciiTheme="majorHAnsi" w:hAnsiTheme="majorHAnsi" w:cstheme="majorHAnsi"/>
                <w:sz w:val="24"/>
                <w:szCs w:val="24"/>
              </w:rPr>
              <w:t xml:space="preserve">GW </w:t>
            </w:r>
            <w:proofErr w:type="spellStart"/>
            <w:r w:rsidRPr="004B544F">
              <w:rPr>
                <w:rFonts w:asciiTheme="majorHAnsi" w:hAnsiTheme="majorHAnsi" w:cstheme="majorHAnsi"/>
                <w:sz w:val="24"/>
                <w:szCs w:val="24"/>
              </w:rPr>
              <w:t>Train</w:t>
            </w:r>
            <w:proofErr w:type="spellEnd"/>
            <w:r w:rsidRPr="004B544F">
              <w:rPr>
                <w:rFonts w:asciiTheme="majorHAnsi" w:hAnsiTheme="majorHAnsi" w:cstheme="majorHAnsi"/>
                <w:sz w:val="24"/>
                <w:szCs w:val="24"/>
              </w:rPr>
              <w:t xml:space="preserve"> </w:t>
            </w:r>
            <w:proofErr w:type="spellStart"/>
            <w:r w:rsidRPr="004B544F">
              <w:rPr>
                <w:rFonts w:asciiTheme="majorHAnsi" w:hAnsiTheme="majorHAnsi" w:cstheme="majorHAnsi"/>
                <w:sz w:val="24"/>
                <w:szCs w:val="24"/>
              </w:rPr>
              <w:t>Regio</w:t>
            </w:r>
            <w:proofErr w:type="spellEnd"/>
            <w:r w:rsidRPr="004B544F">
              <w:rPr>
                <w:rFonts w:asciiTheme="majorHAnsi" w:hAnsiTheme="majorHAnsi" w:cstheme="majorHAnsi"/>
                <w:sz w:val="24"/>
                <w:szCs w:val="24"/>
              </w:rPr>
              <w:t xml:space="preserve"> a.s.</w:t>
            </w:r>
          </w:p>
        </w:tc>
        <w:tc>
          <w:tcPr>
            <w:tcW w:w="1418" w:type="dxa"/>
            <w:vAlign w:val="center"/>
          </w:tcPr>
          <w:p w14:paraId="1A8F80BD" w14:textId="77777777" w:rsidR="00257C36" w:rsidRPr="004B544F" w:rsidRDefault="00257C36" w:rsidP="001E647E">
            <w:pPr>
              <w:keepNext/>
              <w:jc w:val="right"/>
              <w:rPr>
                <w:rFonts w:asciiTheme="majorHAnsi" w:hAnsiTheme="majorHAnsi" w:cstheme="majorHAnsi"/>
                <w:sz w:val="24"/>
                <w:szCs w:val="24"/>
              </w:rPr>
            </w:pPr>
            <w:r w:rsidRPr="004B544F">
              <w:rPr>
                <w:rFonts w:asciiTheme="majorHAnsi" w:hAnsiTheme="majorHAnsi" w:cstheme="majorHAnsi"/>
                <w:color w:val="000000"/>
                <w:sz w:val="24"/>
                <w:szCs w:val="24"/>
              </w:rPr>
              <w:t>21 231</w:t>
            </w:r>
          </w:p>
        </w:tc>
      </w:tr>
    </w:tbl>
    <w:p w14:paraId="0EDD843C" w14:textId="77777777" w:rsidR="00B1021B" w:rsidRDefault="00B1021B" w:rsidP="003F0A7C">
      <w:pPr>
        <w:pStyle w:val="KOMtext"/>
      </w:pPr>
      <w:r w:rsidRPr="006B6D61">
        <w:t>Struktura kompenzací podle kategorií cestujících (objem kompenzací připadající na jednotlivé skupiny), nejedná se o podíl cestujících se slevou, resp. počtu využitých jízdenek:</w:t>
      </w:r>
    </w:p>
    <w:p w14:paraId="61DDB1C9" w14:textId="77777777" w:rsidR="002435E9" w:rsidRDefault="002435E9" w:rsidP="003F0A7C">
      <w:pPr>
        <w:pStyle w:val="KOMtext"/>
      </w:pPr>
    </w:p>
    <w:p w14:paraId="6CA1973B" w14:textId="77777777" w:rsidR="002435E9" w:rsidRDefault="002435E9" w:rsidP="003F0A7C">
      <w:pPr>
        <w:pStyle w:val="KOMtext"/>
      </w:pPr>
    </w:p>
    <w:p w14:paraId="6BB89E3E" w14:textId="77777777" w:rsidR="002435E9" w:rsidRDefault="002435E9" w:rsidP="003F0A7C">
      <w:pPr>
        <w:pStyle w:val="KOMtext"/>
      </w:pPr>
    </w:p>
    <w:tbl>
      <w:tblPr>
        <w:tblStyle w:val="Mkatabulky2"/>
        <w:tblW w:w="0" w:type="auto"/>
        <w:tblInd w:w="2263" w:type="dxa"/>
        <w:tblLook w:val="04A0" w:firstRow="1" w:lastRow="0" w:firstColumn="1" w:lastColumn="0" w:noHBand="0" w:noVBand="1"/>
      </w:tblPr>
      <w:tblGrid>
        <w:gridCol w:w="2879"/>
        <w:gridCol w:w="1374"/>
      </w:tblGrid>
      <w:tr w:rsidR="00F5199D" w:rsidRPr="0059679C" w14:paraId="565FDD37" w14:textId="77777777" w:rsidTr="00F5199D">
        <w:tc>
          <w:tcPr>
            <w:tcW w:w="2879" w:type="dxa"/>
            <w:hideMark/>
          </w:tcPr>
          <w:p w14:paraId="32E8FA86" w14:textId="77777777" w:rsidR="00F5199D" w:rsidRPr="00C50BF9" w:rsidRDefault="00F5199D" w:rsidP="00002986">
            <w:pPr>
              <w:spacing w:before="120"/>
              <w:rPr>
                <w:rFonts w:asciiTheme="majorHAnsi" w:eastAsia="Calibri" w:hAnsiTheme="majorHAnsi" w:cstheme="majorHAnsi"/>
                <w:sz w:val="24"/>
                <w:szCs w:val="24"/>
              </w:rPr>
            </w:pPr>
            <w:r w:rsidRPr="00C50BF9">
              <w:rPr>
                <w:rFonts w:asciiTheme="majorHAnsi" w:eastAsia="Calibri" w:hAnsiTheme="majorHAnsi" w:cstheme="majorHAnsi"/>
                <w:sz w:val="24"/>
                <w:szCs w:val="24"/>
              </w:rPr>
              <w:t>Dítě/žák 6-18 let</w:t>
            </w:r>
          </w:p>
        </w:tc>
        <w:tc>
          <w:tcPr>
            <w:tcW w:w="1374" w:type="dxa"/>
            <w:hideMark/>
          </w:tcPr>
          <w:p w14:paraId="2EDFAF96" w14:textId="77777777" w:rsidR="00F5199D" w:rsidRPr="00C50BF9" w:rsidRDefault="00F5199D" w:rsidP="00002986">
            <w:pPr>
              <w:spacing w:before="120"/>
              <w:jc w:val="right"/>
              <w:rPr>
                <w:rFonts w:asciiTheme="majorHAnsi" w:eastAsia="Calibri" w:hAnsiTheme="majorHAnsi" w:cstheme="majorHAnsi"/>
                <w:sz w:val="24"/>
                <w:szCs w:val="24"/>
              </w:rPr>
            </w:pPr>
            <w:r w:rsidRPr="00C50BF9">
              <w:rPr>
                <w:rFonts w:asciiTheme="majorHAnsi" w:eastAsia="Calibri" w:hAnsiTheme="majorHAnsi" w:cstheme="majorHAnsi"/>
                <w:sz w:val="24"/>
                <w:szCs w:val="24"/>
              </w:rPr>
              <w:t>36,0 %</w:t>
            </w:r>
          </w:p>
        </w:tc>
      </w:tr>
      <w:tr w:rsidR="00F5199D" w:rsidRPr="0059679C" w14:paraId="5C97DCE3" w14:textId="77777777" w:rsidTr="00F5199D">
        <w:tc>
          <w:tcPr>
            <w:tcW w:w="2879" w:type="dxa"/>
            <w:hideMark/>
          </w:tcPr>
          <w:p w14:paraId="36B66B03" w14:textId="77777777" w:rsidR="00F5199D" w:rsidRPr="00C50BF9" w:rsidRDefault="00F5199D" w:rsidP="00002986">
            <w:pPr>
              <w:spacing w:before="120"/>
              <w:rPr>
                <w:rFonts w:asciiTheme="majorHAnsi" w:eastAsia="Calibri" w:hAnsiTheme="majorHAnsi" w:cstheme="majorHAnsi"/>
                <w:sz w:val="24"/>
                <w:szCs w:val="24"/>
              </w:rPr>
            </w:pPr>
            <w:r w:rsidRPr="00C50BF9">
              <w:rPr>
                <w:rFonts w:asciiTheme="majorHAnsi" w:eastAsia="Calibri" w:hAnsiTheme="majorHAnsi" w:cstheme="majorHAnsi"/>
                <w:sz w:val="24"/>
                <w:szCs w:val="24"/>
              </w:rPr>
              <w:t>Student 18-26 let</w:t>
            </w:r>
          </w:p>
        </w:tc>
        <w:tc>
          <w:tcPr>
            <w:tcW w:w="1374" w:type="dxa"/>
            <w:hideMark/>
          </w:tcPr>
          <w:p w14:paraId="0F341860" w14:textId="77777777" w:rsidR="00F5199D" w:rsidRPr="00C50BF9" w:rsidRDefault="00F5199D" w:rsidP="00002986">
            <w:pPr>
              <w:spacing w:before="120"/>
              <w:jc w:val="right"/>
              <w:rPr>
                <w:rFonts w:asciiTheme="majorHAnsi" w:eastAsia="Calibri" w:hAnsiTheme="majorHAnsi" w:cstheme="majorHAnsi"/>
                <w:sz w:val="24"/>
                <w:szCs w:val="24"/>
              </w:rPr>
            </w:pPr>
            <w:r w:rsidRPr="00C50BF9">
              <w:rPr>
                <w:rFonts w:asciiTheme="majorHAnsi" w:eastAsia="Calibri" w:hAnsiTheme="majorHAnsi" w:cstheme="majorHAnsi"/>
                <w:sz w:val="24"/>
                <w:szCs w:val="24"/>
              </w:rPr>
              <w:t>40,7 %</w:t>
            </w:r>
          </w:p>
        </w:tc>
      </w:tr>
      <w:tr w:rsidR="00F5199D" w:rsidRPr="0059679C" w14:paraId="0A5D5AB3" w14:textId="77777777" w:rsidTr="00F5199D">
        <w:tc>
          <w:tcPr>
            <w:tcW w:w="2879" w:type="dxa"/>
            <w:hideMark/>
          </w:tcPr>
          <w:p w14:paraId="4901CB47" w14:textId="77777777" w:rsidR="00F5199D" w:rsidRPr="00C50BF9" w:rsidRDefault="00F5199D" w:rsidP="00002986">
            <w:pPr>
              <w:spacing w:before="120"/>
              <w:rPr>
                <w:rFonts w:asciiTheme="majorHAnsi" w:eastAsia="Calibri" w:hAnsiTheme="majorHAnsi" w:cstheme="majorHAnsi"/>
                <w:sz w:val="24"/>
                <w:szCs w:val="24"/>
              </w:rPr>
            </w:pPr>
            <w:r w:rsidRPr="00C50BF9">
              <w:rPr>
                <w:rFonts w:asciiTheme="majorHAnsi" w:eastAsia="Calibri" w:hAnsiTheme="majorHAnsi" w:cstheme="majorHAnsi"/>
                <w:sz w:val="24"/>
                <w:szCs w:val="24"/>
              </w:rPr>
              <w:t>Senior 65+</w:t>
            </w:r>
          </w:p>
        </w:tc>
        <w:tc>
          <w:tcPr>
            <w:tcW w:w="1374" w:type="dxa"/>
            <w:hideMark/>
          </w:tcPr>
          <w:p w14:paraId="64E04253" w14:textId="77777777" w:rsidR="00F5199D" w:rsidRPr="00C50BF9" w:rsidRDefault="00F5199D" w:rsidP="00002986">
            <w:pPr>
              <w:spacing w:before="120"/>
              <w:jc w:val="right"/>
              <w:rPr>
                <w:rFonts w:asciiTheme="majorHAnsi" w:eastAsia="Calibri" w:hAnsiTheme="majorHAnsi" w:cstheme="majorHAnsi"/>
                <w:sz w:val="24"/>
                <w:szCs w:val="24"/>
              </w:rPr>
            </w:pPr>
            <w:r w:rsidRPr="00C50BF9">
              <w:rPr>
                <w:rFonts w:asciiTheme="majorHAnsi" w:eastAsia="Calibri" w:hAnsiTheme="majorHAnsi" w:cstheme="majorHAnsi"/>
                <w:sz w:val="24"/>
                <w:szCs w:val="24"/>
              </w:rPr>
              <w:t>18,2 %</w:t>
            </w:r>
          </w:p>
        </w:tc>
      </w:tr>
      <w:tr w:rsidR="00F5199D" w:rsidRPr="0059679C" w14:paraId="40CAED00" w14:textId="77777777" w:rsidTr="00F5199D">
        <w:tc>
          <w:tcPr>
            <w:tcW w:w="2879" w:type="dxa"/>
            <w:hideMark/>
          </w:tcPr>
          <w:p w14:paraId="3A6D31C3" w14:textId="77777777" w:rsidR="00F5199D" w:rsidRPr="00C50BF9" w:rsidRDefault="00F5199D" w:rsidP="00002986">
            <w:pPr>
              <w:spacing w:before="120"/>
              <w:rPr>
                <w:rFonts w:asciiTheme="majorHAnsi" w:eastAsia="Calibri" w:hAnsiTheme="majorHAnsi" w:cstheme="majorHAnsi"/>
                <w:sz w:val="24"/>
                <w:szCs w:val="24"/>
              </w:rPr>
            </w:pPr>
            <w:proofErr w:type="gramStart"/>
            <w:r w:rsidRPr="00C50BF9">
              <w:rPr>
                <w:rFonts w:asciiTheme="majorHAnsi" w:eastAsia="Calibri" w:hAnsiTheme="majorHAnsi" w:cstheme="majorHAnsi"/>
                <w:sz w:val="24"/>
                <w:szCs w:val="24"/>
              </w:rPr>
              <w:t>ostatní</w:t>
            </w:r>
            <w:r w:rsidRPr="00C50BF9">
              <w:rPr>
                <w:rFonts w:asciiTheme="majorHAnsi" w:eastAsia="Calibri" w:hAnsiTheme="majorHAnsi" w:cstheme="majorHAnsi"/>
                <w:sz w:val="24"/>
                <w:szCs w:val="24"/>
                <w:vertAlign w:val="superscript"/>
              </w:rPr>
              <w:footnoteReference w:customMarkFollows="1" w:id="5"/>
              <w:t>[</w:t>
            </w:r>
            <w:proofErr w:type="gramEnd"/>
            <w:r w:rsidRPr="00C50BF9">
              <w:rPr>
                <w:rFonts w:asciiTheme="majorHAnsi" w:eastAsia="Calibri" w:hAnsiTheme="majorHAnsi" w:cstheme="majorHAnsi"/>
                <w:sz w:val="24"/>
                <w:szCs w:val="24"/>
                <w:vertAlign w:val="superscript"/>
              </w:rPr>
              <w:t>1]</w:t>
            </w:r>
          </w:p>
        </w:tc>
        <w:tc>
          <w:tcPr>
            <w:tcW w:w="1374" w:type="dxa"/>
            <w:hideMark/>
          </w:tcPr>
          <w:p w14:paraId="0A1ACA2E" w14:textId="77777777" w:rsidR="00F5199D" w:rsidRPr="00C50BF9" w:rsidRDefault="00F5199D" w:rsidP="00002986">
            <w:pPr>
              <w:spacing w:before="120"/>
              <w:jc w:val="right"/>
              <w:rPr>
                <w:rFonts w:asciiTheme="majorHAnsi" w:eastAsia="Calibri" w:hAnsiTheme="majorHAnsi" w:cstheme="majorHAnsi"/>
                <w:sz w:val="24"/>
                <w:szCs w:val="24"/>
              </w:rPr>
            </w:pPr>
            <w:r w:rsidRPr="00C50BF9">
              <w:rPr>
                <w:rFonts w:asciiTheme="majorHAnsi" w:eastAsia="Calibri" w:hAnsiTheme="majorHAnsi" w:cstheme="majorHAnsi"/>
                <w:sz w:val="24"/>
                <w:szCs w:val="24"/>
              </w:rPr>
              <w:t>cca 5 %</w:t>
            </w:r>
          </w:p>
        </w:tc>
      </w:tr>
    </w:tbl>
    <w:p w14:paraId="11AB825A" w14:textId="00FBCE13" w:rsidR="00F60580" w:rsidRPr="006B6D61" w:rsidRDefault="00F60580" w:rsidP="00BA4E5A">
      <w:pPr>
        <w:pStyle w:val="KOMnadp5"/>
        <w:rPr>
          <w:rFonts w:eastAsia="Times New Roman"/>
          <w:color w:val="4472C4" w:themeColor="accent5"/>
          <w:lang w:eastAsia="cs-CZ"/>
        </w:rPr>
      </w:pPr>
      <w:r w:rsidRPr="006B6D61">
        <w:rPr>
          <w:rFonts w:eastAsia="Times New Roman"/>
          <w:color w:val="4472C4" w:themeColor="accent5"/>
          <w:lang w:eastAsia="cs-CZ"/>
        </w:rPr>
        <w:t xml:space="preserve">Výdaje </w:t>
      </w:r>
      <w:r w:rsidRPr="006B6D61">
        <w:rPr>
          <w:color w:val="4472C4" w:themeColor="accent5"/>
        </w:rPr>
        <w:t>na</w:t>
      </w:r>
      <w:r w:rsidRPr="006B6D61">
        <w:rPr>
          <w:rFonts w:eastAsia="Times New Roman"/>
          <w:color w:val="4472C4" w:themeColor="accent5"/>
          <w:lang w:eastAsia="cs-CZ"/>
        </w:rPr>
        <w:t xml:space="preserve"> ICT mimo programové financování</w:t>
      </w:r>
      <w:r w:rsidR="006F0813" w:rsidRPr="006B6D61">
        <w:rPr>
          <w:rFonts w:eastAsia="Times New Roman"/>
          <w:color w:val="4472C4" w:themeColor="accent5"/>
          <w:lang w:eastAsia="cs-CZ"/>
        </w:rPr>
        <w:t xml:space="preserve"> </w:t>
      </w:r>
    </w:p>
    <w:p w14:paraId="7BB46CA4" w14:textId="249B9AC6" w:rsidR="00F60580" w:rsidRDefault="00F60580" w:rsidP="003F0A7C">
      <w:pPr>
        <w:pStyle w:val="KOMtext"/>
      </w:pPr>
      <w:r w:rsidRPr="006B6D61">
        <w:t>v roce 202</w:t>
      </w:r>
      <w:r w:rsidR="00FB62A4" w:rsidRPr="006B6D61">
        <w:t>3</w:t>
      </w:r>
      <w:r w:rsidRPr="006B6D61">
        <w:t xml:space="preserve"> byla čerpána celková částka ve výši 1</w:t>
      </w:r>
      <w:r w:rsidR="00FB62A4" w:rsidRPr="006B6D61">
        <w:t>87 189</w:t>
      </w:r>
      <w:r w:rsidRPr="006B6D61">
        <w:t> tis. Kč.</w:t>
      </w:r>
      <w:r w:rsidRPr="006B6D61">
        <w:rPr>
          <w:b/>
        </w:rPr>
        <w:t xml:space="preserve"> </w:t>
      </w:r>
      <w:r w:rsidRPr="006B6D61">
        <w:t>Prostředky byly vynaloženy zejména na:</w:t>
      </w:r>
    </w:p>
    <w:p w14:paraId="270E2274" w14:textId="77777777" w:rsidR="00425A4E" w:rsidRPr="00F75BAC" w:rsidRDefault="00425A4E" w:rsidP="00425A4E">
      <w:pPr>
        <w:pStyle w:val="KOModrky"/>
        <w:spacing w:line="276" w:lineRule="auto"/>
      </w:pPr>
      <w:r w:rsidRPr="006A755F">
        <w:t xml:space="preserve">Poskytování služeb provozu infrastruktury pro informační systémy Ministerstva </w:t>
      </w:r>
      <w:r w:rsidRPr="00F75BAC">
        <w:t>dopravy (59 077 tis. Kč),</w:t>
      </w:r>
    </w:p>
    <w:p w14:paraId="644C7FE0" w14:textId="77777777" w:rsidR="00425A4E" w:rsidRPr="006A755F" w:rsidRDefault="00425A4E" w:rsidP="00425A4E">
      <w:pPr>
        <w:pStyle w:val="KOModrky"/>
        <w:spacing w:line="276" w:lineRule="auto"/>
      </w:pPr>
      <w:r w:rsidRPr="006A755F">
        <w:lastRenderedPageBreak/>
        <w:t xml:space="preserve">Zabezpečení provozu informačního systému pro vedení centrálního registru řidičů </w:t>
      </w:r>
      <w:r w:rsidRPr="00C00CDD">
        <w:t xml:space="preserve">(33 621 tis. </w:t>
      </w:r>
      <w:r w:rsidRPr="006A755F">
        <w:t>Kč),</w:t>
      </w:r>
    </w:p>
    <w:p w14:paraId="65D29601" w14:textId="77777777" w:rsidR="00425A4E" w:rsidRPr="006A755F" w:rsidRDefault="00425A4E" w:rsidP="00425A4E">
      <w:pPr>
        <w:pStyle w:val="KOModrky"/>
        <w:spacing w:line="276" w:lineRule="auto"/>
      </w:pPr>
      <w:r w:rsidRPr="006A755F">
        <w:t xml:space="preserve">Běžné výdaje na zajištění užívání licencí </w:t>
      </w:r>
      <w:r w:rsidRPr="00614BD1">
        <w:t>Microsoft (6 385 tis. Kč),</w:t>
      </w:r>
    </w:p>
    <w:p w14:paraId="5AD19833" w14:textId="4BC02EB1" w:rsidR="00425A4E" w:rsidRDefault="00425A4E" w:rsidP="00425A4E">
      <w:pPr>
        <w:pStyle w:val="KOModrky"/>
        <w:spacing w:line="276" w:lineRule="auto"/>
      </w:pPr>
      <w:r w:rsidRPr="006A755F">
        <w:t xml:space="preserve">Různé služby související s informačními a komunikačními technologiemi </w:t>
      </w:r>
      <w:r w:rsidRPr="006A755F">
        <w:br/>
        <w:t xml:space="preserve">u CENDIS, </w:t>
      </w:r>
      <w:proofErr w:type="spellStart"/>
      <w:r w:rsidRPr="006A755F">
        <w:t>s.p</w:t>
      </w:r>
      <w:proofErr w:type="spellEnd"/>
      <w:r w:rsidRPr="006A755F">
        <w:t xml:space="preserve">. na základě rámcových </w:t>
      </w:r>
      <w:r w:rsidRPr="008F4034">
        <w:t xml:space="preserve">smluv S-186-330/2016 a S-288-330/2019 (50 416 tis. Kč), přičemž z toho na služby konzultací v oblasti </w:t>
      </w:r>
      <w:r w:rsidRPr="006A755F">
        <w:t xml:space="preserve">kybernetické bezpečnosti, strategie a architektury ICT a operativní podpory bezpečnosti provozu ICT </w:t>
      </w:r>
      <w:r>
        <w:t>bylo čerpáno</w:t>
      </w:r>
      <w:r w:rsidRPr="006A755F">
        <w:t xml:space="preserve"> </w:t>
      </w:r>
      <w:r w:rsidRPr="00557F6C">
        <w:t>10</w:t>
      </w:r>
      <w:r>
        <w:t> </w:t>
      </w:r>
      <w:r w:rsidRPr="00557F6C">
        <w:t>960 tis</w:t>
      </w:r>
      <w:r w:rsidRPr="006A755F">
        <w:t>. Kč</w:t>
      </w:r>
      <w:r>
        <w:t>, na d</w:t>
      </w:r>
      <w:r w:rsidRPr="000C55E6">
        <w:t>igitalizac</w:t>
      </w:r>
      <w:r>
        <w:t>i</w:t>
      </w:r>
      <w:r w:rsidRPr="000C55E6">
        <w:t xml:space="preserve"> agend mimo Portál dopravy (Digitální Česko </w:t>
      </w:r>
      <w:r w:rsidR="002435E9">
        <w:br/>
      </w:r>
      <w:r w:rsidRPr="000C55E6">
        <w:t xml:space="preserve">a </w:t>
      </w:r>
      <w:proofErr w:type="spellStart"/>
      <w:r w:rsidRPr="000C55E6">
        <w:t>eGoverment</w:t>
      </w:r>
      <w:proofErr w:type="spellEnd"/>
      <w:r>
        <w:t xml:space="preserve">) bylo čerpáno </w:t>
      </w:r>
      <w:r w:rsidRPr="00005EF6">
        <w:t>9</w:t>
      </w:r>
      <w:r>
        <w:t xml:space="preserve"> </w:t>
      </w:r>
      <w:r w:rsidRPr="00005EF6">
        <w:t>37</w:t>
      </w:r>
      <w:r>
        <w:t xml:space="preserve">2 tis. Kč </w:t>
      </w:r>
      <w:r w:rsidRPr="006A755F">
        <w:t xml:space="preserve">a na </w:t>
      </w:r>
      <w:r w:rsidRPr="004A12C5">
        <w:t xml:space="preserve">projektovou a technickou podporu provozu Národního kontaktního místa a řízení návazných organizačních, technických </w:t>
      </w:r>
      <w:r w:rsidR="002435E9">
        <w:br/>
      </w:r>
      <w:r w:rsidRPr="004A12C5">
        <w:t xml:space="preserve">a projektových </w:t>
      </w:r>
      <w:r w:rsidRPr="002959D1">
        <w:t>operací 4 555 tis. Kč</w:t>
      </w:r>
      <w:r w:rsidRPr="004A12C5">
        <w:t>).</w:t>
      </w:r>
    </w:p>
    <w:p w14:paraId="73AE326B" w14:textId="77777777" w:rsidR="00A32C63" w:rsidRPr="006B6D61" w:rsidRDefault="00A32C63" w:rsidP="006B6D61">
      <w:pPr>
        <w:pStyle w:val="KOMnadp5"/>
        <w:numPr>
          <w:ilvl w:val="0"/>
          <w:numId w:val="0"/>
        </w:numPr>
        <w:ind w:left="567"/>
        <w:rPr>
          <w:rFonts w:eastAsia="Times New Roman"/>
          <w:color w:val="auto"/>
          <w:lang w:eastAsia="cs-CZ"/>
        </w:rPr>
      </w:pPr>
      <w:r w:rsidRPr="006B6D61">
        <w:rPr>
          <w:rFonts w:eastAsia="Times New Roman"/>
          <w:color w:val="auto"/>
          <w:lang w:eastAsia="cs-CZ"/>
        </w:rPr>
        <w:t xml:space="preserve">Programové </w:t>
      </w:r>
      <w:proofErr w:type="gramStart"/>
      <w:r w:rsidRPr="006B6D61">
        <w:rPr>
          <w:rFonts w:eastAsia="Times New Roman"/>
          <w:color w:val="auto"/>
          <w:lang w:eastAsia="cs-CZ"/>
        </w:rPr>
        <w:t xml:space="preserve">financování </w:t>
      </w:r>
      <w:r w:rsidR="00FE3DD1" w:rsidRPr="006B6D61">
        <w:rPr>
          <w:rFonts w:eastAsia="Times New Roman"/>
          <w:color w:val="auto"/>
          <w:lang w:eastAsia="cs-CZ"/>
        </w:rPr>
        <w:t>- běžné</w:t>
      </w:r>
      <w:proofErr w:type="gramEnd"/>
      <w:r w:rsidR="00FE3DD1" w:rsidRPr="006B6D61">
        <w:rPr>
          <w:rFonts w:eastAsia="Times New Roman"/>
          <w:color w:val="auto"/>
          <w:lang w:eastAsia="cs-CZ"/>
        </w:rPr>
        <w:t xml:space="preserve"> výdaje</w:t>
      </w:r>
    </w:p>
    <w:p w14:paraId="70129E1B" w14:textId="50CBD194" w:rsidR="00A32C63" w:rsidRPr="006B6D61" w:rsidRDefault="00335A9D" w:rsidP="003F0A7C">
      <w:pPr>
        <w:pStyle w:val="KOMtext"/>
      </w:pPr>
      <w:r w:rsidRPr="006B6D61">
        <w:t>V</w:t>
      </w:r>
      <w:r w:rsidR="00A32C63" w:rsidRPr="006B6D61">
        <w:t> roce 202</w:t>
      </w:r>
      <w:r w:rsidRPr="006B6D61">
        <w:t>3</w:t>
      </w:r>
      <w:r w:rsidR="00A32C63" w:rsidRPr="006B6D61">
        <w:t xml:space="preserve"> byla použita celková částka ve výši</w:t>
      </w:r>
      <w:r w:rsidR="006F0813" w:rsidRPr="006B6D61">
        <w:t xml:space="preserve"> </w:t>
      </w:r>
      <w:r w:rsidR="00A32C63" w:rsidRPr="006B6D61">
        <w:t>1</w:t>
      </w:r>
      <w:r w:rsidR="004C2642" w:rsidRPr="006B6D61">
        <w:t>53 308</w:t>
      </w:r>
      <w:r w:rsidR="00A32C63" w:rsidRPr="006B6D61">
        <w:t xml:space="preserve"> tis. Kč. Prostředky byly vynaloženy zejména na:</w:t>
      </w:r>
    </w:p>
    <w:p w14:paraId="1548699F" w14:textId="36340384" w:rsidR="00A32C63" w:rsidRPr="006B6D61" w:rsidRDefault="00A32C63">
      <w:pPr>
        <w:pStyle w:val="KOModrky"/>
      </w:pPr>
      <w:r w:rsidRPr="006B6D61">
        <w:t>Výroba a personalizace karet Digitálního tachografu České republiky (</w:t>
      </w:r>
      <w:r w:rsidR="00607E32" w:rsidRPr="006B6D61">
        <w:t>51 668</w:t>
      </w:r>
      <w:r w:rsidRPr="006B6D61">
        <w:t xml:space="preserve"> tis. Kč)</w:t>
      </w:r>
      <w:r w:rsidR="002C645D" w:rsidRPr="006B6D61">
        <w:t>,</w:t>
      </w:r>
    </w:p>
    <w:p w14:paraId="1608BD53" w14:textId="0477B640" w:rsidR="00A32C63" w:rsidRPr="006B6D61" w:rsidRDefault="00A32C63">
      <w:pPr>
        <w:pStyle w:val="KOModrky"/>
      </w:pPr>
      <w:r w:rsidRPr="006B6D61">
        <w:t xml:space="preserve">Informační systém národního tarifu (24 </w:t>
      </w:r>
      <w:r w:rsidR="00441122" w:rsidRPr="006B6D61">
        <w:t>404</w:t>
      </w:r>
      <w:r w:rsidRPr="006B6D61">
        <w:t xml:space="preserve"> tis. Kč)</w:t>
      </w:r>
      <w:r w:rsidR="002C645D" w:rsidRPr="006B6D61">
        <w:t>,</w:t>
      </w:r>
    </w:p>
    <w:p w14:paraId="6853D458" w14:textId="6C5D72FA" w:rsidR="00A32C63" w:rsidRPr="006B6D61" w:rsidRDefault="00A32C63">
      <w:pPr>
        <w:pStyle w:val="KOModrky"/>
      </w:pPr>
      <w:r w:rsidRPr="006B6D61">
        <w:t>Zajištění provozu Registru silničních vozidel (</w:t>
      </w:r>
      <w:r w:rsidR="00895FB1" w:rsidRPr="006B6D61">
        <w:t>22 107</w:t>
      </w:r>
      <w:r w:rsidRPr="006B6D61">
        <w:t xml:space="preserve"> tis. Kč)</w:t>
      </w:r>
      <w:r w:rsidR="002C645D" w:rsidRPr="006B6D61">
        <w:t>,</w:t>
      </w:r>
    </w:p>
    <w:p w14:paraId="730620D6" w14:textId="5810C8BF" w:rsidR="00A32C63" w:rsidRPr="006B6D61" w:rsidRDefault="00A32C63">
      <w:pPr>
        <w:pStyle w:val="KOModrky"/>
      </w:pPr>
      <w:r w:rsidRPr="006B6D61">
        <w:t>Zajištění provozu Informačního systému technických prohlídek (14 5</w:t>
      </w:r>
      <w:r w:rsidR="00895FB1" w:rsidRPr="006B6D61">
        <w:t>20</w:t>
      </w:r>
      <w:r w:rsidRPr="006B6D61">
        <w:t xml:space="preserve"> tis. Kč)</w:t>
      </w:r>
      <w:r w:rsidR="002C645D" w:rsidRPr="006B6D61">
        <w:t>,</w:t>
      </w:r>
    </w:p>
    <w:p w14:paraId="4D26AF06" w14:textId="16F21ED5" w:rsidR="00A32C63" w:rsidRPr="006B6D61" w:rsidRDefault="00A32C63">
      <w:pPr>
        <w:pStyle w:val="KOModrky"/>
      </w:pPr>
      <w:r w:rsidRPr="006B6D61">
        <w:t>Zajištění služeb provozu, podpory ekonomického systému IFS</w:t>
      </w:r>
      <w:r w:rsidR="002C645D" w:rsidRPr="006B6D61">
        <w:t xml:space="preserve"> </w:t>
      </w:r>
      <w:r w:rsidRPr="006B6D61">
        <w:t>9 (6 9</w:t>
      </w:r>
      <w:r w:rsidR="00C841F8" w:rsidRPr="006B6D61">
        <w:t>7</w:t>
      </w:r>
      <w:r w:rsidRPr="006B6D61">
        <w:t>8 tis. Kč)</w:t>
      </w:r>
      <w:r w:rsidR="002C645D" w:rsidRPr="006B6D61">
        <w:t>,</w:t>
      </w:r>
    </w:p>
    <w:p w14:paraId="134323E1" w14:textId="6A8FA24A" w:rsidR="00A32C63" w:rsidRDefault="00A32C63">
      <w:pPr>
        <w:pStyle w:val="KOModrky"/>
      </w:pPr>
      <w:r w:rsidRPr="006B6D61">
        <w:t xml:space="preserve">Provozní část k projektu </w:t>
      </w:r>
      <w:r w:rsidR="00E22DD8" w:rsidRPr="006B6D61">
        <w:t>Portál doprava</w:t>
      </w:r>
      <w:r w:rsidRPr="006B6D61">
        <w:t xml:space="preserve"> (</w:t>
      </w:r>
      <w:r w:rsidR="000C0613" w:rsidRPr="006B6D61">
        <w:t>26 144</w:t>
      </w:r>
      <w:r w:rsidRPr="006B6D61">
        <w:t xml:space="preserve"> tis. Kč)</w:t>
      </w:r>
      <w:r w:rsidR="00DC6400">
        <w:t>,</w:t>
      </w:r>
    </w:p>
    <w:p w14:paraId="34DF43EA" w14:textId="2F0779B7" w:rsidR="00212851" w:rsidRPr="006B6D61" w:rsidRDefault="00212851">
      <w:pPr>
        <w:pStyle w:val="KOModrky"/>
      </w:pPr>
      <w:r w:rsidRPr="00212851">
        <w:t>Pořízení aplikace foto a poskytování služby zajištění pořízení digitalizované fotografie a digitalizovaného podpisu na pracovištích ORP</w:t>
      </w:r>
      <w:r>
        <w:t xml:space="preserve"> (</w:t>
      </w:r>
      <w:r w:rsidR="00DC6400">
        <w:t>2 619 tis. Kč)</w:t>
      </w:r>
      <w:r w:rsidR="00F64A68">
        <w:t>.</w:t>
      </w:r>
    </w:p>
    <w:p w14:paraId="7B69B751" w14:textId="4E2EB473" w:rsidR="004F5E4F" w:rsidRPr="0077128B" w:rsidRDefault="004F5E4F" w:rsidP="00E20BD6">
      <w:pPr>
        <w:pStyle w:val="KOMnadp3"/>
      </w:pPr>
      <w:bookmarkStart w:id="732" w:name="_Toc128660443"/>
      <w:bookmarkStart w:id="733" w:name="_Toc128660741"/>
      <w:bookmarkStart w:id="734" w:name="_Toc128660958"/>
      <w:bookmarkStart w:id="735" w:name="_Toc128661173"/>
      <w:bookmarkStart w:id="736" w:name="_Toc128661388"/>
      <w:bookmarkStart w:id="737" w:name="_Toc128666846"/>
      <w:bookmarkStart w:id="738" w:name="_Toc128667078"/>
      <w:bookmarkStart w:id="739" w:name="_Toc128670348"/>
      <w:bookmarkStart w:id="740" w:name="_Toc128397702"/>
      <w:bookmarkStart w:id="741" w:name="_Toc128397835"/>
      <w:bookmarkStart w:id="742" w:name="_Toc128398056"/>
      <w:bookmarkStart w:id="743" w:name="_Toc128398399"/>
      <w:bookmarkStart w:id="744" w:name="_Toc128398525"/>
      <w:bookmarkStart w:id="745" w:name="_Toc128398739"/>
      <w:bookmarkStart w:id="746" w:name="_Toc128400055"/>
      <w:bookmarkStart w:id="747" w:name="_Toc128401295"/>
      <w:bookmarkStart w:id="748" w:name="_Toc128401423"/>
      <w:bookmarkStart w:id="749" w:name="_Toc128401910"/>
      <w:bookmarkStart w:id="750" w:name="_Toc128397703"/>
      <w:bookmarkStart w:id="751" w:name="_Toc128397836"/>
      <w:bookmarkStart w:id="752" w:name="_Toc128398057"/>
      <w:bookmarkStart w:id="753" w:name="_Toc128398400"/>
      <w:bookmarkStart w:id="754" w:name="_Toc128398526"/>
      <w:bookmarkStart w:id="755" w:name="_Toc128398740"/>
      <w:bookmarkStart w:id="756" w:name="_Toc128400056"/>
      <w:bookmarkStart w:id="757" w:name="_Toc128401296"/>
      <w:bookmarkStart w:id="758" w:name="_Toc128401424"/>
      <w:bookmarkStart w:id="759" w:name="_Toc128401911"/>
      <w:bookmarkStart w:id="760" w:name="_Toc128400057"/>
      <w:bookmarkStart w:id="761" w:name="_Toc162269264"/>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r w:rsidRPr="0077128B">
        <w:t>Úřad pro civilní letectví</w:t>
      </w:r>
      <w:bookmarkEnd w:id="760"/>
      <w:bookmarkEnd w:id="761"/>
    </w:p>
    <w:p w14:paraId="6E8C853E" w14:textId="3C7F4EAB" w:rsidR="004D0E6D" w:rsidRPr="008B441A" w:rsidRDefault="004D0E6D" w:rsidP="004D0E6D">
      <w:pPr>
        <w:pStyle w:val="KOMtext"/>
      </w:pPr>
      <w:r w:rsidRPr="008B441A">
        <w:t xml:space="preserve">Úřad pro civilní letectví byl zřízen zákonem č. 49/1997 Sb., o civilním letectví, ve znění pozdějších předpisů, jako správní úřad pro výkon státní správy ve věcech civilního letectví a je podřízen Ministerstvu dopravy. Mezi hlavní oblasti činnosti patří zejména vedení leteckého rejstříku (evidence letadel), schvalování typů letadel a jejich součástí, schvalování letové způsobilosti letadel, vydávání osvědčení a ověřování letové způsobilosti, schvalování nebo uznávání způsobilosti výrobků letecké techniky, vedení evidence leteckého personálu </w:t>
      </w:r>
      <w:r w:rsidR="000A4D65">
        <w:br/>
      </w:r>
      <w:r w:rsidRPr="008B441A">
        <w:t>a vydávání průkazů způsobilosti leteckého personálu, vydávání povolení k provozování letiště, výkon funkce speciálního stavebního úřadu pro letecké stavby a vydávání osvědčení leteckého dopravce.</w:t>
      </w:r>
    </w:p>
    <w:tbl>
      <w:tblPr>
        <w:tblW w:w="9062" w:type="dxa"/>
        <w:tblInd w:w="75" w:type="dxa"/>
        <w:tblLayout w:type="fixed"/>
        <w:tblLook w:val="06A0" w:firstRow="1" w:lastRow="0" w:firstColumn="1" w:lastColumn="0" w:noHBand="1" w:noVBand="1"/>
      </w:tblPr>
      <w:tblGrid>
        <w:gridCol w:w="2829"/>
        <w:gridCol w:w="1100"/>
        <w:gridCol w:w="1100"/>
        <w:gridCol w:w="1100"/>
        <w:gridCol w:w="1100"/>
        <w:gridCol w:w="1100"/>
        <w:gridCol w:w="733"/>
      </w:tblGrid>
      <w:tr w:rsidR="00662C97" w:rsidRPr="00887BB1" w14:paraId="10A45287" w14:textId="77777777" w:rsidTr="007F4A51">
        <w:trPr>
          <w:trHeight w:val="364"/>
        </w:trPr>
        <w:tc>
          <w:tcPr>
            <w:tcW w:w="9062" w:type="dxa"/>
            <w:gridSpan w:val="7"/>
            <w:tcBorders>
              <w:bottom w:val="nil"/>
            </w:tcBorders>
            <w:shd w:val="clear" w:color="auto" w:fill="auto"/>
            <w:tcMar>
              <w:left w:w="70" w:type="dxa"/>
              <w:right w:w="70" w:type="dxa"/>
            </w:tcMar>
            <w:vAlign w:val="center"/>
          </w:tcPr>
          <w:p w14:paraId="29DFFAC6" w14:textId="77777777" w:rsidR="00662C97" w:rsidRPr="00DC2CB8" w:rsidRDefault="00662C97" w:rsidP="006B6D61">
            <w:pPr>
              <w:spacing w:after="0" w:line="257" w:lineRule="auto"/>
              <w:jc w:val="right"/>
              <w:rPr>
                <w:rFonts w:ascii="Calibri" w:eastAsia="Calibri" w:hAnsi="Calibri" w:cs="Calibri"/>
                <w:bCs/>
                <w:sz w:val="20"/>
                <w:szCs w:val="20"/>
              </w:rPr>
            </w:pPr>
            <w:r w:rsidRPr="00DC2CB8">
              <w:rPr>
                <w:rFonts w:ascii="Calibri" w:eastAsia="Calibri" w:hAnsi="Calibri" w:cs="Calibri"/>
                <w:bCs/>
                <w:sz w:val="20"/>
                <w:szCs w:val="20"/>
              </w:rPr>
              <w:t>v tis. Kč</w:t>
            </w:r>
          </w:p>
        </w:tc>
      </w:tr>
      <w:tr w:rsidR="00662C97" w:rsidRPr="00D45EEF" w14:paraId="0A973E98" w14:textId="77777777" w:rsidTr="007F4A51">
        <w:trPr>
          <w:trHeight w:val="364"/>
        </w:trPr>
        <w:tc>
          <w:tcPr>
            <w:tcW w:w="2829" w:type="dxa"/>
            <w:vMerge w:val="restart"/>
            <w:tcBorders>
              <w:top w:val="single" w:sz="8" w:space="0" w:color="auto"/>
              <w:left w:val="single" w:sz="8" w:space="0" w:color="auto"/>
              <w:bottom w:val="nil"/>
              <w:right w:val="single" w:sz="8" w:space="0" w:color="auto"/>
            </w:tcBorders>
            <w:shd w:val="clear" w:color="auto" w:fill="DFDFDF"/>
            <w:tcMar>
              <w:left w:w="70" w:type="dxa"/>
              <w:right w:w="70" w:type="dxa"/>
            </w:tcMar>
            <w:vAlign w:val="center"/>
          </w:tcPr>
          <w:p w14:paraId="0AFEBB4B"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t>Ukazatel</w:t>
            </w:r>
          </w:p>
        </w:tc>
        <w:tc>
          <w:tcPr>
            <w:tcW w:w="1100" w:type="dxa"/>
            <w:vMerge w:val="restart"/>
            <w:tcBorders>
              <w:top w:val="single" w:sz="8" w:space="0" w:color="auto"/>
              <w:left w:val="single" w:sz="8" w:space="0" w:color="auto"/>
              <w:bottom w:val="nil"/>
              <w:right w:val="single" w:sz="8" w:space="0" w:color="auto"/>
            </w:tcBorders>
            <w:shd w:val="clear" w:color="auto" w:fill="DFDFDF"/>
            <w:tcMar>
              <w:left w:w="70" w:type="dxa"/>
              <w:right w:w="70" w:type="dxa"/>
            </w:tcMar>
            <w:vAlign w:val="center"/>
          </w:tcPr>
          <w:p w14:paraId="6963F333"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t>Skutečnost</w:t>
            </w:r>
          </w:p>
          <w:p w14:paraId="3A75EC41"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lastRenderedPageBreak/>
              <w:t>202</w:t>
            </w:r>
            <w:r w:rsidRPr="000F6ACC">
              <w:rPr>
                <w:rFonts w:ascii="Calibri" w:eastAsia="Calibri" w:hAnsi="Calibri" w:cs="Calibri"/>
                <w:b/>
                <w:bCs/>
                <w:sz w:val="20"/>
                <w:szCs w:val="20"/>
              </w:rPr>
              <w:t>2</w:t>
            </w:r>
          </w:p>
        </w:tc>
        <w:tc>
          <w:tcPr>
            <w:tcW w:w="3300" w:type="dxa"/>
            <w:gridSpan w:val="3"/>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58F555B3"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lastRenderedPageBreak/>
              <w:t>Rozpočet 202</w:t>
            </w:r>
            <w:r>
              <w:rPr>
                <w:rFonts w:ascii="Calibri" w:eastAsia="Calibri" w:hAnsi="Calibri" w:cs="Calibri"/>
                <w:b/>
                <w:bCs/>
                <w:sz w:val="20"/>
                <w:szCs w:val="20"/>
              </w:rPr>
              <w:t>3</w:t>
            </w:r>
          </w:p>
        </w:tc>
        <w:tc>
          <w:tcPr>
            <w:tcW w:w="1100" w:type="dxa"/>
            <w:vMerge w:val="restart"/>
            <w:tcBorders>
              <w:top w:val="single" w:sz="8" w:space="0" w:color="auto"/>
              <w:left w:val="nil"/>
              <w:bottom w:val="nil"/>
              <w:right w:val="single" w:sz="8" w:space="0" w:color="auto"/>
            </w:tcBorders>
            <w:shd w:val="clear" w:color="auto" w:fill="DFDFDF"/>
            <w:tcMar>
              <w:left w:w="70" w:type="dxa"/>
              <w:right w:w="70" w:type="dxa"/>
            </w:tcMar>
            <w:vAlign w:val="center"/>
          </w:tcPr>
          <w:p w14:paraId="56E596EE"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t>Skutečnost</w:t>
            </w:r>
          </w:p>
          <w:p w14:paraId="40DC1FAC"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lastRenderedPageBreak/>
              <w:t>2023</w:t>
            </w:r>
          </w:p>
        </w:tc>
        <w:tc>
          <w:tcPr>
            <w:tcW w:w="733" w:type="dxa"/>
            <w:vMerge w:val="restart"/>
            <w:tcBorders>
              <w:top w:val="single" w:sz="8" w:space="0" w:color="auto"/>
              <w:left w:val="single" w:sz="8" w:space="0" w:color="auto"/>
              <w:bottom w:val="nil"/>
              <w:right w:val="single" w:sz="8" w:space="0" w:color="auto"/>
            </w:tcBorders>
            <w:shd w:val="clear" w:color="auto" w:fill="DFDFDF"/>
            <w:tcMar>
              <w:left w:w="70" w:type="dxa"/>
              <w:right w:w="70" w:type="dxa"/>
            </w:tcMar>
            <w:vAlign w:val="center"/>
          </w:tcPr>
          <w:p w14:paraId="57B7E2F3"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lastRenderedPageBreak/>
              <w:t>Index</w:t>
            </w:r>
          </w:p>
          <w:p w14:paraId="448A5979"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lastRenderedPageBreak/>
              <w:t>(v %)</w:t>
            </w:r>
          </w:p>
        </w:tc>
      </w:tr>
      <w:tr w:rsidR="00662C97" w:rsidRPr="00D45EEF" w14:paraId="74BF6B37" w14:textId="77777777" w:rsidTr="007F4A51">
        <w:trPr>
          <w:trHeight w:val="481"/>
        </w:trPr>
        <w:tc>
          <w:tcPr>
            <w:tcW w:w="2829" w:type="dxa"/>
            <w:vMerge/>
            <w:tcBorders>
              <w:left w:val="single" w:sz="0" w:space="0" w:color="auto"/>
              <w:right w:val="single" w:sz="0" w:space="0" w:color="auto"/>
            </w:tcBorders>
            <w:vAlign w:val="center"/>
          </w:tcPr>
          <w:p w14:paraId="6748F335" w14:textId="77777777" w:rsidR="00662C97" w:rsidRPr="000F6ACC" w:rsidRDefault="00662C97" w:rsidP="007F4A51">
            <w:pPr>
              <w:spacing w:after="0"/>
            </w:pPr>
          </w:p>
        </w:tc>
        <w:tc>
          <w:tcPr>
            <w:tcW w:w="1100" w:type="dxa"/>
            <w:vMerge/>
            <w:tcBorders>
              <w:left w:val="single" w:sz="0" w:space="0" w:color="auto"/>
              <w:right w:val="single" w:sz="0" w:space="0" w:color="auto"/>
            </w:tcBorders>
            <w:vAlign w:val="center"/>
          </w:tcPr>
          <w:p w14:paraId="74A7159D" w14:textId="77777777" w:rsidR="00662C97" w:rsidRPr="000F6ACC" w:rsidRDefault="00662C97" w:rsidP="007F4A51">
            <w:pPr>
              <w:spacing w:after="0"/>
            </w:pPr>
          </w:p>
        </w:tc>
        <w:tc>
          <w:tcPr>
            <w:tcW w:w="1100" w:type="dxa"/>
            <w:tcBorders>
              <w:top w:val="single" w:sz="8" w:space="0" w:color="auto"/>
              <w:left w:val="nil"/>
              <w:bottom w:val="single" w:sz="8" w:space="0" w:color="auto"/>
              <w:right w:val="single" w:sz="8" w:space="0" w:color="auto"/>
            </w:tcBorders>
            <w:shd w:val="clear" w:color="auto" w:fill="DFDFDF"/>
            <w:tcMar>
              <w:left w:w="70" w:type="dxa"/>
              <w:right w:w="70" w:type="dxa"/>
            </w:tcMar>
            <w:vAlign w:val="center"/>
          </w:tcPr>
          <w:p w14:paraId="48F50E50"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t>schválený</w:t>
            </w:r>
          </w:p>
        </w:tc>
        <w:tc>
          <w:tcPr>
            <w:tcW w:w="1100" w:type="dxa"/>
            <w:tcBorders>
              <w:top w:val="nil"/>
              <w:left w:val="single" w:sz="8" w:space="0" w:color="auto"/>
              <w:bottom w:val="single" w:sz="8" w:space="0" w:color="auto"/>
              <w:right w:val="single" w:sz="8" w:space="0" w:color="auto"/>
            </w:tcBorders>
            <w:shd w:val="clear" w:color="auto" w:fill="DFDFDF"/>
            <w:tcMar>
              <w:left w:w="70" w:type="dxa"/>
              <w:right w:w="70" w:type="dxa"/>
            </w:tcMar>
            <w:vAlign w:val="center"/>
          </w:tcPr>
          <w:p w14:paraId="7C32EAA6"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t>upravený</w:t>
            </w:r>
          </w:p>
        </w:tc>
        <w:tc>
          <w:tcPr>
            <w:tcW w:w="1100" w:type="dxa"/>
            <w:tcBorders>
              <w:top w:val="nil"/>
              <w:left w:val="single" w:sz="8" w:space="0" w:color="auto"/>
              <w:bottom w:val="single" w:sz="8" w:space="0" w:color="auto"/>
              <w:right w:val="single" w:sz="8" w:space="0" w:color="auto"/>
            </w:tcBorders>
            <w:shd w:val="clear" w:color="auto" w:fill="DFDFDF"/>
            <w:tcMar>
              <w:left w:w="70" w:type="dxa"/>
              <w:right w:w="70" w:type="dxa"/>
            </w:tcMar>
            <w:vAlign w:val="center"/>
          </w:tcPr>
          <w:p w14:paraId="4860EF78" w14:textId="77777777" w:rsidR="00662C97" w:rsidRPr="00DC2CB8" w:rsidRDefault="00662C97" w:rsidP="007F4A51">
            <w:pPr>
              <w:spacing w:after="0" w:line="257" w:lineRule="auto"/>
              <w:jc w:val="center"/>
              <w:rPr>
                <w:rFonts w:ascii="Calibri" w:eastAsia="Calibri" w:hAnsi="Calibri" w:cs="Calibri"/>
                <w:b/>
                <w:bCs/>
                <w:sz w:val="20"/>
                <w:szCs w:val="20"/>
              </w:rPr>
            </w:pPr>
            <w:r w:rsidRPr="00DC2CB8">
              <w:rPr>
                <w:rFonts w:ascii="Calibri" w:eastAsia="Calibri" w:hAnsi="Calibri" w:cs="Calibri"/>
                <w:b/>
                <w:bCs/>
                <w:sz w:val="20"/>
                <w:szCs w:val="20"/>
              </w:rPr>
              <w:t>konečný</w:t>
            </w:r>
          </w:p>
        </w:tc>
        <w:tc>
          <w:tcPr>
            <w:tcW w:w="1100" w:type="dxa"/>
            <w:vMerge/>
            <w:tcBorders>
              <w:left w:val="nil"/>
              <w:right w:val="single" w:sz="0" w:space="0" w:color="auto"/>
            </w:tcBorders>
            <w:vAlign w:val="center"/>
          </w:tcPr>
          <w:p w14:paraId="49CFB086" w14:textId="77777777" w:rsidR="00662C97" w:rsidRPr="000F6ACC" w:rsidRDefault="00662C97" w:rsidP="007F4A51"/>
        </w:tc>
        <w:tc>
          <w:tcPr>
            <w:tcW w:w="733" w:type="dxa"/>
            <w:vMerge/>
            <w:tcBorders>
              <w:left w:val="single" w:sz="0" w:space="0" w:color="auto"/>
              <w:right w:val="single" w:sz="0" w:space="0" w:color="auto"/>
            </w:tcBorders>
            <w:vAlign w:val="center"/>
          </w:tcPr>
          <w:p w14:paraId="3FB3EE07" w14:textId="77777777" w:rsidR="00662C97" w:rsidRPr="000F6ACC" w:rsidRDefault="00662C97" w:rsidP="007F4A51"/>
        </w:tc>
      </w:tr>
      <w:tr w:rsidR="00662C97" w:rsidRPr="00D45EEF" w14:paraId="5AEEF6D3" w14:textId="77777777" w:rsidTr="007F4A51">
        <w:trPr>
          <w:trHeight w:val="105"/>
        </w:trPr>
        <w:tc>
          <w:tcPr>
            <w:tcW w:w="2829"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6E8113AA"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a</w:t>
            </w:r>
          </w:p>
        </w:tc>
        <w:tc>
          <w:tcPr>
            <w:tcW w:w="110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68DC562B"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1</w:t>
            </w:r>
          </w:p>
        </w:tc>
        <w:tc>
          <w:tcPr>
            <w:tcW w:w="110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67E2A1BC"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2</w:t>
            </w:r>
          </w:p>
        </w:tc>
        <w:tc>
          <w:tcPr>
            <w:tcW w:w="110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7C639BA2"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3</w:t>
            </w:r>
          </w:p>
        </w:tc>
        <w:tc>
          <w:tcPr>
            <w:tcW w:w="110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14569D1A"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4</w:t>
            </w:r>
          </w:p>
        </w:tc>
        <w:tc>
          <w:tcPr>
            <w:tcW w:w="110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59D59CAD"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5</w:t>
            </w:r>
          </w:p>
        </w:tc>
        <w:tc>
          <w:tcPr>
            <w:tcW w:w="733"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72E87575" w14:textId="77777777" w:rsidR="00662C97" w:rsidRPr="000F6ACC" w:rsidRDefault="00662C97" w:rsidP="007F4A51">
            <w:pPr>
              <w:spacing w:after="0" w:line="257" w:lineRule="auto"/>
              <w:jc w:val="center"/>
              <w:rPr>
                <w:rFonts w:ascii="Calibri" w:eastAsia="Calibri" w:hAnsi="Calibri" w:cs="Calibri"/>
                <w:sz w:val="20"/>
                <w:szCs w:val="20"/>
              </w:rPr>
            </w:pPr>
            <w:r w:rsidRPr="000F6ACC">
              <w:rPr>
                <w:rFonts w:ascii="Calibri" w:eastAsia="Calibri" w:hAnsi="Calibri" w:cs="Calibri"/>
                <w:sz w:val="20"/>
                <w:szCs w:val="20"/>
              </w:rPr>
              <w:t>5/1</w:t>
            </w:r>
          </w:p>
        </w:tc>
      </w:tr>
      <w:tr w:rsidR="00662C97" w:rsidRPr="003D5C79" w14:paraId="6FBBE67E" w14:textId="77777777" w:rsidTr="007F4A51">
        <w:trPr>
          <w:trHeight w:val="390"/>
        </w:trPr>
        <w:tc>
          <w:tcPr>
            <w:tcW w:w="2829"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1C7FD718" w14:textId="77777777" w:rsidR="00662C97" w:rsidRPr="00DC2CB8" w:rsidRDefault="00662C97" w:rsidP="007F4A51">
            <w:pPr>
              <w:spacing w:after="0" w:line="257" w:lineRule="auto"/>
              <w:rPr>
                <w:rFonts w:ascii="Calibri" w:eastAsia="Calibri" w:hAnsi="Calibri" w:cs="Calibri"/>
                <w:sz w:val="20"/>
                <w:szCs w:val="20"/>
              </w:rPr>
            </w:pPr>
            <w:r w:rsidRPr="00DC2CB8">
              <w:rPr>
                <w:rFonts w:ascii="Calibri" w:eastAsia="Calibri" w:hAnsi="Calibri" w:cs="Calibri"/>
                <w:b/>
                <w:bCs/>
                <w:sz w:val="20"/>
                <w:szCs w:val="20"/>
              </w:rPr>
              <w:t xml:space="preserve">Výdaje celkem </w:t>
            </w:r>
            <w:r w:rsidRPr="00DC2CB8">
              <w:rPr>
                <w:rFonts w:ascii="Calibri" w:eastAsia="Calibri" w:hAnsi="Calibri" w:cs="Calibri"/>
                <w:sz w:val="20"/>
                <w:szCs w:val="20"/>
              </w:rPr>
              <w:t>(v tom:)</w:t>
            </w:r>
          </w:p>
        </w:tc>
        <w:tc>
          <w:tcPr>
            <w:tcW w:w="1100"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6F6B7068" w14:textId="77777777" w:rsidR="00662C97" w:rsidRPr="00DC2CB8" w:rsidRDefault="00662C97" w:rsidP="007F4A51">
            <w:pPr>
              <w:spacing w:after="0" w:line="257" w:lineRule="auto"/>
              <w:jc w:val="right"/>
              <w:rPr>
                <w:rFonts w:ascii="Calibri" w:eastAsia="Calibri" w:hAnsi="Calibri" w:cs="Calibri"/>
                <w:b/>
                <w:bCs/>
                <w:sz w:val="20"/>
                <w:szCs w:val="20"/>
              </w:rPr>
            </w:pPr>
            <w:r w:rsidRPr="00FF6D64">
              <w:rPr>
                <w:rFonts w:ascii="Calibri" w:eastAsia="Calibri" w:hAnsi="Calibri" w:cs="Calibri"/>
                <w:b/>
                <w:bCs/>
                <w:sz w:val="20"/>
                <w:szCs w:val="20"/>
              </w:rPr>
              <w:t>212 476</w:t>
            </w:r>
          </w:p>
        </w:tc>
        <w:tc>
          <w:tcPr>
            <w:tcW w:w="1100"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07C44AEF" w14:textId="574FA2F4" w:rsidR="00662C97" w:rsidRPr="00DC2CB8" w:rsidRDefault="006344BE"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 xml:space="preserve">203 </w:t>
            </w:r>
            <w:r w:rsidR="00C84899">
              <w:rPr>
                <w:rFonts w:ascii="Calibri" w:eastAsia="Calibri" w:hAnsi="Calibri" w:cs="Calibri"/>
                <w:b/>
                <w:bCs/>
                <w:sz w:val="20"/>
                <w:szCs w:val="20"/>
              </w:rPr>
              <w:t>395</w:t>
            </w:r>
          </w:p>
        </w:tc>
        <w:tc>
          <w:tcPr>
            <w:tcW w:w="1100"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107B5DC3" w14:textId="309B54CB" w:rsidR="00662C97" w:rsidRPr="00DC2CB8" w:rsidRDefault="006356BF"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203 395</w:t>
            </w:r>
          </w:p>
        </w:tc>
        <w:tc>
          <w:tcPr>
            <w:tcW w:w="1100"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67C8B863" w14:textId="5210B37B" w:rsidR="00662C97" w:rsidRPr="00DC2CB8" w:rsidRDefault="00662C97" w:rsidP="007F4A51">
            <w:pPr>
              <w:spacing w:after="0" w:line="257" w:lineRule="auto"/>
              <w:jc w:val="right"/>
              <w:rPr>
                <w:rFonts w:ascii="Calibri" w:eastAsia="Calibri" w:hAnsi="Calibri" w:cs="Calibri"/>
                <w:b/>
                <w:bCs/>
                <w:sz w:val="20"/>
                <w:szCs w:val="20"/>
              </w:rPr>
            </w:pPr>
            <w:r w:rsidRPr="00DC2CB8">
              <w:rPr>
                <w:rFonts w:ascii="Calibri" w:eastAsia="Calibri" w:hAnsi="Calibri" w:cs="Calibri"/>
                <w:b/>
                <w:bCs/>
                <w:sz w:val="20"/>
                <w:szCs w:val="20"/>
              </w:rPr>
              <w:t>2</w:t>
            </w:r>
            <w:r w:rsidR="00146433">
              <w:rPr>
                <w:rFonts w:ascii="Calibri" w:eastAsia="Calibri" w:hAnsi="Calibri" w:cs="Calibri"/>
                <w:b/>
                <w:bCs/>
                <w:sz w:val="20"/>
                <w:szCs w:val="20"/>
              </w:rPr>
              <w:t>32 229</w:t>
            </w:r>
          </w:p>
        </w:tc>
        <w:tc>
          <w:tcPr>
            <w:tcW w:w="1100"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1A5690CC" w14:textId="65C25750" w:rsidR="00662C97" w:rsidRPr="00DC2CB8" w:rsidRDefault="00105E0F"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209 501</w:t>
            </w:r>
          </w:p>
        </w:tc>
        <w:tc>
          <w:tcPr>
            <w:tcW w:w="733" w:type="dxa"/>
            <w:tcBorders>
              <w:top w:val="single" w:sz="8" w:space="0" w:color="auto"/>
              <w:left w:val="single" w:sz="8" w:space="0" w:color="auto"/>
              <w:bottom w:val="single" w:sz="8" w:space="0" w:color="auto"/>
              <w:right w:val="single" w:sz="8" w:space="0" w:color="auto"/>
            </w:tcBorders>
            <w:shd w:val="clear" w:color="auto" w:fill="DFDFDF"/>
            <w:tcMar>
              <w:left w:w="70" w:type="dxa"/>
              <w:right w:w="70" w:type="dxa"/>
            </w:tcMar>
            <w:vAlign w:val="center"/>
          </w:tcPr>
          <w:p w14:paraId="05FDABFE" w14:textId="6B9C8BE6" w:rsidR="00662C97" w:rsidRPr="00DC2CB8" w:rsidRDefault="000D3BF9"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98,6</w:t>
            </w:r>
          </w:p>
        </w:tc>
      </w:tr>
      <w:tr w:rsidR="00662C97" w:rsidRPr="00D45EEF" w14:paraId="116B4112" w14:textId="77777777" w:rsidTr="007F4A51">
        <w:trPr>
          <w:trHeight w:val="390"/>
        </w:trPr>
        <w:tc>
          <w:tcPr>
            <w:tcW w:w="2829" w:type="dxa"/>
            <w:tcBorders>
              <w:top w:val="single" w:sz="8" w:space="0" w:color="auto"/>
              <w:left w:val="single" w:sz="8" w:space="0" w:color="auto"/>
              <w:bottom w:val="nil"/>
              <w:right w:val="single" w:sz="8" w:space="0" w:color="auto"/>
            </w:tcBorders>
            <w:tcMar>
              <w:left w:w="70" w:type="dxa"/>
              <w:right w:w="70" w:type="dxa"/>
            </w:tcMar>
            <w:vAlign w:val="center"/>
          </w:tcPr>
          <w:p w14:paraId="16866AF5" w14:textId="77777777" w:rsidR="00662C97" w:rsidRPr="00DC2CB8" w:rsidRDefault="00662C97" w:rsidP="007F4A51">
            <w:pPr>
              <w:spacing w:after="0" w:line="257" w:lineRule="auto"/>
              <w:rPr>
                <w:rFonts w:ascii="Calibri" w:eastAsia="Calibri" w:hAnsi="Calibri" w:cs="Calibri"/>
                <w:sz w:val="20"/>
                <w:szCs w:val="20"/>
              </w:rPr>
            </w:pPr>
            <w:r w:rsidRPr="00DC2CB8">
              <w:rPr>
                <w:rFonts w:ascii="Calibri" w:eastAsia="Calibri" w:hAnsi="Calibri" w:cs="Calibri"/>
                <w:b/>
                <w:bCs/>
                <w:sz w:val="20"/>
                <w:szCs w:val="20"/>
              </w:rPr>
              <w:t xml:space="preserve">Běžné výdaje </w:t>
            </w:r>
            <w:r w:rsidRPr="00DC2CB8">
              <w:rPr>
                <w:rFonts w:ascii="Calibri" w:eastAsia="Calibri" w:hAnsi="Calibri" w:cs="Calibri"/>
                <w:sz w:val="20"/>
                <w:szCs w:val="20"/>
              </w:rPr>
              <w:t>(v tom)</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3DC20428" w14:textId="77777777" w:rsidR="00662C97" w:rsidRPr="00DC2CB8" w:rsidRDefault="00662C97" w:rsidP="007F4A51">
            <w:pPr>
              <w:spacing w:after="0" w:line="257" w:lineRule="auto"/>
              <w:jc w:val="right"/>
              <w:rPr>
                <w:rFonts w:ascii="Calibri" w:eastAsia="Calibri" w:hAnsi="Calibri" w:cs="Calibri"/>
                <w:b/>
                <w:bCs/>
                <w:sz w:val="20"/>
                <w:szCs w:val="20"/>
              </w:rPr>
            </w:pPr>
            <w:r w:rsidRPr="00FF6D64">
              <w:rPr>
                <w:rFonts w:ascii="Calibri" w:eastAsia="Calibri" w:hAnsi="Calibri" w:cs="Calibri"/>
                <w:b/>
                <w:bCs/>
                <w:sz w:val="20"/>
                <w:szCs w:val="20"/>
              </w:rPr>
              <w:t>205 171</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5726537D" w14:textId="4B8C0E61" w:rsidR="00662C97" w:rsidRPr="00DC2CB8" w:rsidRDefault="00825FBF"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196 595</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745DBDE5" w14:textId="5710836B" w:rsidR="00662C97" w:rsidRPr="00DC2CB8" w:rsidRDefault="007A6C6A" w:rsidP="007F4A51">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198 89</w:t>
            </w:r>
            <w:r w:rsidR="006C6CC4">
              <w:rPr>
                <w:rFonts w:ascii="Calibri" w:eastAsia="Calibri" w:hAnsi="Calibri" w:cs="Calibri"/>
                <w:b/>
                <w:bCs/>
                <w:sz w:val="20"/>
                <w:szCs w:val="20"/>
              </w:rPr>
              <w:t>5</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4B4AF214" w14:textId="2F8E7418" w:rsidR="00662C97" w:rsidRPr="00DC2CB8" w:rsidRDefault="00B73CE2"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218 250</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1535B4B9" w14:textId="6AB674F8" w:rsidR="00662C97" w:rsidRPr="00DC2CB8" w:rsidRDefault="00376C8B"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200 03</w:t>
            </w:r>
            <w:r w:rsidR="004C5E67">
              <w:rPr>
                <w:rFonts w:ascii="Calibri" w:eastAsia="Calibri" w:hAnsi="Calibri" w:cs="Calibri"/>
                <w:b/>
                <w:bCs/>
                <w:sz w:val="20"/>
                <w:szCs w:val="20"/>
              </w:rPr>
              <w:t>0</w:t>
            </w:r>
          </w:p>
        </w:tc>
        <w:tc>
          <w:tcPr>
            <w:tcW w:w="733" w:type="dxa"/>
            <w:tcBorders>
              <w:top w:val="single" w:sz="8" w:space="0" w:color="auto"/>
              <w:left w:val="single" w:sz="8" w:space="0" w:color="auto"/>
              <w:bottom w:val="nil"/>
              <w:right w:val="single" w:sz="8" w:space="0" w:color="auto"/>
            </w:tcBorders>
            <w:tcMar>
              <w:left w:w="70" w:type="dxa"/>
              <w:right w:w="70" w:type="dxa"/>
            </w:tcMar>
            <w:vAlign w:val="center"/>
          </w:tcPr>
          <w:p w14:paraId="4862CD50" w14:textId="74B24CF2" w:rsidR="00662C97" w:rsidRPr="00DC2CB8" w:rsidRDefault="00B56793" w:rsidP="007F4A51">
            <w:pPr>
              <w:spacing w:after="0" w:line="257" w:lineRule="auto"/>
              <w:jc w:val="right"/>
              <w:rPr>
                <w:rFonts w:ascii="Calibri" w:eastAsia="Calibri" w:hAnsi="Calibri" w:cs="Calibri"/>
                <w:b/>
                <w:bCs/>
                <w:sz w:val="20"/>
                <w:szCs w:val="20"/>
              </w:rPr>
            </w:pPr>
            <w:r>
              <w:rPr>
                <w:rFonts w:ascii="Calibri" w:eastAsia="Calibri" w:hAnsi="Calibri" w:cs="Calibri"/>
                <w:b/>
                <w:bCs/>
                <w:sz w:val="20"/>
                <w:szCs w:val="20"/>
              </w:rPr>
              <w:t>97,5</w:t>
            </w:r>
          </w:p>
        </w:tc>
      </w:tr>
      <w:tr w:rsidR="00662C97" w:rsidRPr="00D45EEF" w14:paraId="76281A13" w14:textId="77777777" w:rsidTr="007F4A51">
        <w:trPr>
          <w:trHeight w:val="300"/>
        </w:trPr>
        <w:tc>
          <w:tcPr>
            <w:tcW w:w="2829" w:type="dxa"/>
            <w:tcBorders>
              <w:top w:val="nil"/>
              <w:left w:val="single" w:sz="8" w:space="0" w:color="auto"/>
              <w:bottom w:val="nil"/>
              <w:right w:val="single" w:sz="8" w:space="0" w:color="auto"/>
            </w:tcBorders>
            <w:tcMar>
              <w:left w:w="70" w:type="dxa"/>
              <w:right w:w="70" w:type="dxa"/>
            </w:tcMar>
            <w:vAlign w:val="center"/>
          </w:tcPr>
          <w:p w14:paraId="5AABFC32" w14:textId="77777777" w:rsidR="00662C97" w:rsidRPr="000F6ACC" w:rsidRDefault="00662C97" w:rsidP="007F4A51">
            <w:pPr>
              <w:spacing w:after="0" w:line="257" w:lineRule="auto"/>
              <w:ind w:firstLine="4"/>
              <w:rPr>
                <w:rFonts w:ascii="Calibri" w:eastAsia="Calibri" w:hAnsi="Calibri" w:cs="Calibri"/>
                <w:sz w:val="20"/>
                <w:szCs w:val="20"/>
              </w:rPr>
            </w:pPr>
            <w:r w:rsidRPr="000F6ACC">
              <w:rPr>
                <w:rFonts w:ascii="Calibri" w:eastAsia="Calibri" w:hAnsi="Calibri" w:cs="Calibri"/>
                <w:sz w:val="20"/>
                <w:szCs w:val="20"/>
              </w:rPr>
              <w:t xml:space="preserve">platy zaměstnanců a ostatní  </w:t>
            </w:r>
          </w:p>
          <w:p w14:paraId="12F6EDE6" w14:textId="77777777" w:rsidR="00662C97" w:rsidRPr="000F6ACC" w:rsidRDefault="00662C97" w:rsidP="007F4A51">
            <w:pPr>
              <w:spacing w:after="0" w:line="257" w:lineRule="auto"/>
              <w:rPr>
                <w:rFonts w:ascii="Calibri" w:eastAsia="Calibri" w:hAnsi="Calibri" w:cs="Calibri"/>
                <w:sz w:val="20"/>
                <w:szCs w:val="20"/>
              </w:rPr>
            </w:pPr>
            <w:r w:rsidRPr="000F6ACC">
              <w:rPr>
                <w:rFonts w:ascii="Calibri" w:eastAsia="Calibri" w:hAnsi="Calibri" w:cs="Calibri"/>
                <w:sz w:val="20"/>
                <w:szCs w:val="20"/>
              </w:rPr>
              <w:t>platby za provedenou práci</w:t>
            </w:r>
          </w:p>
        </w:tc>
        <w:tc>
          <w:tcPr>
            <w:tcW w:w="1100" w:type="dxa"/>
            <w:tcBorders>
              <w:top w:val="nil"/>
              <w:left w:val="single" w:sz="8" w:space="0" w:color="auto"/>
              <w:bottom w:val="nil"/>
              <w:right w:val="single" w:sz="8" w:space="0" w:color="auto"/>
            </w:tcBorders>
            <w:tcMar>
              <w:left w:w="70" w:type="dxa"/>
              <w:right w:w="70" w:type="dxa"/>
            </w:tcMar>
            <w:vAlign w:val="center"/>
          </w:tcPr>
          <w:p w14:paraId="26113AF7" w14:textId="77777777" w:rsidR="00662C97" w:rsidRPr="000F6ACC" w:rsidRDefault="00662C97" w:rsidP="007F4A51">
            <w:pPr>
              <w:spacing w:after="0" w:line="257" w:lineRule="auto"/>
              <w:jc w:val="right"/>
              <w:rPr>
                <w:rFonts w:ascii="Calibri" w:eastAsia="Calibri" w:hAnsi="Calibri" w:cs="Calibri"/>
                <w:sz w:val="20"/>
                <w:szCs w:val="20"/>
              </w:rPr>
            </w:pPr>
            <w:r w:rsidRPr="00FF6D64">
              <w:rPr>
                <w:rFonts w:ascii="Calibri" w:eastAsia="Calibri" w:hAnsi="Calibri" w:cs="Calibri"/>
                <w:sz w:val="20"/>
                <w:szCs w:val="20"/>
              </w:rPr>
              <w:t xml:space="preserve">115 928 </w:t>
            </w:r>
          </w:p>
        </w:tc>
        <w:tc>
          <w:tcPr>
            <w:tcW w:w="1100" w:type="dxa"/>
            <w:tcBorders>
              <w:top w:val="nil"/>
              <w:left w:val="single" w:sz="8" w:space="0" w:color="auto"/>
              <w:bottom w:val="nil"/>
              <w:right w:val="single" w:sz="8" w:space="0" w:color="auto"/>
            </w:tcBorders>
            <w:tcMar>
              <w:left w:w="70" w:type="dxa"/>
              <w:right w:w="70" w:type="dxa"/>
            </w:tcMar>
            <w:vAlign w:val="center"/>
          </w:tcPr>
          <w:p w14:paraId="7E0FE839" w14:textId="77777777" w:rsidR="00662C97" w:rsidRPr="002D366C" w:rsidRDefault="00662C97" w:rsidP="007F4A51">
            <w:pPr>
              <w:spacing w:after="0" w:line="257" w:lineRule="auto"/>
              <w:jc w:val="right"/>
              <w:rPr>
                <w:rFonts w:ascii="Calibri" w:eastAsia="Calibri" w:hAnsi="Calibri" w:cs="Calibri"/>
                <w:sz w:val="20"/>
                <w:szCs w:val="20"/>
              </w:rPr>
            </w:pPr>
            <w:r w:rsidRPr="002D366C">
              <w:rPr>
                <w:rFonts w:ascii="Calibri" w:eastAsia="Calibri" w:hAnsi="Calibri" w:cs="Calibri"/>
                <w:sz w:val="20"/>
                <w:szCs w:val="20"/>
              </w:rPr>
              <w:t>1</w:t>
            </w:r>
            <w:r w:rsidRPr="00DC2CB8">
              <w:rPr>
                <w:rFonts w:ascii="Calibri" w:eastAsia="Calibri" w:hAnsi="Calibri" w:cs="Calibri"/>
                <w:sz w:val="20"/>
                <w:szCs w:val="20"/>
              </w:rPr>
              <w:t>13 043</w:t>
            </w:r>
            <w:r w:rsidRPr="002D366C">
              <w:rPr>
                <w:rFonts w:ascii="Calibri" w:eastAsia="Calibri" w:hAnsi="Calibri" w:cs="Calibri"/>
                <w:sz w:val="20"/>
                <w:szCs w:val="20"/>
              </w:rPr>
              <w:t xml:space="preserve"> </w:t>
            </w:r>
          </w:p>
        </w:tc>
        <w:tc>
          <w:tcPr>
            <w:tcW w:w="1100" w:type="dxa"/>
            <w:tcBorders>
              <w:top w:val="nil"/>
              <w:left w:val="single" w:sz="8" w:space="0" w:color="auto"/>
              <w:bottom w:val="nil"/>
              <w:right w:val="single" w:sz="8" w:space="0" w:color="auto"/>
            </w:tcBorders>
            <w:tcMar>
              <w:left w:w="70" w:type="dxa"/>
              <w:right w:w="70" w:type="dxa"/>
            </w:tcMar>
            <w:vAlign w:val="center"/>
          </w:tcPr>
          <w:p w14:paraId="434CD263" w14:textId="77777777" w:rsidR="00662C97" w:rsidRPr="00DC2CB8" w:rsidRDefault="00662C97" w:rsidP="007F4A51">
            <w:pPr>
              <w:spacing w:after="0" w:line="257" w:lineRule="auto"/>
              <w:jc w:val="right"/>
              <w:rPr>
                <w:rFonts w:ascii="Calibri" w:eastAsia="Calibri" w:hAnsi="Calibri" w:cs="Calibri"/>
                <w:color w:val="FF0000"/>
                <w:sz w:val="20"/>
                <w:szCs w:val="20"/>
              </w:rPr>
            </w:pPr>
            <w:r w:rsidRPr="002D366C">
              <w:rPr>
                <w:rFonts w:ascii="Calibri" w:eastAsia="Calibri" w:hAnsi="Calibri" w:cs="Calibri"/>
                <w:sz w:val="20"/>
                <w:szCs w:val="20"/>
              </w:rPr>
              <w:t>1</w:t>
            </w:r>
            <w:r w:rsidRPr="005B08BC">
              <w:rPr>
                <w:rFonts w:ascii="Calibri" w:eastAsia="Calibri" w:hAnsi="Calibri" w:cs="Calibri"/>
                <w:sz w:val="20"/>
                <w:szCs w:val="20"/>
              </w:rPr>
              <w:t>13 043</w:t>
            </w:r>
          </w:p>
        </w:tc>
        <w:tc>
          <w:tcPr>
            <w:tcW w:w="1100" w:type="dxa"/>
            <w:tcBorders>
              <w:top w:val="nil"/>
              <w:left w:val="single" w:sz="8" w:space="0" w:color="auto"/>
              <w:bottom w:val="nil"/>
              <w:right w:val="single" w:sz="8" w:space="0" w:color="auto"/>
            </w:tcBorders>
            <w:tcMar>
              <w:left w:w="70" w:type="dxa"/>
              <w:right w:w="70" w:type="dxa"/>
            </w:tcMar>
            <w:vAlign w:val="center"/>
          </w:tcPr>
          <w:p w14:paraId="752FE738" w14:textId="77777777" w:rsidR="00662C97" w:rsidRPr="00D5698B" w:rsidRDefault="00662C97" w:rsidP="007F4A51">
            <w:pPr>
              <w:spacing w:after="0" w:line="257" w:lineRule="auto"/>
              <w:jc w:val="right"/>
              <w:rPr>
                <w:rFonts w:ascii="Calibri" w:eastAsia="Calibri" w:hAnsi="Calibri" w:cs="Calibri"/>
                <w:sz w:val="20"/>
                <w:szCs w:val="20"/>
              </w:rPr>
            </w:pPr>
            <w:r w:rsidRPr="00DC2CB8">
              <w:rPr>
                <w:rFonts w:ascii="Calibri" w:eastAsia="Calibri" w:hAnsi="Calibri" w:cs="Calibri"/>
                <w:sz w:val="20"/>
                <w:szCs w:val="20"/>
              </w:rPr>
              <w:t>121 149</w:t>
            </w:r>
            <w:r w:rsidRPr="00D5698B">
              <w:rPr>
                <w:rFonts w:ascii="Calibri" w:eastAsia="Calibri" w:hAnsi="Calibri" w:cs="Calibri"/>
                <w:sz w:val="20"/>
                <w:szCs w:val="20"/>
              </w:rPr>
              <w:t xml:space="preserve"> </w:t>
            </w:r>
          </w:p>
        </w:tc>
        <w:tc>
          <w:tcPr>
            <w:tcW w:w="1100" w:type="dxa"/>
            <w:tcBorders>
              <w:top w:val="nil"/>
              <w:left w:val="single" w:sz="8" w:space="0" w:color="auto"/>
              <w:bottom w:val="nil"/>
              <w:right w:val="single" w:sz="8" w:space="0" w:color="auto"/>
            </w:tcBorders>
            <w:tcMar>
              <w:left w:w="70" w:type="dxa"/>
              <w:right w:w="70" w:type="dxa"/>
            </w:tcMar>
            <w:vAlign w:val="center"/>
          </w:tcPr>
          <w:p w14:paraId="49C64595" w14:textId="77777777" w:rsidR="00662C97" w:rsidRPr="008E2609" w:rsidRDefault="00662C97" w:rsidP="007F4A51">
            <w:pPr>
              <w:spacing w:after="0" w:line="257" w:lineRule="auto"/>
              <w:jc w:val="right"/>
              <w:rPr>
                <w:rFonts w:ascii="Calibri" w:eastAsia="Calibri" w:hAnsi="Calibri" w:cs="Calibri"/>
                <w:sz w:val="20"/>
                <w:szCs w:val="20"/>
              </w:rPr>
            </w:pPr>
            <w:r w:rsidRPr="00DC2CB8">
              <w:rPr>
                <w:rFonts w:ascii="Calibri" w:eastAsia="Calibri" w:hAnsi="Calibri" w:cs="Calibri"/>
                <w:sz w:val="20"/>
                <w:szCs w:val="20"/>
              </w:rPr>
              <w:t>114 437</w:t>
            </w:r>
          </w:p>
        </w:tc>
        <w:tc>
          <w:tcPr>
            <w:tcW w:w="733" w:type="dxa"/>
            <w:tcBorders>
              <w:top w:val="nil"/>
              <w:left w:val="single" w:sz="8" w:space="0" w:color="auto"/>
              <w:bottom w:val="nil"/>
              <w:right w:val="single" w:sz="8" w:space="0" w:color="auto"/>
            </w:tcBorders>
            <w:tcMar>
              <w:left w:w="70" w:type="dxa"/>
              <w:right w:w="70" w:type="dxa"/>
            </w:tcMar>
            <w:vAlign w:val="center"/>
          </w:tcPr>
          <w:p w14:paraId="566830E1" w14:textId="77777777" w:rsidR="00662C97" w:rsidRPr="000174EA" w:rsidRDefault="00662C97" w:rsidP="007F4A51">
            <w:pPr>
              <w:spacing w:after="0" w:line="257" w:lineRule="auto"/>
              <w:jc w:val="right"/>
              <w:rPr>
                <w:rFonts w:ascii="Calibri" w:eastAsia="Calibri" w:hAnsi="Calibri" w:cs="Calibri"/>
                <w:sz w:val="20"/>
                <w:szCs w:val="20"/>
              </w:rPr>
            </w:pPr>
            <w:r w:rsidRPr="00DC2CB8">
              <w:rPr>
                <w:rFonts w:ascii="Calibri" w:eastAsia="Calibri" w:hAnsi="Calibri" w:cs="Calibri"/>
                <w:sz w:val="20"/>
                <w:szCs w:val="20"/>
              </w:rPr>
              <w:t>98,7</w:t>
            </w:r>
          </w:p>
        </w:tc>
      </w:tr>
      <w:tr w:rsidR="00662C97" w:rsidRPr="00D45EEF" w14:paraId="47679758" w14:textId="77777777" w:rsidTr="007F4A51">
        <w:trPr>
          <w:trHeight w:val="300"/>
        </w:trPr>
        <w:tc>
          <w:tcPr>
            <w:tcW w:w="2829" w:type="dxa"/>
            <w:tcBorders>
              <w:top w:val="nil"/>
              <w:left w:val="single" w:sz="8" w:space="0" w:color="auto"/>
              <w:bottom w:val="nil"/>
              <w:right w:val="single" w:sz="8" w:space="0" w:color="auto"/>
            </w:tcBorders>
            <w:tcMar>
              <w:left w:w="70" w:type="dxa"/>
              <w:right w:w="70" w:type="dxa"/>
            </w:tcMar>
            <w:vAlign w:val="center"/>
          </w:tcPr>
          <w:p w14:paraId="7B7D5225" w14:textId="77777777" w:rsidR="00662C97" w:rsidRPr="000F6ACC" w:rsidRDefault="00662C97" w:rsidP="007F4A51">
            <w:pPr>
              <w:spacing w:after="0" w:line="257" w:lineRule="auto"/>
              <w:ind w:firstLine="4"/>
              <w:rPr>
                <w:rFonts w:ascii="Calibri" w:eastAsia="Calibri" w:hAnsi="Calibri" w:cs="Calibri"/>
                <w:sz w:val="20"/>
                <w:szCs w:val="20"/>
              </w:rPr>
            </w:pPr>
            <w:proofErr w:type="spellStart"/>
            <w:r w:rsidRPr="000F6ACC">
              <w:rPr>
                <w:rFonts w:ascii="Calibri" w:eastAsia="Calibri" w:hAnsi="Calibri" w:cs="Calibri"/>
                <w:sz w:val="20"/>
                <w:szCs w:val="20"/>
              </w:rPr>
              <w:t>pov</w:t>
            </w:r>
            <w:proofErr w:type="spellEnd"/>
            <w:r w:rsidRPr="000F6ACC">
              <w:rPr>
                <w:rFonts w:ascii="Calibri" w:eastAsia="Calibri" w:hAnsi="Calibri" w:cs="Calibri"/>
                <w:sz w:val="20"/>
                <w:szCs w:val="20"/>
              </w:rPr>
              <w:t>. poj. placené zaměstnav.</w:t>
            </w:r>
          </w:p>
        </w:tc>
        <w:tc>
          <w:tcPr>
            <w:tcW w:w="1100" w:type="dxa"/>
            <w:tcBorders>
              <w:top w:val="nil"/>
              <w:left w:val="single" w:sz="8" w:space="0" w:color="auto"/>
              <w:bottom w:val="nil"/>
              <w:right w:val="single" w:sz="8" w:space="0" w:color="auto"/>
            </w:tcBorders>
            <w:tcMar>
              <w:left w:w="70" w:type="dxa"/>
              <w:right w:w="70" w:type="dxa"/>
            </w:tcMar>
            <w:vAlign w:val="center"/>
          </w:tcPr>
          <w:p w14:paraId="11C55067" w14:textId="77777777" w:rsidR="00662C97" w:rsidRPr="000F6ACC" w:rsidRDefault="00662C97" w:rsidP="007F4A51">
            <w:pPr>
              <w:spacing w:after="0" w:line="257" w:lineRule="auto"/>
              <w:jc w:val="right"/>
              <w:rPr>
                <w:rFonts w:ascii="Calibri" w:eastAsia="Calibri" w:hAnsi="Calibri" w:cs="Calibri"/>
                <w:sz w:val="20"/>
                <w:szCs w:val="20"/>
              </w:rPr>
            </w:pPr>
            <w:r w:rsidRPr="00FF6D64">
              <w:rPr>
                <w:rFonts w:ascii="Calibri" w:eastAsia="Calibri" w:hAnsi="Calibri" w:cs="Calibri"/>
                <w:sz w:val="20"/>
                <w:szCs w:val="20"/>
              </w:rPr>
              <w:t xml:space="preserve">39 137  </w:t>
            </w:r>
          </w:p>
        </w:tc>
        <w:tc>
          <w:tcPr>
            <w:tcW w:w="1100" w:type="dxa"/>
            <w:tcBorders>
              <w:top w:val="nil"/>
              <w:left w:val="single" w:sz="8" w:space="0" w:color="auto"/>
              <w:bottom w:val="nil"/>
              <w:right w:val="single" w:sz="8" w:space="0" w:color="auto"/>
            </w:tcBorders>
            <w:tcMar>
              <w:left w:w="70" w:type="dxa"/>
              <w:right w:w="70" w:type="dxa"/>
            </w:tcMar>
            <w:vAlign w:val="center"/>
          </w:tcPr>
          <w:p w14:paraId="59AA35BD" w14:textId="77777777" w:rsidR="00662C97" w:rsidRPr="002D366C" w:rsidRDefault="00662C97" w:rsidP="007F4A51">
            <w:pPr>
              <w:spacing w:after="0" w:line="257" w:lineRule="auto"/>
              <w:jc w:val="right"/>
              <w:rPr>
                <w:rFonts w:ascii="Calibri" w:eastAsia="Calibri" w:hAnsi="Calibri" w:cs="Calibri"/>
                <w:sz w:val="20"/>
                <w:szCs w:val="20"/>
              </w:rPr>
            </w:pPr>
            <w:r w:rsidRPr="002D366C">
              <w:rPr>
                <w:rFonts w:ascii="Calibri" w:eastAsia="Calibri" w:hAnsi="Calibri" w:cs="Calibri"/>
                <w:sz w:val="20"/>
                <w:szCs w:val="20"/>
              </w:rPr>
              <w:t>3</w:t>
            </w:r>
            <w:r w:rsidRPr="00DC2CB8">
              <w:rPr>
                <w:rFonts w:ascii="Calibri" w:eastAsia="Calibri" w:hAnsi="Calibri" w:cs="Calibri"/>
                <w:sz w:val="20"/>
                <w:szCs w:val="20"/>
              </w:rPr>
              <w:t xml:space="preserve">8 209 </w:t>
            </w:r>
          </w:p>
        </w:tc>
        <w:tc>
          <w:tcPr>
            <w:tcW w:w="1100" w:type="dxa"/>
            <w:tcBorders>
              <w:top w:val="nil"/>
              <w:left w:val="single" w:sz="8" w:space="0" w:color="auto"/>
              <w:bottom w:val="nil"/>
              <w:right w:val="single" w:sz="8" w:space="0" w:color="auto"/>
            </w:tcBorders>
            <w:tcMar>
              <w:left w:w="70" w:type="dxa"/>
              <w:right w:w="70" w:type="dxa"/>
            </w:tcMar>
            <w:vAlign w:val="center"/>
          </w:tcPr>
          <w:p w14:paraId="71DC87F2" w14:textId="77777777" w:rsidR="00662C97" w:rsidRPr="00DC2CB8" w:rsidRDefault="00662C97" w:rsidP="007F4A51">
            <w:pPr>
              <w:spacing w:after="0" w:line="257" w:lineRule="auto"/>
              <w:jc w:val="right"/>
              <w:rPr>
                <w:rFonts w:ascii="Calibri" w:eastAsia="Calibri" w:hAnsi="Calibri" w:cs="Calibri"/>
                <w:color w:val="FF0000"/>
                <w:sz w:val="20"/>
                <w:szCs w:val="20"/>
              </w:rPr>
            </w:pPr>
            <w:r w:rsidRPr="00DC2CB8">
              <w:rPr>
                <w:rFonts w:ascii="Calibri" w:eastAsia="Calibri" w:hAnsi="Calibri" w:cs="Calibri"/>
                <w:sz w:val="20"/>
                <w:szCs w:val="20"/>
              </w:rPr>
              <w:t>38 209</w:t>
            </w:r>
          </w:p>
        </w:tc>
        <w:tc>
          <w:tcPr>
            <w:tcW w:w="1100" w:type="dxa"/>
            <w:tcBorders>
              <w:top w:val="nil"/>
              <w:left w:val="single" w:sz="8" w:space="0" w:color="auto"/>
              <w:bottom w:val="nil"/>
              <w:right w:val="single" w:sz="8" w:space="0" w:color="auto"/>
            </w:tcBorders>
            <w:tcMar>
              <w:left w:w="70" w:type="dxa"/>
              <w:right w:w="70" w:type="dxa"/>
            </w:tcMar>
            <w:vAlign w:val="center"/>
          </w:tcPr>
          <w:p w14:paraId="34584B85" w14:textId="773ECD9B" w:rsidR="00662C97" w:rsidRPr="00F95786" w:rsidRDefault="00E7591A"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40 948</w:t>
            </w:r>
          </w:p>
        </w:tc>
        <w:tc>
          <w:tcPr>
            <w:tcW w:w="1100" w:type="dxa"/>
            <w:tcBorders>
              <w:top w:val="nil"/>
              <w:left w:val="single" w:sz="8" w:space="0" w:color="auto"/>
              <w:bottom w:val="nil"/>
              <w:right w:val="single" w:sz="8" w:space="0" w:color="auto"/>
            </w:tcBorders>
            <w:tcMar>
              <w:left w:w="70" w:type="dxa"/>
              <w:right w:w="70" w:type="dxa"/>
            </w:tcMar>
            <w:vAlign w:val="center"/>
          </w:tcPr>
          <w:p w14:paraId="3A5609DB" w14:textId="77777777" w:rsidR="00662C97" w:rsidRPr="000F6ACC" w:rsidRDefault="00662C97"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38 554</w:t>
            </w:r>
          </w:p>
        </w:tc>
        <w:tc>
          <w:tcPr>
            <w:tcW w:w="733" w:type="dxa"/>
            <w:tcBorders>
              <w:top w:val="nil"/>
              <w:left w:val="single" w:sz="8" w:space="0" w:color="auto"/>
              <w:bottom w:val="nil"/>
              <w:right w:val="single" w:sz="8" w:space="0" w:color="auto"/>
            </w:tcBorders>
            <w:tcMar>
              <w:left w:w="70" w:type="dxa"/>
              <w:right w:w="70" w:type="dxa"/>
            </w:tcMar>
            <w:vAlign w:val="center"/>
          </w:tcPr>
          <w:p w14:paraId="11C4D68D" w14:textId="77777777" w:rsidR="00662C97" w:rsidRPr="000174EA" w:rsidRDefault="00662C97" w:rsidP="007F4A51">
            <w:pPr>
              <w:spacing w:after="0" w:line="257" w:lineRule="auto"/>
              <w:jc w:val="right"/>
              <w:rPr>
                <w:rFonts w:ascii="Calibri" w:eastAsia="Calibri" w:hAnsi="Calibri" w:cs="Calibri"/>
                <w:sz w:val="20"/>
                <w:szCs w:val="20"/>
              </w:rPr>
            </w:pPr>
            <w:r w:rsidRPr="00DC2CB8">
              <w:rPr>
                <w:rFonts w:ascii="Calibri" w:eastAsia="Calibri" w:hAnsi="Calibri" w:cs="Calibri"/>
                <w:sz w:val="20"/>
                <w:szCs w:val="20"/>
              </w:rPr>
              <w:t>98,5</w:t>
            </w:r>
          </w:p>
        </w:tc>
      </w:tr>
      <w:tr w:rsidR="00662C97" w:rsidRPr="00D45EEF" w14:paraId="1615F973" w14:textId="77777777" w:rsidTr="007F4A51">
        <w:trPr>
          <w:trHeight w:val="300"/>
        </w:trPr>
        <w:tc>
          <w:tcPr>
            <w:tcW w:w="2829" w:type="dxa"/>
            <w:tcBorders>
              <w:top w:val="nil"/>
              <w:left w:val="single" w:sz="8" w:space="0" w:color="auto"/>
              <w:bottom w:val="nil"/>
              <w:right w:val="single" w:sz="8" w:space="0" w:color="auto"/>
            </w:tcBorders>
            <w:tcMar>
              <w:left w:w="70" w:type="dxa"/>
              <w:right w:w="70" w:type="dxa"/>
            </w:tcMar>
            <w:vAlign w:val="center"/>
          </w:tcPr>
          <w:p w14:paraId="6C25E6AE" w14:textId="77777777" w:rsidR="00662C97" w:rsidRPr="000F6ACC" w:rsidRDefault="00662C97" w:rsidP="007F4A51">
            <w:pPr>
              <w:spacing w:after="0" w:line="257" w:lineRule="auto"/>
              <w:ind w:firstLine="4"/>
              <w:rPr>
                <w:rFonts w:ascii="Calibri" w:eastAsia="Calibri" w:hAnsi="Calibri" w:cs="Calibri"/>
                <w:sz w:val="20"/>
                <w:szCs w:val="20"/>
              </w:rPr>
            </w:pPr>
            <w:r w:rsidRPr="000F6ACC">
              <w:rPr>
                <w:rFonts w:ascii="Calibri" w:eastAsia="Calibri" w:hAnsi="Calibri" w:cs="Calibri"/>
                <w:sz w:val="20"/>
                <w:szCs w:val="20"/>
              </w:rPr>
              <w:t>převod FKSP</w:t>
            </w:r>
          </w:p>
        </w:tc>
        <w:tc>
          <w:tcPr>
            <w:tcW w:w="1100" w:type="dxa"/>
            <w:tcBorders>
              <w:top w:val="nil"/>
              <w:left w:val="single" w:sz="8" w:space="0" w:color="auto"/>
              <w:bottom w:val="nil"/>
              <w:right w:val="single" w:sz="8" w:space="0" w:color="auto"/>
            </w:tcBorders>
            <w:tcMar>
              <w:left w:w="70" w:type="dxa"/>
              <w:right w:w="70" w:type="dxa"/>
            </w:tcMar>
            <w:vAlign w:val="center"/>
          </w:tcPr>
          <w:p w14:paraId="050F87A4" w14:textId="77777777" w:rsidR="00662C97" w:rsidRPr="000F6ACC" w:rsidRDefault="00662C97" w:rsidP="007F4A51">
            <w:pPr>
              <w:spacing w:after="0" w:line="257" w:lineRule="auto"/>
              <w:jc w:val="right"/>
              <w:rPr>
                <w:rFonts w:ascii="Calibri" w:eastAsia="Calibri" w:hAnsi="Calibri" w:cs="Calibri"/>
                <w:sz w:val="20"/>
                <w:szCs w:val="20"/>
              </w:rPr>
            </w:pPr>
            <w:r w:rsidRPr="00FF6D64">
              <w:rPr>
                <w:rFonts w:ascii="Calibri" w:eastAsia="Calibri" w:hAnsi="Calibri" w:cs="Calibri"/>
                <w:sz w:val="20"/>
                <w:szCs w:val="20"/>
              </w:rPr>
              <w:t>2 324</w:t>
            </w:r>
          </w:p>
        </w:tc>
        <w:tc>
          <w:tcPr>
            <w:tcW w:w="1100" w:type="dxa"/>
            <w:tcBorders>
              <w:top w:val="nil"/>
              <w:left w:val="single" w:sz="8" w:space="0" w:color="auto"/>
              <w:bottom w:val="nil"/>
              <w:right w:val="single" w:sz="8" w:space="0" w:color="auto"/>
            </w:tcBorders>
            <w:tcMar>
              <w:left w:w="70" w:type="dxa"/>
              <w:right w:w="70" w:type="dxa"/>
            </w:tcMar>
            <w:vAlign w:val="center"/>
          </w:tcPr>
          <w:p w14:paraId="3FD35DBE" w14:textId="77777777" w:rsidR="00662C97" w:rsidRPr="002D366C" w:rsidRDefault="00662C97" w:rsidP="007F4A51">
            <w:pPr>
              <w:spacing w:after="0" w:line="257" w:lineRule="auto"/>
              <w:jc w:val="right"/>
              <w:rPr>
                <w:rFonts w:ascii="Calibri" w:eastAsia="Calibri" w:hAnsi="Calibri" w:cs="Calibri"/>
                <w:sz w:val="20"/>
                <w:szCs w:val="20"/>
              </w:rPr>
            </w:pPr>
            <w:r w:rsidRPr="002D366C">
              <w:rPr>
                <w:rFonts w:ascii="Calibri" w:eastAsia="Calibri" w:hAnsi="Calibri" w:cs="Calibri"/>
                <w:sz w:val="20"/>
                <w:szCs w:val="20"/>
              </w:rPr>
              <w:t xml:space="preserve">2 </w:t>
            </w:r>
            <w:r w:rsidRPr="00DC2CB8">
              <w:rPr>
                <w:rFonts w:ascii="Calibri" w:eastAsia="Calibri" w:hAnsi="Calibri" w:cs="Calibri"/>
                <w:sz w:val="20"/>
                <w:szCs w:val="20"/>
              </w:rPr>
              <w:t>250</w:t>
            </w:r>
          </w:p>
        </w:tc>
        <w:tc>
          <w:tcPr>
            <w:tcW w:w="1100" w:type="dxa"/>
            <w:tcBorders>
              <w:top w:val="nil"/>
              <w:left w:val="single" w:sz="8" w:space="0" w:color="auto"/>
              <w:bottom w:val="nil"/>
              <w:right w:val="single" w:sz="8" w:space="0" w:color="auto"/>
            </w:tcBorders>
            <w:tcMar>
              <w:left w:w="70" w:type="dxa"/>
              <w:right w:w="70" w:type="dxa"/>
            </w:tcMar>
            <w:vAlign w:val="center"/>
          </w:tcPr>
          <w:p w14:paraId="2AC02096" w14:textId="77777777" w:rsidR="00662C97" w:rsidRPr="00DC2CB8" w:rsidRDefault="00662C97" w:rsidP="007F4A51">
            <w:pPr>
              <w:spacing w:after="0" w:line="257" w:lineRule="auto"/>
              <w:jc w:val="right"/>
              <w:rPr>
                <w:rFonts w:ascii="Calibri" w:eastAsia="Calibri" w:hAnsi="Calibri" w:cs="Calibri"/>
                <w:color w:val="FF0000"/>
                <w:sz w:val="20"/>
                <w:szCs w:val="20"/>
              </w:rPr>
            </w:pPr>
            <w:r w:rsidRPr="002D366C">
              <w:rPr>
                <w:rFonts w:ascii="Calibri" w:eastAsia="Calibri" w:hAnsi="Calibri" w:cs="Calibri"/>
                <w:sz w:val="20"/>
                <w:szCs w:val="20"/>
              </w:rPr>
              <w:t xml:space="preserve">2 </w:t>
            </w:r>
            <w:r w:rsidRPr="005B08BC">
              <w:rPr>
                <w:rFonts w:ascii="Calibri" w:eastAsia="Calibri" w:hAnsi="Calibri" w:cs="Calibri"/>
                <w:sz w:val="20"/>
                <w:szCs w:val="20"/>
              </w:rPr>
              <w:t>25</w:t>
            </w:r>
            <w:r>
              <w:rPr>
                <w:rFonts w:ascii="Calibri" w:eastAsia="Calibri" w:hAnsi="Calibri" w:cs="Calibri"/>
                <w:sz w:val="20"/>
                <w:szCs w:val="20"/>
              </w:rPr>
              <w:t>0</w:t>
            </w:r>
          </w:p>
        </w:tc>
        <w:tc>
          <w:tcPr>
            <w:tcW w:w="1100" w:type="dxa"/>
            <w:tcBorders>
              <w:top w:val="nil"/>
              <w:left w:val="single" w:sz="8" w:space="0" w:color="auto"/>
              <w:bottom w:val="nil"/>
              <w:right w:val="single" w:sz="8" w:space="0" w:color="auto"/>
            </w:tcBorders>
            <w:tcMar>
              <w:left w:w="70" w:type="dxa"/>
              <w:right w:w="70" w:type="dxa"/>
            </w:tcMar>
            <w:vAlign w:val="center"/>
          </w:tcPr>
          <w:p w14:paraId="27AED6D0" w14:textId="3F62B084" w:rsidR="00662C97" w:rsidRPr="00DC2CB8" w:rsidRDefault="006A5D81" w:rsidP="007F4A51">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2 412</w:t>
            </w:r>
          </w:p>
        </w:tc>
        <w:tc>
          <w:tcPr>
            <w:tcW w:w="1100" w:type="dxa"/>
            <w:tcBorders>
              <w:top w:val="nil"/>
              <w:left w:val="single" w:sz="8" w:space="0" w:color="auto"/>
              <w:bottom w:val="nil"/>
              <w:right w:val="single" w:sz="8" w:space="0" w:color="auto"/>
            </w:tcBorders>
            <w:tcMar>
              <w:left w:w="70" w:type="dxa"/>
              <w:right w:w="70" w:type="dxa"/>
            </w:tcMar>
            <w:vAlign w:val="center"/>
          </w:tcPr>
          <w:p w14:paraId="7973A581" w14:textId="77777777" w:rsidR="00662C97" w:rsidRPr="000F6ACC" w:rsidRDefault="00662C97"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2 295</w:t>
            </w:r>
          </w:p>
        </w:tc>
        <w:tc>
          <w:tcPr>
            <w:tcW w:w="733" w:type="dxa"/>
            <w:tcBorders>
              <w:top w:val="nil"/>
              <w:left w:val="single" w:sz="8" w:space="0" w:color="auto"/>
              <w:bottom w:val="nil"/>
              <w:right w:val="single" w:sz="8" w:space="0" w:color="auto"/>
            </w:tcBorders>
            <w:tcMar>
              <w:left w:w="70" w:type="dxa"/>
              <w:right w:w="70" w:type="dxa"/>
            </w:tcMar>
            <w:vAlign w:val="center"/>
          </w:tcPr>
          <w:p w14:paraId="64A12BB0" w14:textId="77777777" w:rsidR="00662C97" w:rsidRPr="000174EA" w:rsidRDefault="00662C97"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98.8</w:t>
            </w:r>
          </w:p>
        </w:tc>
      </w:tr>
      <w:tr w:rsidR="00662C97" w:rsidRPr="00D45EEF" w14:paraId="3862B1A2" w14:textId="77777777" w:rsidTr="007F4A51">
        <w:trPr>
          <w:trHeight w:val="300"/>
        </w:trPr>
        <w:tc>
          <w:tcPr>
            <w:tcW w:w="2829" w:type="dxa"/>
            <w:tcBorders>
              <w:top w:val="nil"/>
              <w:left w:val="single" w:sz="8" w:space="0" w:color="auto"/>
              <w:bottom w:val="nil"/>
              <w:right w:val="single" w:sz="8" w:space="0" w:color="auto"/>
            </w:tcBorders>
            <w:tcMar>
              <w:left w:w="70" w:type="dxa"/>
              <w:right w:w="70" w:type="dxa"/>
            </w:tcMar>
            <w:vAlign w:val="center"/>
          </w:tcPr>
          <w:p w14:paraId="640F6394" w14:textId="77777777" w:rsidR="00662C97" w:rsidRPr="000F6ACC" w:rsidRDefault="00662C97" w:rsidP="007F4A51">
            <w:pPr>
              <w:spacing w:after="0" w:line="257" w:lineRule="auto"/>
              <w:ind w:firstLine="4"/>
              <w:rPr>
                <w:rFonts w:ascii="Calibri" w:eastAsia="Calibri" w:hAnsi="Calibri" w:cs="Calibri"/>
                <w:sz w:val="20"/>
                <w:szCs w:val="20"/>
              </w:rPr>
            </w:pPr>
            <w:r w:rsidRPr="000F6ACC">
              <w:rPr>
                <w:rFonts w:ascii="Calibri" w:eastAsia="Calibri" w:hAnsi="Calibri" w:cs="Calibri"/>
                <w:sz w:val="20"/>
                <w:szCs w:val="20"/>
              </w:rPr>
              <w:t>ostatní neinvestiční výdaje</w:t>
            </w:r>
          </w:p>
        </w:tc>
        <w:tc>
          <w:tcPr>
            <w:tcW w:w="1100" w:type="dxa"/>
            <w:tcBorders>
              <w:top w:val="nil"/>
              <w:left w:val="single" w:sz="8" w:space="0" w:color="auto"/>
              <w:bottom w:val="nil"/>
              <w:right w:val="single" w:sz="8" w:space="0" w:color="auto"/>
            </w:tcBorders>
            <w:tcMar>
              <w:left w:w="70" w:type="dxa"/>
              <w:right w:w="70" w:type="dxa"/>
            </w:tcMar>
            <w:vAlign w:val="center"/>
          </w:tcPr>
          <w:p w14:paraId="3D6C0473" w14:textId="77777777" w:rsidR="00662C97" w:rsidRPr="000F6ACC" w:rsidRDefault="00662C97" w:rsidP="007F4A51">
            <w:pPr>
              <w:spacing w:after="0" w:line="257" w:lineRule="auto"/>
              <w:jc w:val="right"/>
              <w:rPr>
                <w:rFonts w:ascii="Calibri" w:eastAsia="Calibri" w:hAnsi="Calibri" w:cs="Calibri"/>
                <w:sz w:val="20"/>
                <w:szCs w:val="20"/>
              </w:rPr>
            </w:pPr>
            <w:r w:rsidRPr="00FF6D64">
              <w:rPr>
                <w:rFonts w:ascii="Calibri" w:eastAsia="Calibri" w:hAnsi="Calibri" w:cs="Calibri"/>
                <w:sz w:val="20"/>
                <w:szCs w:val="20"/>
              </w:rPr>
              <w:t>47 782</w:t>
            </w:r>
          </w:p>
        </w:tc>
        <w:tc>
          <w:tcPr>
            <w:tcW w:w="1100" w:type="dxa"/>
            <w:tcBorders>
              <w:top w:val="nil"/>
              <w:left w:val="single" w:sz="8" w:space="0" w:color="auto"/>
              <w:bottom w:val="nil"/>
              <w:right w:val="single" w:sz="8" w:space="0" w:color="auto"/>
            </w:tcBorders>
            <w:tcMar>
              <w:left w:w="70" w:type="dxa"/>
              <w:right w:w="70" w:type="dxa"/>
            </w:tcMar>
            <w:vAlign w:val="center"/>
          </w:tcPr>
          <w:p w14:paraId="73F387E4" w14:textId="77777777" w:rsidR="00662C97" w:rsidRPr="002D366C" w:rsidRDefault="00662C97" w:rsidP="007F4A51">
            <w:pPr>
              <w:spacing w:after="0" w:line="257" w:lineRule="auto"/>
              <w:jc w:val="right"/>
              <w:rPr>
                <w:rFonts w:ascii="Calibri" w:eastAsia="Calibri" w:hAnsi="Calibri" w:cs="Calibri"/>
                <w:sz w:val="20"/>
                <w:szCs w:val="20"/>
              </w:rPr>
            </w:pPr>
            <w:r w:rsidRPr="002D366C">
              <w:rPr>
                <w:rFonts w:ascii="Calibri" w:eastAsia="Calibri" w:hAnsi="Calibri" w:cs="Calibri"/>
                <w:sz w:val="20"/>
                <w:szCs w:val="20"/>
              </w:rPr>
              <w:t>4</w:t>
            </w:r>
            <w:r w:rsidRPr="00DC2CB8">
              <w:rPr>
                <w:rFonts w:ascii="Calibri" w:eastAsia="Calibri" w:hAnsi="Calibri" w:cs="Calibri"/>
                <w:sz w:val="20"/>
                <w:szCs w:val="20"/>
              </w:rPr>
              <w:t>3 093</w:t>
            </w:r>
          </w:p>
        </w:tc>
        <w:tc>
          <w:tcPr>
            <w:tcW w:w="1100" w:type="dxa"/>
            <w:tcBorders>
              <w:top w:val="nil"/>
              <w:left w:val="single" w:sz="8" w:space="0" w:color="auto"/>
              <w:bottom w:val="nil"/>
              <w:right w:val="single" w:sz="8" w:space="0" w:color="auto"/>
            </w:tcBorders>
            <w:tcMar>
              <w:left w:w="70" w:type="dxa"/>
              <w:right w:w="70" w:type="dxa"/>
            </w:tcMar>
            <w:vAlign w:val="center"/>
          </w:tcPr>
          <w:p w14:paraId="60B1270B" w14:textId="77777777" w:rsidR="00662C97" w:rsidRPr="00DC2CB8" w:rsidRDefault="00662C97" w:rsidP="007F4A51">
            <w:pPr>
              <w:spacing w:after="0" w:line="257" w:lineRule="auto"/>
              <w:jc w:val="right"/>
              <w:rPr>
                <w:rFonts w:ascii="Calibri" w:eastAsia="Calibri" w:hAnsi="Calibri" w:cs="Calibri"/>
                <w:color w:val="FF0000"/>
                <w:sz w:val="20"/>
                <w:szCs w:val="20"/>
              </w:rPr>
            </w:pPr>
            <w:r w:rsidRPr="00DC2CB8">
              <w:rPr>
                <w:rFonts w:ascii="Calibri" w:eastAsia="Calibri" w:hAnsi="Calibri" w:cs="Calibri"/>
                <w:sz w:val="20"/>
                <w:szCs w:val="20"/>
              </w:rPr>
              <w:t>45 393</w:t>
            </w:r>
          </w:p>
        </w:tc>
        <w:tc>
          <w:tcPr>
            <w:tcW w:w="1100" w:type="dxa"/>
            <w:tcBorders>
              <w:top w:val="nil"/>
              <w:left w:val="single" w:sz="8" w:space="0" w:color="auto"/>
              <w:bottom w:val="nil"/>
              <w:right w:val="single" w:sz="8" w:space="0" w:color="auto"/>
            </w:tcBorders>
            <w:tcMar>
              <w:left w:w="70" w:type="dxa"/>
              <w:right w:w="70" w:type="dxa"/>
            </w:tcMar>
            <w:vAlign w:val="center"/>
          </w:tcPr>
          <w:p w14:paraId="0733BC86" w14:textId="481A7F82" w:rsidR="00662C97" w:rsidRPr="00DC2CB8" w:rsidRDefault="004C0D05" w:rsidP="007F4A51">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53 741</w:t>
            </w:r>
          </w:p>
        </w:tc>
        <w:tc>
          <w:tcPr>
            <w:tcW w:w="1100" w:type="dxa"/>
            <w:tcBorders>
              <w:top w:val="nil"/>
              <w:left w:val="single" w:sz="8" w:space="0" w:color="auto"/>
              <w:bottom w:val="nil"/>
              <w:right w:val="single" w:sz="8" w:space="0" w:color="auto"/>
            </w:tcBorders>
            <w:tcMar>
              <w:left w:w="70" w:type="dxa"/>
              <w:right w:w="70" w:type="dxa"/>
            </w:tcMar>
            <w:vAlign w:val="center"/>
          </w:tcPr>
          <w:p w14:paraId="66D406E4" w14:textId="3B9A89F9" w:rsidR="00662C97" w:rsidRPr="000F6ACC" w:rsidRDefault="00D5191C"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44 746</w:t>
            </w:r>
          </w:p>
        </w:tc>
        <w:tc>
          <w:tcPr>
            <w:tcW w:w="733" w:type="dxa"/>
            <w:tcBorders>
              <w:top w:val="nil"/>
              <w:left w:val="single" w:sz="8" w:space="0" w:color="auto"/>
              <w:bottom w:val="nil"/>
              <w:right w:val="single" w:sz="8" w:space="0" w:color="auto"/>
            </w:tcBorders>
            <w:tcMar>
              <w:left w:w="70" w:type="dxa"/>
              <w:right w:w="70" w:type="dxa"/>
            </w:tcMar>
            <w:vAlign w:val="center"/>
          </w:tcPr>
          <w:p w14:paraId="6F194B17" w14:textId="32ABF6F1" w:rsidR="00662C97" w:rsidRPr="000174EA" w:rsidRDefault="00B947E8"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9</w:t>
            </w:r>
            <w:r w:rsidR="00977F0F">
              <w:rPr>
                <w:rFonts w:ascii="Calibri" w:eastAsia="Calibri" w:hAnsi="Calibri" w:cs="Calibri"/>
                <w:sz w:val="20"/>
                <w:szCs w:val="20"/>
              </w:rPr>
              <w:t>3,6</w:t>
            </w:r>
          </w:p>
        </w:tc>
      </w:tr>
      <w:tr w:rsidR="00662C97" w:rsidRPr="00D45EEF" w14:paraId="4E00FD28" w14:textId="77777777" w:rsidTr="007F4A51">
        <w:trPr>
          <w:trHeight w:val="300"/>
        </w:trPr>
        <w:tc>
          <w:tcPr>
            <w:tcW w:w="2829" w:type="dxa"/>
            <w:tcBorders>
              <w:top w:val="nil"/>
              <w:left w:val="single" w:sz="8" w:space="0" w:color="auto"/>
              <w:bottom w:val="single" w:sz="8" w:space="0" w:color="auto"/>
              <w:right w:val="single" w:sz="8" w:space="0" w:color="auto"/>
            </w:tcBorders>
            <w:tcMar>
              <w:left w:w="70" w:type="dxa"/>
              <w:right w:w="70" w:type="dxa"/>
            </w:tcMar>
            <w:vAlign w:val="center"/>
          </w:tcPr>
          <w:p w14:paraId="3D456C7E" w14:textId="77777777" w:rsidR="00662C97" w:rsidRPr="000F6ACC" w:rsidRDefault="00662C97" w:rsidP="007F4A51">
            <w:pPr>
              <w:spacing w:after="0" w:line="257" w:lineRule="auto"/>
              <w:ind w:firstLine="4"/>
              <w:rPr>
                <w:rFonts w:ascii="Calibri" w:eastAsia="Calibri" w:hAnsi="Calibri" w:cs="Calibri"/>
                <w:sz w:val="20"/>
                <w:szCs w:val="20"/>
              </w:rPr>
            </w:pPr>
            <w:r w:rsidRPr="000F6ACC">
              <w:rPr>
                <w:rFonts w:ascii="Calibri" w:eastAsia="Calibri" w:hAnsi="Calibri" w:cs="Calibri"/>
                <w:sz w:val="20"/>
                <w:szCs w:val="20"/>
              </w:rPr>
              <w:t>z toho: RISPF</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2B5FF30B" w14:textId="77777777" w:rsidR="00662C97" w:rsidRPr="000F6ACC" w:rsidRDefault="00662C97" w:rsidP="007F4A51">
            <w:pPr>
              <w:spacing w:after="0" w:line="257" w:lineRule="auto"/>
              <w:jc w:val="right"/>
              <w:rPr>
                <w:rFonts w:ascii="Calibri" w:eastAsia="Calibri" w:hAnsi="Calibri" w:cs="Calibri"/>
                <w:sz w:val="20"/>
                <w:szCs w:val="20"/>
              </w:rPr>
            </w:pPr>
            <w:r w:rsidRPr="000F6ACC">
              <w:rPr>
                <w:rFonts w:ascii="Calibri" w:eastAsia="Calibri" w:hAnsi="Calibri" w:cs="Calibri"/>
                <w:sz w:val="20"/>
                <w:szCs w:val="20"/>
              </w:rPr>
              <w:t>0</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1AFBBB99" w14:textId="0A2D3B18" w:rsidR="00662C97" w:rsidRPr="00090ED5" w:rsidRDefault="006A4AFE"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0</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4658A4D0" w14:textId="0440BC66" w:rsidR="00662C97" w:rsidRPr="00090ED5" w:rsidRDefault="006A4AFE"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2 300</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51B79D4C" w14:textId="42883CC4" w:rsidR="00662C97" w:rsidRPr="00090ED5" w:rsidRDefault="00350142"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2 668</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0C1A4F5E" w14:textId="7F900F61" w:rsidR="00662C97" w:rsidRPr="00090ED5" w:rsidRDefault="00CE2141"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36</w:t>
            </w:r>
            <w:r w:rsidR="00F64F00">
              <w:rPr>
                <w:rFonts w:ascii="Calibri" w:eastAsia="Calibri" w:hAnsi="Calibri" w:cs="Calibri"/>
                <w:sz w:val="20"/>
                <w:szCs w:val="20"/>
              </w:rPr>
              <w:t>8</w:t>
            </w:r>
          </w:p>
        </w:tc>
        <w:tc>
          <w:tcPr>
            <w:tcW w:w="733" w:type="dxa"/>
            <w:tcBorders>
              <w:top w:val="nil"/>
              <w:left w:val="single" w:sz="8" w:space="0" w:color="auto"/>
              <w:bottom w:val="single" w:sz="8" w:space="0" w:color="auto"/>
              <w:right w:val="single" w:sz="8" w:space="0" w:color="auto"/>
            </w:tcBorders>
            <w:tcMar>
              <w:left w:w="70" w:type="dxa"/>
              <w:right w:w="70" w:type="dxa"/>
            </w:tcMar>
            <w:vAlign w:val="center"/>
          </w:tcPr>
          <w:p w14:paraId="68638C0F" w14:textId="54AAF6D2" w:rsidR="00662C97" w:rsidRPr="000174EA" w:rsidRDefault="006A4AFE"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x</w:t>
            </w:r>
          </w:p>
        </w:tc>
      </w:tr>
      <w:tr w:rsidR="00662C97" w:rsidRPr="00D45EEF" w14:paraId="0D136FFA" w14:textId="77777777" w:rsidTr="007F4A51">
        <w:trPr>
          <w:trHeight w:val="300"/>
        </w:trPr>
        <w:tc>
          <w:tcPr>
            <w:tcW w:w="2829" w:type="dxa"/>
            <w:tcBorders>
              <w:top w:val="single" w:sz="8" w:space="0" w:color="auto"/>
              <w:left w:val="single" w:sz="8" w:space="0" w:color="auto"/>
              <w:bottom w:val="nil"/>
              <w:right w:val="single" w:sz="8" w:space="0" w:color="auto"/>
            </w:tcBorders>
            <w:tcMar>
              <w:left w:w="70" w:type="dxa"/>
              <w:right w:w="70" w:type="dxa"/>
            </w:tcMar>
            <w:vAlign w:val="center"/>
          </w:tcPr>
          <w:p w14:paraId="16FCBBFA" w14:textId="77777777" w:rsidR="00662C97" w:rsidRPr="00DC2CB8" w:rsidRDefault="00662C97" w:rsidP="007F4A51">
            <w:pPr>
              <w:spacing w:after="0" w:line="257" w:lineRule="auto"/>
              <w:rPr>
                <w:rFonts w:ascii="Calibri" w:eastAsia="Calibri" w:hAnsi="Calibri" w:cs="Calibri"/>
                <w:sz w:val="20"/>
                <w:szCs w:val="20"/>
              </w:rPr>
            </w:pPr>
            <w:r w:rsidRPr="00DC2CB8">
              <w:rPr>
                <w:rFonts w:ascii="Calibri" w:eastAsia="Calibri" w:hAnsi="Calibri" w:cs="Calibri"/>
                <w:b/>
                <w:bCs/>
                <w:sz w:val="20"/>
                <w:szCs w:val="20"/>
              </w:rPr>
              <w:t xml:space="preserve">Kapitálové výdaje </w:t>
            </w:r>
            <w:r w:rsidRPr="00DC2CB8">
              <w:rPr>
                <w:rFonts w:ascii="Calibri" w:eastAsia="Calibri" w:hAnsi="Calibri" w:cs="Calibri"/>
                <w:sz w:val="20"/>
                <w:szCs w:val="20"/>
              </w:rPr>
              <w:t>(v tom:)</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78C4347E" w14:textId="77777777" w:rsidR="00662C97" w:rsidRPr="00DC2CB8" w:rsidRDefault="00662C97" w:rsidP="007F4A51">
            <w:pPr>
              <w:spacing w:after="0" w:line="257" w:lineRule="auto"/>
              <w:jc w:val="right"/>
              <w:rPr>
                <w:rFonts w:ascii="Calibri" w:eastAsia="Calibri" w:hAnsi="Calibri" w:cs="Calibri"/>
                <w:b/>
                <w:bCs/>
                <w:sz w:val="20"/>
                <w:szCs w:val="20"/>
              </w:rPr>
            </w:pPr>
            <w:r w:rsidRPr="00FF6D64">
              <w:rPr>
                <w:rFonts w:ascii="Calibri" w:eastAsia="Calibri" w:hAnsi="Calibri" w:cs="Calibri"/>
                <w:b/>
                <w:bCs/>
                <w:sz w:val="20"/>
                <w:szCs w:val="20"/>
              </w:rPr>
              <w:t>7 304</w:t>
            </w:r>
          </w:p>
        </w:tc>
        <w:tc>
          <w:tcPr>
            <w:tcW w:w="1100" w:type="dxa"/>
            <w:tcBorders>
              <w:top w:val="single" w:sz="8" w:space="0" w:color="auto"/>
              <w:left w:val="single" w:sz="8" w:space="0" w:color="auto"/>
              <w:bottom w:val="nil"/>
              <w:right w:val="single" w:sz="8" w:space="0" w:color="auto"/>
            </w:tcBorders>
            <w:tcMar>
              <w:left w:w="70" w:type="dxa"/>
              <w:right w:w="70" w:type="dxa"/>
            </w:tcMar>
          </w:tcPr>
          <w:p w14:paraId="1A1EBB57" w14:textId="77777777" w:rsidR="00662C97" w:rsidRPr="00AE3E40" w:rsidRDefault="00662C97" w:rsidP="007F4A51">
            <w:pPr>
              <w:spacing w:after="0" w:line="257" w:lineRule="auto"/>
              <w:jc w:val="right"/>
              <w:rPr>
                <w:rFonts w:ascii="Calibri" w:eastAsia="Calibri" w:hAnsi="Calibri" w:cs="Calibri"/>
                <w:b/>
                <w:color w:val="FF0000"/>
                <w:sz w:val="20"/>
                <w:szCs w:val="20"/>
              </w:rPr>
            </w:pPr>
            <w:r w:rsidRPr="006B6D61">
              <w:rPr>
                <w:rFonts w:ascii="Calibri" w:eastAsia="Calibri" w:hAnsi="Calibri" w:cs="Calibri"/>
                <w:b/>
                <w:bCs/>
                <w:sz w:val="20"/>
                <w:szCs w:val="20"/>
              </w:rPr>
              <w:t>6 800</w:t>
            </w:r>
          </w:p>
        </w:tc>
        <w:tc>
          <w:tcPr>
            <w:tcW w:w="1100" w:type="dxa"/>
            <w:tcBorders>
              <w:top w:val="single" w:sz="8" w:space="0" w:color="auto"/>
              <w:left w:val="single" w:sz="8" w:space="0" w:color="auto"/>
              <w:bottom w:val="nil"/>
              <w:right w:val="single" w:sz="8" w:space="0" w:color="auto"/>
            </w:tcBorders>
            <w:tcMar>
              <w:left w:w="70" w:type="dxa"/>
              <w:right w:w="70" w:type="dxa"/>
            </w:tcMar>
          </w:tcPr>
          <w:p w14:paraId="2805ABEF" w14:textId="77777777" w:rsidR="00662C97" w:rsidRPr="00AE3E40" w:rsidRDefault="00662C97" w:rsidP="007F4A51">
            <w:pPr>
              <w:spacing w:after="0" w:line="257" w:lineRule="auto"/>
              <w:jc w:val="right"/>
              <w:rPr>
                <w:rFonts w:ascii="Calibri" w:eastAsia="Calibri" w:hAnsi="Calibri" w:cs="Calibri"/>
                <w:b/>
                <w:color w:val="FF0000"/>
                <w:sz w:val="20"/>
                <w:szCs w:val="20"/>
              </w:rPr>
            </w:pPr>
            <w:r w:rsidRPr="006B6D61">
              <w:rPr>
                <w:rFonts w:ascii="Calibri" w:eastAsia="Calibri" w:hAnsi="Calibri" w:cs="Calibri"/>
                <w:b/>
                <w:bCs/>
                <w:sz w:val="20"/>
                <w:szCs w:val="20"/>
              </w:rPr>
              <w:t>4 500</w:t>
            </w:r>
          </w:p>
        </w:tc>
        <w:tc>
          <w:tcPr>
            <w:tcW w:w="1100" w:type="dxa"/>
            <w:tcBorders>
              <w:top w:val="single" w:sz="8" w:space="0" w:color="auto"/>
              <w:left w:val="single" w:sz="8" w:space="0" w:color="auto"/>
              <w:bottom w:val="nil"/>
              <w:right w:val="single" w:sz="8" w:space="0" w:color="auto"/>
            </w:tcBorders>
            <w:tcMar>
              <w:left w:w="70" w:type="dxa"/>
              <w:right w:w="70" w:type="dxa"/>
            </w:tcMar>
          </w:tcPr>
          <w:p w14:paraId="7CA1B38E" w14:textId="3DCBB66C" w:rsidR="00662C97" w:rsidRPr="00AE3E40" w:rsidRDefault="00662C97" w:rsidP="007F4A51">
            <w:pPr>
              <w:spacing w:after="0" w:line="257" w:lineRule="auto"/>
              <w:jc w:val="right"/>
              <w:rPr>
                <w:rFonts w:ascii="Calibri" w:eastAsia="Calibri" w:hAnsi="Calibri" w:cs="Calibri"/>
                <w:b/>
                <w:color w:val="FF0000"/>
                <w:sz w:val="20"/>
                <w:szCs w:val="20"/>
              </w:rPr>
            </w:pPr>
            <w:r w:rsidRPr="006B6D61">
              <w:rPr>
                <w:rFonts w:ascii="Calibri" w:eastAsia="Calibri" w:hAnsi="Calibri" w:cs="Calibri"/>
                <w:b/>
                <w:bCs/>
                <w:sz w:val="20"/>
                <w:szCs w:val="20"/>
              </w:rPr>
              <w:t xml:space="preserve">13 </w:t>
            </w:r>
            <w:r w:rsidR="005E06A5" w:rsidRPr="006B6D61">
              <w:rPr>
                <w:rFonts w:ascii="Calibri" w:eastAsia="Calibri" w:hAnsi="Calibri" w:cs="Calibri"/>
                <w:b/>
                <w:bCs/>
                <w:sz w:val="20"/>
                <w:szCs w:val="20"/>
              </w:rPr>
              <w:t>97</w:t>
            </w:r>
            <w:r w:rsidR="005E06A5">
              <w:rPr>
                <w:rFonts w:ascii="Calibri" w:eastAsia="Calibri" w:hAnsi="Calibri" w:cs="Calibri"/>
                <w:b/>
                <w:bCs/>
                <w:sz w:val="20"/>
                <w:szCs w:val="20"/>
              </w:rPr>
              <w:t>9</w:t>
            </w:r>
          </w:p>
        </w:tc>
        <w:tc>
          <w:tcPr>
            <w:tcW w:w="1100" w:type="dxa"/>
            <w:tcBorders>
              <w:top w:val="single" w:sz="8" w:space="0" w:color="auto"/>
              <w:left w:val="single" w:sz="8" w:space="0" w:color="auto"/>
              <w:bottom w:val="nil"/>
              <w:right w:val="single" w:sz="8" w:space="0" w:color="auto"/>
            </w:tcBorders>
            <w:tcMar>
              <w:left w:w="70" w:type="dxa"/>
              <w:right w:w="70" w:type="dxa"/>
            </w:tcMar>
            <w:vAlign w:val="center"/>
          </w:tcPr>
          <w:p w14:paraId="62725694" w14:textId="77777777" w:rsidR="00662C97" w:rsidRPr="00AE3E40" w:rsidRDefault="00662C97" w:rsidP="007F4A51">
            <w:pPr>
              <w:spacing w:after="0" w:line="257" w:lineRule="auto"/>
              <w:jc w:val="right"/>
              <w:rPr>
                <w:rFonts w:ascii="Calibri" w:eastAsia="Calibri" w:hAnsi="Calibri" w:cs="Calibri"/>
                <w:b/>
                <w:sz w:val="20"/>
                <w:szCs w:val="20"/>
              </w:rPr>
            </w:pPr>
            <w:r w:rsidRPr="006B6D61">
              <w:rPr>
                <w:rFonts w:ascii="Calibri" w:eastAsia="Calibri" w:hAnsi="Calibri" w:cs="Calibri"/>
                <w:b/>
                <w:bCs/>
                <w:sz w:val="20"/>
                <w:szCs w:val="20"/>
              </w:rPr>
              <w:t>9 470</w:t>
            </w:r>
          </w:p>
        </w:tc>
        <w:tc>
          <w:tcPr>
            <w:tcW w:w="733" w:type="dxa"/>
            <w:tcBorders>
              <w:top w:val="single" w:sz="8" w:space="0" w:color="auto"/>
              <w:left w:val="single" w:sz="8" w:space="0" w:color="auto"/>
              <w:bottom w:val="nil"/>
              <w:right w:val="single" w:sz="8" w:space="0" w:color="auto"/>
            </w:tcBorders>
            <w:tcMar>
              <w:left w:w="70" w:type="dxa"/>
              <w:right w:w="70" w:type="dxa"/>
            </w:tcMar>
            <w:vAlign w:val="center"/>
          </w:tcPr>
          <w:p w14:paraId="57705FAE" w14:textId="77777777" w:rsidR="00662C97" w:rsidRPr="00DC2CB8" w:rsidRDefault="00662C97" w:rsidP="007F4A51">
            <w:pPr>
              <w:spacing w:after="0" w:line="257" w:lineRule="auto"/>
              <w:jc w:val="right"/>
              <w:rPr>
                <w:rFonts w:ascii="Calibri" w:eastAsia="Calibri" w:hAnsi="Calibri" w:cs="Calibri"/>
                <w:b/>
                <w:bCs/>
                <w:sz w:val="20"/>
                <w:szCs w:val="20"/>
              </w:rPr>
            </w:pPr>
            <w:r w:rsidRPr="00DC2CB8">
              <w:rPr>
                <w:rFonts w:ascii="Calibri" w:eastAsia="Calibri" w:hAnsi="Calibri" w:cs="Calibri"/>
                <w:b/>
                <w:bCs/>
                <w:sz w:val="20"/>
                <w:szCs w:val="20"/>
              </w:rPr>
              <w:t>129,7</w:t>
            </w:r>
          </w:p>
        </w:tc>
      </w:tr>
      <w:tr w:rsidR="00662C97" w:rsidRPr="00D45EEF" w14:paraId="7CF74ECD" w14:textId="77777777" w:rsidTr="007F4A51">
        <w:trPr>
          <w:trHeight w:val="300"/>
        </w:trPr>
        <w:tc>
          <w:tcPr>
            <w:tcW w:w="2829" w:type="dxa"/>
            <w:tcBorders>
              <w:top w:val="nil"/>
              <w:left w:val="single" w:sz="8" w:space="0" w:color="auto"/>
              <w:bottom w:val="single" w:sz="8" w:space="0" w:color="auto"/>
              <w:right w:val="single" w:sz="8" w:space="0" w:color="auto"/>
            </w:tcBorders>
            <w:tcMar>
              <w:left w:w="70" w:type="dxa"/>
              <w:right w:w="70" w:type="dxa"/>
            </w:tcMar>
            <w:vAlign w:val="center"/>
          </w:tcPr>
          <w:p w14:paraId="3DBB9486" w14:textId="77777777" w:rsidR="00662C97" w:rsidRPr="000F6ACC" w:rsidRDefault="00662C97" w:rsidP="007F4A51">
            <w:pPr>
              <w:spacing w:after="0" w:line="257" w:lineRule="auto"/>
              <w:ind w:left="6" w:hanging="6"/>
              <w:rPr>
                <w:rFonts w:ascii="Calibri" w:eastAsia="Calibri" w:hAnsi="Calibri" w:cs="Calibri"/>
                <w:sz w:val="20"/>
                <w:szCs w:val="20"/>
              </w:rPr>
            </w:pPr>
            <w:r w:rsidRPr="000F6ACC">
              <w:rPr>
                <w:rFonts w:ascii="Calibri" w:eastAsia="Calibri" w:hAnsi="Calibri" w:cs="Calibri"/>
                <w:sz w:val="20"/>
                <w:szCs w:val="20"/>
              </w:rPr>
              <w:t>RISPF</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603DB630" w14:textId="77777777" w:rsidR="00662C97" w:rsidRPr="000F6ACC" w:rsidRDefault="00662C97" w:rsidP="007F4A51">
            <w:pPr>
              <w:spacing w:after="0" w:line="257" w:lineRule="auto"/>
              <w:jc w:val="right"/>
              <w:rPr>
                <w:rFonts w:ascii="Calibri" w:eastAsia="Calibri" w:hAnsi="Calibri" w:cs="Calibri"/>
                <w:sz w:val="20"/>
                <w:szCs w:val="20"/>
              </w:rPr>
            </w:pPr>
            <w:r w:rsidRPr="00FF6D64">
              <w:rPr>
                <w:rFonts w:ascii="Calibri" w:eastAsia="Calibri" w:hAnsi="Calibri" w:cs="Calibri"/>
                <w:sz w:val="20"/>
                <w:szCs w:val="20"/>
              </w:rPr>
              <w:t>7 304</w:t>
            </w:r>
          </w:p>
        </w:tc>
        <w:tc>
          <w:tcPr>
            <w:tcW w:w="1100" w:type="dxa"/>
            <w:tcBorders>
              <w:top w:val="nil"/>
              <w:left w:val="single" w:sz="8" w:space="0" w:color="auto"/>
              <w:bottom w:val="single" w:sz="8" w:space="0" w:color="auto"/>
              <w:right w:val="single" w:sz="8" w:space="0" w:color="auto"/>
            </w:tcBorders>
            <w:tcMar>
              <w:left w:w="70" w:type="dxa"/>
              <w:right w:w="70" w:type="dxa"/>
            </w:tcMar>
          </w:tcPr>
          <w:p w14:paraId="3A8343A7" w14:textId="77777777" w:rsidR="00662C97" w:rsidRPr="00DC2CB8" w:rsidRDefault="00662C97" w:rsidP="007F4A51">
            <w:pPr>
              <w:spacing w:after="0" w:line="257" w:lineRule="auto"/>
              <w:jc w:val="right"/>
              <w:rPr>
                <w:rFonts w:ascii="Calibri" w:eastAsia="Calibri" w:hAnsi="Calibri" w:cs="Calibri"/>
                <w:color w:val="FF0000"/>
                <w:sz w:val="20"/>
                <w:szCs w:val="20"/>
              </w:rPr>
            </w:pPr>
            <w:r w:rsidRPr="008F461B">
              <w:rPr>
                <w:rFonts w:ascii="Calibri" w:eastAsia="Calibri" w:hAnsi="Calibri" w:cs="Calibri"/>
                <w:sz w:val="20"/>
                <w:szCs w:val="20"/>
              </w:rPr>
              <w:t>6 800</w:t>
            </w:r>
          </w:p>
        </w:tc>
        <w:tc>
          <w:tcPr>
            <w:tcW w:w="1100" w:type="dxa"/>
            <w:tcBorders>
              <w:top w:val="nil"/>
              <w:left w:val="single" w:sz="8" w:space="0" w:color="auto"/>
              <w:bottom w:val="single" w:sz="8" w:space="0" w:color="auto"/>
              <w:right w:val="single" w:sz="8" w:space="0" w:color="auto"/>
            </w:tcBorders>
            <w:tcMar>
              <w:left w:w="70" w:type="dxa"/>
              <w:right w:w="70" w:type="dxa"/>
            </w:tcMar>
          </w:tcPr>
          <w:p w14:paraId="58C72CF1" w14:textId="77777777" w:rsidR="00662C97" w:rsidRPr="00DC2CB8" w:rsidRDefault="00662C97" w:rsidP="007F4A51">
            <w:pPr>
              <w:spacing w:after="0" w:line="257" w:lineRule="auto"/>
              <w:jc w:val="right"/>
              <w:rPr>
                <w:rFonts w:ascii="Calibri" w:eastAsia="Calibri" w:hAnsi="Calibri" w:cs="Calibri"/>
                <w:color w:val="FF0000"/>
                <w:sz w:val="20"/>
                <w:szCs w:val="20"/>
              </w:rPr>
            </w:pPr>
            <w:r w:rsidRPr="00EE4BC0">
              <w:rPr>
                <w:rFonts w:ascii="Calibri" w:eastAsia="Calibri" w:hAnsi="Calibri" w:cs="Calibri"/>
                <w:sz w:val="20"/>
                <w:szCs w:val="20"/>
              </w:rPr>
              <w:t>4 500</w:t>
            </w:r>
          </w:p>
        </w:tc>
        <w:tc>
          <w:tcPr>
            <w:tcW w:w="1100" w:type="dxa"/>
            <w:tcBorders>
              <w:top w:val="nil"/>
              <w:left w:val="single" w:sz="8" w:space="0" w:color="auto"/>
              <w:bottom w:val="single" w:sz="8" w:space="0" w:color="auto"/>
              <w:right w:val="single" w:sz="8" w:space="0" w:color="auto"/>
            </w:tcBorders>
            <w:tcMar>
              <w:left w:w="70" w:type="dxa"/>
              <w:right w:w="70" w:type="dxa"/>
            </w:tcMar>
          </w:tcPr>
          <w:p w14:paraId="6C13FA22" w14:textId="4B2228CC" w:rsidR="00662C97" w:rsidRPr="00DC2CB8" w:rsidRDefault="00662C97" w:rsidP="007F4A51">
            <w:pPr>
              <w:spacing w:after="0" w:line="257" w:lineRule="auto"/>
              <w:jc w:val="right"/>
              <w:rPr>
                <w:rFonts w:ascii="Calibri" w:eastAsia="Calibri" w:hAnsi="Calibri" w:cs="Calibri"/>
                <w:color w:val="FF0000"/>
                <w:sz w:val="20"/>
                <w:szCs w:val="20"/>
              </w:rPr>
            </w:pPr>
            <w:r w:rsidRPr="00800296">
              <w:rPr>
                <w:rFonts w:ascii="Calibri" w:eastAsia="Calibri" w:hAnsi="Calibri" w:cs="Calibri"/>
                <w:sz w:val="20"/>
                <w:szCs w:val="20"/>
              </w:rPr>
              <w:t xml:space="preserve">13 </w:t>
            </w:r>
            <w:r w:rsidR="005E06A5" w:rsidRPr="00800296">
              <w:rPr>
                <w:rFonts w:ascii="Calibri" w:eastAsia="Calibri" w:hAnsi="Calibri" w:cs="Calibri"/>
                <w:sz w:val="20"/>
                <w:szCs w:val="20"/>
              </w:rPr>
              <w:t>97</w:t>
            </w:r>
            <w:r w:rsidR="005E06A5">
              <w:rPr>
                <w:rFonts w:ascii="Calibri" w:eastAsia="Calibri" w:hAnsi="Calibri" w:cs="Calibri"/>
                <w:sz w:val="20"/>
                <w:szCs w:val="20"/>
              </w:rPr>
              <w:t>9</w:t>
            </w:r>
          </w:p>
        </w:tc>
        <w:tc>
          <w:tcPr>
            <w:tcW w:w="1100" w:type="dxa"/>
            <w:tcBorders>
              <w:top w:val="nil"/>
              <w:left w:val="single" w:sz="8" w:space="0" w:color="auto"/>
              <w:bottom w:val="single" w:sz="8" w:space="0" w:color="auto"/>
              <w:right w:val="single" w:sz="8" w:space="0" w:color="auto"/>
            </w:tcBorders>
            <w:tcMar>
              <w:left w:w="70" w:type="dxa"/>
              <w:right w:w="70" w:type="dxa"/>
            </w:tcMar>
            <w:vAlign w:val="center"/>
          </w:tcPr>
          <w:p w14:paraId="556FC95C" w14:textId="77777777" w:rsidR="00662C97" w:rsidRPr="000F6ACC" w:rsidRDefault="00662C97" w:rsidP="007F4A51">
            <w:pPr>
              <w:spacing w:after="0" w:line="257" w:lineRule="auto"/>
              <w:jc w:val="right"/>
              <w:rPr>
                <w:rFonts w:ascii="Calibri" w:eastAsia="Calibri" w:hAnsi="Calibri" w:cs="Calibri"/>
                <w:sz w:val="20"/>
                <w:szCs w:val="20"/>
              </w:rPr>
            </w:pPr>
            <w:r>
              <w:rPr>
                <w:rFonts w:ascii="Calibri" w:eastAsia="Calibri" w:hAnsi="Calibri" w:cs="Calibri"/>
                <w:sz w:val="20"/>
                <w:szCs w:val="20"/>
              </w:rPr>
              <w:t>9 470</w:t>
            </w:r>
          </w:p>
        </w:tc>
        <w:tc>
          <w:tcPr>
            <w:tcW w:w="733" w:type="dxa"/>
            <w:tcBorders>
              <w:top w:val="nil"/>
              <w:left w:val="single" w:sz="8" w:space="0" w:color="auto"/>
              <w:bottom w:val="single" w:sz="8" w:space="0" w:color="auto"/>
              <w:right w:val="single" w:sz="8" w:space="0" w:color="auto"/>
            </w:tcBorders>
            <w:tcMar>
              <w:left w:w="70" w:type="dxa"/>
              <w:right w:w="70" w:type="dxa"/>
            </w:tcMar>
            <w:vAlign w:val="center"/>
          </w:tcPr>
          <w:p w14:paraId="3C8CB48D" w14:textId="77777777" w:rsidR="00662C97" w:rsidRPr="000174EA" w:rsidRDefault="00662C97" w:rsidP="007F4A51">
            <w:pPr>
              <w:spacing w:after="0" w:line="257" w:lineRule="auto"/>
              <w:jc w:val="right"/>
              <w:rPr>
                <w:rFonts w:ascii="Calibri" w:eastAsia="Calibri" w:hAnsi="Calibri" w:cs="Calibri"/>
                <w:sz w:val="20"/>
                <w:szCs w:val="20"/>
              </w:rPr>
            </w:pPr>
            <w:r w:rsidRPr="00DC2CB8">
              <w:rPr>
                <w:rFonts w:ascii="Calibri" w:eastAsia="Calibri" w:hAnsi="Calibri" w:cs="Calibri"/>
                <w:sz w:val="20"/>
                <w:szCs w:val="20"/>
              </w:rPr>
              <w:t>129,7</w:t>
            </w:r>
          </w:p>
        </w:tc>
      </w:tr>
    </w:tbl>
    <w:p w14:paraId="2DB947AE" w14:textId="34B1C294" w:rsidR="00F55C38" w:rsidRPr="006B6D61" w:rsidRDefault="00F55C38" w:rsidP="00F55C38">
      <w:pPr>
        <w:pStyle w:val="KOMtext"/>
        <w:rPr>
          <w:rFonts w:eastAsiaTheme="majorEastAsia" w:cstheme="minorHAnsi"/>
          <w:b/>
          <w:szCs w:val="24"/>
          <w:u w:val="single"/>
          <w:lang w:eastAsia="en-US"/>
        </w:rPr>
      </w:pPr>
      <w:r w:rsidRPr="00CD3B25">
        <w:t xml:space="preserve">Schválený rozpočet Úřadu pro civilní letectví byl ve výši </w:t>
      </w:r>
      <w:r w:rsidR="008270EE">
        <w:t>203 395</w:t>
      </w:r>
      <w:r w:rsidRPr="00CD3B25">
        <w:t xml:space="preserve"> tis. Kč. </w:t>
      </w:r>
      <w:r w:rsidRPr="00C36A1F">
        <w:t xml:space="preserve">V průběhu roku </w:t>
      </w:r>
      <w:r w:rsidR="00DC79C4">
        <w:t xml:space="preserve">2023 </w:t>
      </w:r>
      <w:r w:rsidR="00401D19">
        <w:t>nebyl rozpočet upravován</w:t>
      </w:r>
      <w:r w:rsidRPr="00C36A1F">
        <w:t xml:space="preserve">. Skutečné čerpání bylo ve výši </w:t>
      </w:r>
      <w:r w:rsidR="000F6FD0" w:rsidRPr="006B6D61">
        <w:rPr>
          <w:rFonts w:cstheme="minorHAnsi"/>
        </w:rPr>
        <w:t>209 501</w:t>
      </w:r>
      <w:r w:rsidRPr="00C36A1F">
        <w:rPr>
          <w:rFonts w:cstheme="minorHAnsi"/>
        </w:rPr>
        <w:t xml:space="preserve"> tis. Kč, tj. </w:t>
      </w:r>
      <w:r w:rsidR="0041650B">
        <w:rPr>
          <w:rFonts w:cstheme="minorHAnsi"/>
        </w:rPr>
        <w:t>103</w:t>
      </w:r>
      <w:r w:rsidR="003A3B52">
        <w:rPr>
          <w:rFonts w:cstheme="minorHAnsi"/>
        </w:rPr>
        <w:t>,0</w:t>
      </w:r>
      <w:r w:rsidRPr="00C36A1F">
        <w:rPr>
          <w:rFonts w:cstheme="minorHAnsi"/>
        </w:rPr>
        <w:t xml:space="preserve"> % rozpočtu po změnách, a to </w:t>
      </w:r>
      <w:r w:rsidRPr="006B6D61">
        <w:rPr>
          <w:rFonts w:cstheme="minorHAnsi"/>
        </w:rPr>
        <w:t xml:space="preserve">včetně čerpání nároků z nespotřebovaných výdajů ve výši </w:t>
      </w:r>
      <w:r w:rsidR="00545BFB" w:rsidRPr="006B6D61">
        <w:rPr>
          <w:rFonts w:cstheme="minorHAnsi"/>
        </w:rPr>
        <w:t>31 361</w:t>
      </w:r>
      <w:r w:rsidRPr="006B6D61">
        <w:rPr>
          <w:rFonts w:cstheme="minorHAnsi"/>
        </w:rPr>
        <w:t xml:space="preserve"> tis. Kč</w:t>
      </w:r>
      <w:r w:rsidR="009C16F6" w:rsidRPr="00C36A1F">
        <w:rPr>
          <w:rFonts w:cstheme="minorHAnsi"/>
        </w:rPr>
        <w:t>.</w:t>
      </w:r>
      <w:r w:rsidR="000A4D65" w:rsidRPr="00C36A1F">
        <w:t xml:space="preserve"> </w:t>
      </w:r>
      <w:r w:rsidRPr="00C36A1F">
        <w:t xml:space="preserve">Oproti roku 2022 došlo ke </w:t>
      </w:r>
      <w:r w:rsidR="00AA6F4A" w:rsidRPr="006B6D61">
        <w:t>sníže</w:t>
      </w:r>
      <w:r w:rsidRPr="00C36A1F">
        <w:t xml:space="preserve">ní čerpaných výdajů o </w:t>
      </w:r>
      <w:r w:rsidR="00C8761C">
        <w:t>2 975</w:t>
      </w:r>
      <w:r w:rsidRPr="006B6D61">
        <w:t xml:space="preserve"> </w:t>
      </w:r>
      <w:r w:rsidRPr="00C36A1F">
        <w:t>tis. Kč,</w:t>
      </w:r>
      <w:r w:rsidRPr="006B6D61">
        <w:t xml:space="preserve"> tj. o </w:t>
      </w:r>
      <w:r w:rsidR="005745DA" w:rsidRPr="006B6D61">
        <w:t>1,4</w:t>
      </w:r>
      <w:r w:rsidRPr="006B6D61">
        <w:t xml:space="preserve"> %. </w:t>
      </w:r>
      <w:r w:rsidR="005745DA" w:rsidRPr="006B6D61">
        <w:t>Sníže</w:t>
      </w:r>
      <w:r w:rsidR="00ED467D" w:rsidRPr="00C36A1F">
        <w:t xml:space="preserve">né </w:t>
      </w:r>
      <w:r w:rsidRPr="00C36A1F">
        <w:t xml:space="preserve">výdaje se týkaly </w:t>
      </w:r>
      <w:r w:rsidR="009177CE" w:rsidRPr="00C36A1F">
        <w:t>především</w:t>
      </w:r>
      <w:r w:rsidRPr="006B6D61">
        <w:t xml:space="preserve"> výdajů na </w:t>
      </w:r>
      <w:r w:rsidR="00845E04" w:rsidRPr="006B6D61">
        <w:t>p</w:t>
      </w:r>
      <w:r w:rsidR="00845E04" w:rsidRPr="00C36A1F">
        <w:rPr>
          <w:rFonts w:cs="Arial"/>
        </w:rPr>
        <w:t>rogramové vybavení, výpočetní a kancelářskou techniku</w:t>
      </w:r>
      <w:r w:rsidR="007E0181" w:rsidRPr="00C36A1F">
        <w:rPr>
          <w:rFonts w:cs="Arial"/>
        </w:rPr>
        <w:t xml:space="preserve"> </w:t>
      </w:r>
      <w:r w:rsidR="002435E9">
        <w:rPr>
          <w:rFonts w:cs="Arial"/>
        </w:rPr>
        <w:br/>
      </w:r>
      <w:r w:rsidR="007E0181" w:rsidRPr="00C36A1F">
        <w:rPr>
          <w:rFonts w:cs="Arial"/>
        </w:rPr>
        <w:t>a na elektronickou spisovou službu, s předpokládaným ukončením v roce 2024.</w:t>
      </w:r>
      <w:r w:rsidR="00660362">
        <w:rPr>
          <w:rFonts w:cs="Arial"/>
        </w:rPr>
        <w:t xml:space="preserve"> </w:t>
      </w:r>
    </w:p>
    <w:p w14:paraId="43222A65" w14:textId="77777777" w:rsidR="005A4F4C" w:rsidRPr="00DC2CB8" w:rsidRDefault="005A4F4C" w:rsidP="008A0E44">
      <w:pPr>
        <w:pStyle w:val="KOMnadp4"/>
      </w:pPr>
      <w:r w:rsidRPr="00DC2CB8">
        <w:t>Běžné</w:t>
      </w:r>
      <w:r w:rsidRPr="00DC2CB8" w:rsidDel="009F43F6">
        <w:t xml:space="preserve"> výdaje</w:t>
      </w:r>
      <w:r w:rsidRPr="00DC2CB8">
        <w:t xml:space="preserve"> </w:t>
      </w:r>
    </w:p>
    <w:p w14:paraId="10C14A13" w14:textId="22827D09" w:rsidR="005A4F4C" w:rsidRPr="001857EB" w:rsidRDefault="005A4F4C" w:rsidP="005A4F4C">
      <w:pPr>
        <w:pStyle w:val="KOMtext"/>
        <w:rPr>
          <w:color w:val="FF0000"/>
        </w:rPr>
      </w:pPr>
      <w:r w:rsidRPr="00054EA0">
        <w:t>Schválený rozpočet ve výši</w:t>
      </w:r>
      <w:r w:rsidRPr="006B6D61">
        <w:t xml:space="preserve"> </w:t>
      </w:r>
      <w:r w:rsidRPr="00054EA0">
        <w:t xml:space="preserve">196 595 tis. Kč byl v průběhu roku navýšen </w:t>
      </w:r>
      <w:r w:rsidR="00DA6380" w:rsidRPr="00054EA0">
        <w:t xml:space="preserve">o </w:t>
      </w:r>
      <w:r w:rsidR="001F17CB">
        <w:t>2 300</w:t>
      </w:r>
      <w:r w:rsidRPr="00054EA0">
        <w:t xml:space="preserve"> tis. Kč na částku </w:t>
      </w:r>
      <w:r w:rsidR="008065CA">
        <w:t>198 895</w:t>
      </w:r>
      <w:r w:rsidRPr="00054EA0">
        <w:t xml:space="preserve"> tis. Kč</w:t>
      </w:r>
      <w:r w:rsidRPr="006B6D61">
        <w:t xml:space="preserve">. </w:t>
      </w:r>
      <w:r w:rsidR="00424852">
        <w:t>Důvodem navýšení bylo posílení běžných výdajů</w:t>
      </w:r>
      <w:r w:rsidR="00A40BCD">
        <w:t xml:space="preserve"> z kapitálových výdajů</w:t>
      </w:r>
      <w:r w:rsidR="00A052F2">
        <w:t xml:space="preserve"> </w:t>
      </w:r>
      <w:r w:rsidR="005A269B">
        <w:br/>
      </w:r>
      <w:r w:rsidR="00AF7CB5">
        <w:t xml:space="preserve">u investiční akce </w:t>
      </w:r>
      <w:r w:rsidR="00AF7CB5" w:rsidRPr="00AF7CB5">
        <w:t>Elektronická spisová služb</w:t>
      </w:r>
      <w:r w:rsidR="00AF7CB5">
        <w:t>a</w:t>
      </w:r>
      <w:r w:rsidR="00015BCE">
        <w:t xml:space="preserve"> u výdajů </w:t>
      </w:r>
      <w:r w:rsidR="005B2156">
        <w:t>vedených v informačním systému</w:t>
      </w:r>
      <w:r w:rsidR="00626CE5">
        <w:t xml:space="preserve"> programového financování</w:t>
      </w:r>
      <w:r w:rsidR="003368BC">
        <w:t xml:space="preserve"> EDS/SMVS</w:t>
      </w:r>
      <w:r w:rsidRPr="00054EA0">
        <w:t xml:space="preserve">. Běžné výdaje byly čerpané ve výši </w:t>
      </w:r>
      <w:r w:rsidR="00054EA0" w:rsidRPr="006B6D61">
        <w:t xml:space="preserve">200 031 </w:t>
      </w:r>
      <w:r w:rsidRPr="00054EA0">
        <w:t xml:space="preserve">tis. </w:t>
      </w:r>
      <w:r w:rsidRPr="00556763">
        <w:t xml:space="preserve">Kč, </w:t>
      </w:r>
      <w:r w:rsidR="002435E9">
        <w:br/>
      </w:r>
      <w:r w:rsidRPr="00556763">
        <w:t xml:space="preserve">tj. </w:t>
      </w:r>
      <w:r w:rsidR="00392045">
        <w:t>100,6</w:t>
      </w:r>
      <w:r w:rsidR="00814898" w:rsidRPr="008F0711">
        <w:t xml:space="preserve"> </w:t>
      </w:r>
      <w:r w:rsidRPr="008F0711">
        <w:t xml:space="preserve">% rozpočtu po změnách, </w:t>
      </w:r>
      <w:r w:rsidRPr="006B6D61">
        <w:t xml:space="preserve">a to včetně čerpání nároků z nespotřebovaných výdajů ve výši </w:t>
      </w:r>
      <w:r w:rsidR="005E43C0" w:rsidRPr="006B6D61">
        <w:t>21 891</w:t>
      </w:r>
      <w:r w:rsidRPr="006B6D61">
        <w:t xml:space="preserve"> tis. Kč.  </w:t>
      </w:r>
    </w:p>
    <w:p w14:paraId="62436529" w14:textId="030390E0" w:rsidR="005A4F4C" w:rsidRPr="001857EB" w:rsidRDefault="005A4F4C" w:rsidP="005A4F4C">
      <w:pPr>
        <w:pStyle w:val="KOMtext"/>
        <w:rPr>
          <w:color w:val="FF0000"/>
        </w:rPr>
      </w:pPr>
      <w:r w:rsidRPr="008F0711">
        <w:t xml:space="preserve">Čerpání prostředků běžných výdajů tvořily </w:t>
      </w:r>
      <w:r w:rsidRPr="006B6D61">
        <w:t xml:space="preserve">zejména výdaje na platy zaměstnanců a ostatní platby za provedenou práci a s tím související povinné platby (pojistné a převod FKSP), které se podílely na celkovém objemu čerpání běžných výdajů </w:t>
      </w:r>
      <w:r w:rsidR="009D7329">
        <w:t>77,6</w:t>
      </w:r>
      <w:r w:rsidR="009D7329" w:rsidRPr="007259E8">
        <w:rPr>
          <w:rFonts w:cs="Arial"/>
        </w:rPr>
        <w:t xml:space="preserve"> </w:t>
      </w:r>
      <w:r w:rsidR="00964534" w:rsidRPr="007259E8">
        <w:rPr>
          <w:rFonts w:cs="Arial"/>
        </w:rPr>
        <w:t xml:space="preserve">% </w:t>
      </w:r>
      <w:r w:rsidRPr="006B6D61">
        <w:t>(tj. ve výši 1</w:t>
      </w:r>
      <w:r w:rsidR="0080173F">
        <w:t>5</w:t>
      </w:r>
      <w:r w:rsidRPr="006B6D61">
        <w:t>5</w:t>
      </w:r>
      <w:r w:rsidR="00093D7A" w:rsidRPr="006B6D61">
        <w:t xml:space="preserve"> </w:t>
      </w:r>
      <w:r w:rsidR="007C0B7B">
        <w:t>28</w:t>
      </w:r>
      <w:r w:rsidR="00D05A58">
        <w:t>6</w:t>
      </w:r>
      <w:r w:rsidRPr="006B6D61">
        <w:t xml:space="preserve"> tis. Kč). </w:t>
      </w:r>
    </w:p>
    <w:p w14:paraId="08CDF37C" w14:textId="458CBF43" w:rsidR="005A4F4C" w:rsidRPr="006B6D61" w:rsidRDefault="005A4F4C" w:rsidP="005A4F4C">
      <w:pPr>
        <w:pStyle w:val="KOMtext"/>
      </w:pPr>
      <w:r w:rsidRPr="008B6F74">
        <w:t xml:space="preserve">Prostředky byly v průběhu </w:t>
      </w:r>
      <w:r w:rsidR="00223811">
        <w:t xml:space="preserve">roku </w:t>
      </w:r>
      <w:r w:rsidR="00223811" w:rsidRPr="00C931B2">
        <w:t>čerpané</w:t>
      </w:r>
      <w:r w:rsidR="00223811" w:rsidRPr="0040611C">
        <w:t xml:space="preserve"> relativně rovnoměrně</w:t>
      </w:r>
      <w:r w:rsidR="00223811">
        <w:t xml:space="preserve">, ale </w:t>
      </w:r>
      <w:r w:rsidRPr="006B6D61">
        <w:t xml:space="preserve">nejvyšší čerpání </w:t>
      </w:r>
      <w:r w:rsidR="00F400E5">
        <w:br/>
      </w:r>
      <w:r w:rsidRPr="006B6D61">
        <w:t xml:space="preserve">se uskutečnilo ve </w:t>
      </w:r>
      <w:r w:rsidR="00FB106A">
        <w:t>4</w:t>
      </w:r>
      <w:r w:rsidRPr="006B6D61">
        <w:t xml:space="preserve">. čtvrtletí, podíl činil </w:t>
      </w:r>
      <w:r w:rsidR="00FB106A" w:rsidRPr="006B6D61">
        <w:t>34,91</w:t>
      </w:r>
      <w:r w:rsidR="007629CD" w:rsidRPr="006B6D61">
        <w:t xml:space="preserve"> </w:t>
      </w:r>
      <w:r w:rsidRPr="006B6D61">
        <w:t xml:space="preserve">%. </w:t>
      </w:r>
      <w:r w:rsidRPr="008F0711">
        <w:t>V rámci ostatních běžných výdajů byly nejvýznamnější výdaje</w:t>
      </w:r>
      <w:r w:rsidRPr="006B6D61">
        <w:t xml:space="preserve"> na nákup služeb (servisní zajištění provozuschopnosti informačních technologií, podpora informačního systému, školení a vzdělávání zaměstnanců) a výdaje </w:t>
      </w:r>
      <w:r w:rsidR="002435E9">
        <w:br/>
      </w:r>
      <w:r w:rsidRPr="006B6D61">
        <w:t>na opravy a udržování.</w:t>
      </w:r>
    </w:p>
    <w:p w14:paraId="2480A912" w14:textId="77777777" w:rsidR="00F377E8" w:rsidRPr="00DC2CB8" w:rsidRDefault="00F377E8" w:rsidP="008A0E44">
      <w:pPr>
        <w:pStyle w:val="KOMnadp4"/>
      </w:pPr>
      <w:r w:rsidRPr="00DC2CB8">
        <w:t>Kapitálové výdaje</w:t>
      </w:r>
    </w:p>
    <w:p w14:paraId="1DF110C9" w14:textId="37485119" w:rsidR="000B5C5B" w:rsidRPr="00DC2CB8" w:rsidRDefault="00F377E8" w:rsidP="006B6D61">
      <w:pPr>
        <w:spacing w:beforeLines="100" w:before="240" w:line="276" w:lineRule="auto"/>
        <w:jc w:val="both"/>
        <w:rPr>
          <w:color w:val="FF0000"/>
          <w:sz w:val="24"/>
          <w:szCs w:val="24"/>
        </w:rPr>
      </w:pPr>
      <w:r w:rsidRPr="00964EBC">
        <w:rPr>
          <w:sz w:val="24"/>
          <w:szCs w:val="24"/>
        </w:rPr>
        <w:t xml:space="preserve">Schválený objem kapitálových výdajů ve </w:t>
      </w:r>
      <w:r w:rsidRPr="006B6D61">
        <w:rPr>
          <w:sz w:val="24"/>
          <w:szCs w:val="24"/>
        </w:rPr>
        <w:t xml:space="preserve">výši </w:t>
      </w:r>
      <w:r w:rsidR="00CA03F4" w:rsidRPr="00964EBC">
        <w:rPr>
          <w:sz w:val="24"/>
          <w:szCs w:val="24"/>
        </w:rPr>
        <w:t>6 800</w:t>
      </w:r>
      <w:r w:rsidR="008C6FE5" w:rsidRPr="006B6D61">
        <w:rPr>
          <w:sz w:val="24"/>
          <w:szCs w:val="24"/>
        </w:rPr>
        <w:t xml:space="preserve"> </w:t>
      </w:r>
      <w:r w:rsidRPr="006B6D61">
        <w:rPr>
          <w:sz w:val="24"/>
          <w:szCs w:val="24"/>
        </w:rPr>
        <w:t xml:space="preserve">tis. Kč byl v průběhu roku </w:t>
      </w:r>
      <w:r w:rsidR="00CA03F4" w:rsidRPr="006B6D61">
        <w:rPr>
          <w:sz w:val="24"/>
          <w:szCs w:val="24"/>
        </w:rPr>
        <w:t>sní</w:t>
      </w:r>
      <w:r w:rsidR="0092334F" w:rsidRPr="006B6D61">
        <w:rPr>
          <w:sz w:val="24"/>
          <w:szCs w:val="24"/>
        </w:rPr>
        <w:t>ž</w:t>
      </w:r>
      <w:r w:rsidR="00824609" w:rsidRPr="006B6D61">
        <w:rPr>
          <w:sz w:val="24"/>
          <w:szCs w:val="24"/>
        </w:rPr>
        <w:t xml:space="preserve">en </w:t>
      </w:r>
      <w:r w:rsidRPr="006B6D61">
        <w:rPr>
          <w:sz w:val="24"/>
          <w:szCs w:val="24"/>
        </w:rPr>
        <w:t xml:space="preserve">                                 o 2 </w:t>
      </w:r>
      <w:r w:rsidR="0092334F" w:rsidRPr="006B6D61">
        <w:rPr>
          <w:sz w:val="24"/>
          <w:szCs w:val="24"/>
        </w:rPr>
        <w:t>3</w:t>
      </w:r>
      <w:r w:rsidRPr="006B6D61">
        <w:rPr>
          <w:sz w:val="24"/>
          <w:szCs w:val="24"/>
        </w:rPr>
        <w:t>00 tis. Kč na 4 </w:t>
      </w:r>
      <w:r w:rsidR="0092334F" w:rsidRPr="006B6D61">
        <w:rPr>
          <w:sz w:val="24"/>
          <w:szCs w:val="24"/>
        </w:rPr>
        <w:t xml:space="preserve">500 </w:t>
      </w:r>
      <w:r w:rsidRPr="006B6D61">
        <w:rPr>
          <w:sz w:val="24"/>
          <w:szCs w:val="24"/>
        </w:rPr>
        <w:t>tis. Kč</w:t>
      </w:r>
      <w:r w:rsidR="002F3CD2" w:rsidRPr="006B6D61">
        <w:rPr>
          <w:sz w:val="24"/>
          <w:szCs w:val="24"/>
        </w:rPr>
        <w:t xml:space="preserve">. </w:t>
      </w:r>
      <w:r w:rsidRPr="006B6D61">
        <w:rPr>
          <w:sz w:val="24"/>
          <w:szCs w:val="24"/>
        </w:rPr>
        <w:t xml:space="preserve">Prostředky ve výši </w:t>
      </w:r>
      <w:r w:rsidR="00EF493B">
        <w:rPr>
          <w:sz w:val="24"/>
          <w:szCs w:val="24"/>
        </w:rPr>
        <w:t>4 500</w:t>
      </w:r>
      <w:r w:rsidRPr="006B6D61">
        <w:rPr>
          <w:sz w:val="24"/>
          <w:szCs w:val="24"/>
        </w:rPr>
        <w:t xml:space="preserve"> tis. Kč byly určeny v rámci programu </w:t>
      </w:r>
      <w:r w:rsidRPr="006B6D61">
        <w:rPr>
          <w:sz w:val="24"/>
          <w:szCs w:val="24"/>
        </w:rPr>
        <w:lastRenderedPageBreak/>
        <w:t xml:space="preserve">127 </w:t>
      </w:r>
      <w:r w:rsidR="00E41170">
        <w:rPr>
          <w:sz w:val="24"/>
          <w:szCs w:val="24"/>
        </w:rPr>
        <w:t>07</w:t>
      </w:r>
      <w:r w:rsidR="00E41170" w:rsidRPr="006B6D61">
        <w:rPr>
          <w:sz w:val="24"/>
          <w:szCs w:val="24"/>
        </w:rPr>
        <w:t xml:space="preserve"> </w:t>
      </w:r>
      <w:r w:rsidRPr="006B6D61">
        <w:rPr>
          <w:sz w:val="24"/>
          <w:szCs w:val="24"/>
        </w:rPr>
        <w:t>“</w:t>
      </w:r>
      <w:r w:rsidR="00362A50" w:rsidRPr="00362A50">
        <w:t xml:space="preserve"> </w:t>
      </w:r>
      <w:bookmarkStart w:id="762" w:name="_Hlk159427313"/>
      <w:r w:rsidRPr="00362A50">
        <w:rPr>
          <w:sz w:val="24"/>
          <w:szCs w:val="24"/>
        </w:rPr>
        <w:t xml:space="preserve">Rozvoj a obnova materiálně </w:t>
      </w:r>
      <w:r w:rsidR="00362A50" w:rsidRPr="00362A50">
        <w:rPr>
          <w:sz w:val="24"/>
          <w:szCs w:val="24"/>
        </w:rPr>
        <w:t xml:space="preserve">technické základny systému řízení </w:t>
      </w:r>
      <w:proofErr w:type="gramStart"/>
      <w:r w:rsidR="00362A50" w:rsidRPr="00362A50">
        <w:rPr>
          <w:sz w:val="24"/>
          <w:szCs w:val="24"/>
        </w:rPr>
        <w:t>MD - OSS</w:t>
      </w:r>
      <w:bookmarkEnd w:id="762"/>
      <w:proofErr w:type="gramEnd"/>
      <w:r w:rsidRPr="006B6D61">
        <w:rPr>
          <w:sz w:val="24"/>
          <w:szCs w:val="24"/>
        </w:rPr>
        <w:t xml:space="preserve">“ </w:t>
      </w:r>
      <w:r w:rsidR="00E87752">
        <w:rPr>
          <w:sz w:val="24"/>
          <w:szCs w:val="24"/>
        </w:rPr>
        <w:t xml:space="preserve">především </w:t>
      </w:r>
      <w:r w:rsidRPr="006B6D61">
        <w:rPr>
          <w:sz w:val="24"/>
          <w:szCs w:val="24"/>
        </w:rPr>
        <w:t xml:space="preserve">na pořízení </w:t>
      </w:r>
      <w:r w:rsidR="00AE0DFB" w:rsidRPr="006B6D61">
        <w:rPr>
          <w:sz w:val="24"/>
          <w:szCs w:val="24"/>
        </w:rPr>
        <w:t>elektronické spisové služby</w:t>
      </w:r>
      <w:r w:rsidR="00E87752">
        <w:rPr>
          <w:sz w:val="24"/>
          <w:szCs w:val="24"/>
        </w:rPr>
        <w:t xml:space="preserve"> a </w:t>
      </w:r>
      <w:r w:rsidR="000B23C6">
        <w:rPr>
          <w:sz w:val="24"/>
          <w:szCs w:val="24"/>
        </w:rPr>
        <w:t>fotovoltaickou elektrárnu</w:t>
      </w:r>
      <w:r w:rsidR="00A00DB2">
        <w:rPr>
          <w:rFonts w:cs="Arial"/>
          <w:szCs w:val="24"/>
        </w:rPr>
        <w:t xml:space="preserve">. </w:t>
      </w:r>
      <w:r w:rsidR="00C21636">
        <w:rPr>
          <w:rFonts w:cs="Arial"/>
          <w:szCs w:val="24"/>
        </w:rPr>
        <w:t xml:space="preserve"> </w:t>
      </w:r>
    </w:p>
    <w:p w14:paraId="58363A8F" w14:textId="5CCA4C81" w:rsidR="00C57949" w:rsidRPr="00C20C33" w:rsidRDefault="00F377E8" w:rsidP="006B6D61">
      <w:pPr>
        <w:spacing w:before="120" w:after="0" w:line="276" w:lineRule="auto"/>
        <w:jc w:val="both"/>
        <w:rPr>
          <w:color w:val="FF0000"/>
          <w:szCs w:val="24"/>
        </w:rPr>
      </w:pPr>
      <w:r w:rsidRPr="006B6D61">
        <w:rPr>
          <w:sz w:val="24"/>
          <w:szCs w:val="24"/>
        </w:rPr>
        <w:t xml:space="preserve">Organizační složka státu čerpala kapitálové výdaje ve výši </w:t>
      </w:r>
      <w:r w:rsidR="009016CE" w:rsidRPr="006B6D61">
        <w:rPr>
          <w:sz w:val="24"/>
          <w:szCs w:val="24"/>
        </w:rPr>
        <w:t>9 470</w:t>
      </w:r>
      <w:r w:rsidRPr="006B6D61">
        <w:rPr>
          <w:sz w:val="24"/>
          <w:szCs w:val="24"/>
        </w:rPr>
        <w:t xml:space="preserve"> tis. Kč</w:t>
      </w:r>
      <w:r w:rsidR="002E0F5A">
        <w:rPr>
          <w:sz w:val="24"/>
          <w:szCs w:val="24"/>
        </w:rPr>
        <w:t xml:space="preserve"> (vše</w:t>
      </w:r>
      <w:r w:rsidR="00567558">
        <w:rPr>
          <w:sz w:val="24"/>
          <w:szCs w:val="24"/>
        </w:rPr>
        <w:t xml:space="preserve"> nároky z</w:t>
      </w:r>
      <w:r w:rsidR="00E27E0B">
        <w:rPr>
          <w:sz w:val="24"/>
          <w:szCs w:val="24"/>
        </w:rPr>
        <w:t> </w:t>
      </w:r>
      <w:r w:rsidR="00ED6F96">
        <w:rPr>
          <w:sz w:val="24"/>
          <w:szCs w:val="24"/>
        </w:rPr>
        <w:t>nespotře</w:t>
      </w:r>
      <w:r w:rsidR="00E27E0B">
        <w:rPr>
          <w:sz w:val="24"/>
          <w:szCs w:val="24"/>
        </w:rPr>
        <w:t xml:space="preserve">bovaných výdajů </w:t>
      </w:r>
      <w:r w:rsidR="002231B1">
        <w:rPr>
          <w:sz w:val="24"/>
          <w:szCs w:val="24"/>
        </w:rPr>
        <w:t>minulých let</w:t>
      </w:r>
      <w:r w:rsidR="00567558">
        <w:rPr>
          <w:sz w:val="24"/>
          <w:szCs w:val="24"/>
        </w:rPr>
        <w:t>)</w:t>
      </w:r>
      <w:r w:rsidR="006003E9">
        <w:rPr>
          <w:sz w:val="24"/>
          <w:szCs w:val="24"/>
        </w:rPr>
        <w:t xml:space="preserve">. </w:t>
      </w:r>
      <w:r w:rsidR="002F73BD">
        <w:rPr>
          <w:sz w:val="24"/>
          <w:szCs w:val="24"/>
        </w:rPr>
        <w:t xml:space="preserve">Prostředky ve výši </w:t>
      </w:r>
      <w:r w:rsidR="0033124C">
        <w:rPr>
          <w:sz w:val="24"/>
          <w:szCs w:val="24"/>
        </w:rPr>
        <w:t>9 171 tis</w:t>
      </w:r>
      <w:r w:rsidR="00954423">
        <w:rPr>
          <w:sz w:val="24"/>
          <w:szCs w:val="24"/>
        </w:rPr>
        <w:t>. Kč</w:t>
      </w:r>
      <w:r w:rsidR="00273710">
        <w:rPr>
          <w:sz w:val="24"/>
          <w:szCs w:val="24"/>
        </w:rPr>
        <w:t xml:space="preserve">, z toho nároky </w:t>
      </w:r>
      <w:r w:rsidR="002435E9">
        <w:rPr>
          <w:sz w:val="24"/>
          <w:szCs w:val="24"/>
        </w:rPr>
        <w:br/>
      </w:r>
      <w:r w:rsidR="00273710">
        <w:rPr>
          <w:sz w:val="24"/>
          <w:szCs w:val="24"/>
        </w:rPr>
        <w:t>9</w:t>
      </w:r>
      <w:r w:rsidR="007E435A">
        <w:rPr>
          <w:sz w:val="24"/>
          <w:szCs w:val="24"/>
        </w:rPr>
        <w:t> 171 tis. Kč</w:t>
      </w:r>
      <w:r w:rsidR="00472EFE">
        <w:rPr>
          <w:sz w:val="24"/>
          <w:szCs w:val="24"/>
        </w:rPr>
        <w:t xml:space="preserve"> byly čerpány na akce související s</w:t>
      </w:r>
      <w:r w:rsidR="004C024A">
        <w:rPr>
          <w:sz w:val="24"/>
          <w:szCs w:val="24"/>
        </w:rPr>
        <w:t> </w:t>
      </w:r>
      <w:r w:rsidR="00AA74EA">
        <w:rPr>
          <w:sz w:val="24"/>
          <w:szCs w:val="24"/>
        </w:rPr>
        <w:t>ICT</w:t>
      </w:r>
      <w:r w:rsidR="004C024A">
        <w:rPr>
          <w:sz w:val="24"/>
          <w:szCs w:val="24"/>
        </w:rPr>
        <w:t xml:space="preserve"> </w:t>
      </w:r>
      <w:r w:rsidR="004D7BF4">
        <w:rPr>
          <w:sz w:val="24"/>
          <w:szCs w:val="24"/>
        </w:rPr>
        <w:t>–</w:t>
      </w:r>
      <w:r w:rsidR="004C024A">
        <w:rPr>
          <w:sz w:val="24"/>
          <w:szCs w:val="24"/>
        </w:rPr>
        <w:t xml:space="preserve"> po</w:t>
      </w:r>
      <w:r w:rsidR="004D7BF4">
        <w:rPr>
          <w:sz w:val="24"/>
          <w:szCs w:val="24"/>
        </w:rPr>
        <w:t xml:space="preserve">řízení </w:t>
      </w:r>
      <w:r w:rsidR="00E80348">
        <w:rPr>
          <w:sz w:val="24"/>
          <w:szCs w:val="24"/>
        </w:rPr>
        <w:t>výpočetní techniky</w:t>
      </w:r>
      <w:r w:rsidR="001363B2">
        <w:rPr>
          <w:sz w:val="24"/>
          <w:szCs w:val="24"/>
        </w:rPr>
        <w:t xml:space="preserve"> (serveru</w:t>
      </w:r>
      <w:r w:rsidR="00492E2C">
        <w:rPr>
          <w:sz w:val="24"/>
          <w:szCs w:val="24"/>
        </w:rPr>
        <w:t xml:space="preserve"> </w:t>
      </w:r>
      <w:r w:rsidR="002435E9">
        <w:rPr>
          <w:sz w:val="24"/>
          <w:szCs w:val="24"/>
        </w:rPr>
        <w:br/>
      </w:r>
      <w:r w:rsidR="00492E2C">
        <w:rPr>
          <w:sz w:val="24"/>
          <w:szCs w:val="24"/>
        </w:rPr>
        <w:t>a</w:t>
      </w:r>
      <w:r w:rsidR="001363B2">
        <w:rPr>
          <w:sz w:val="24"/>
          <w:szCs w:val="24"/>
        </w:rPr>
        <w:t xml:space="preserve"> diskových polí)</w:t>
      </w:r>
      <w:r w:rsidR="00C763E1">
        <w:rPr>
          <w:sz w:val="24"/>
          <w:szCs w:val="24"/>
        </w:rPr>
        <w:t xml:space="preserve">, na </w:t>
      </w:r>
      <w:r w:rsidR="00285BC7">
        <w:rPr>
          <w:sz w:val="24"/>
          <w:szCs w:val="24"/>
        </w:rPr>
        <w:t>obnovu programového vybavení</w:t>
      </w:r>
      <w:r w:rsidR="00BC7455">
        <w:rPr>
          <w:sz w:val="24"/>
          <w:szCs w:val="24"/>
        </w:rPr>
        <w:t xml:space="preserve">, elektronickou spisovou službu a </w:t>
      </w:r>
      <w:r w:rsidR="000440B8">
        <w:rPr>
          <w:sz w:val="24"/>
          <w:szCs w:val="24"/>
        </w:rPr>
        <w:t xml:space="preserve">nástroj pro řízení rizik a interního auditu. </w:t>
      </w:r>
      <w:r w:rsidR="00FB0C2B">
        <w:rPr>
          <w:sz w:val="24"/>
          <w:szCs w:val="24"/>
        </w:rPr>
        <w:t xml:space="preserve">Dále pak byly prostředky použity na </w:t>
      </w:r>
      <w:r w:rsidR="00AC2D2A">
        <w:rPr>
          <w:sz w:val="24"/>
          <w:szCs w:val="24"/>
        </w:rPr>
        <w:t xml:space="preserve">nákup </w:t>
      </w:r>
      <w:r w:rsidR="007D64CB">
        <w:rPr>
          <w:sz w:val="24"/>
          <w:szCs w:val="24"/>
        </w:rPr>
        <w:t>kancelářské techniky</w:t>
      </w:r>
      <w:r w:rsidR="00AC2D2A">
        <w:rPr>
          <w:sz w:val="24"/>
          <w:szCs w:val="24"/>
        </w:rPr>
        <w:t xml:space="preserve"> ve výši </w:t>
      </w:r>
      <w:r w:rsidR="008762EB">
        <w:rPr>
          <w:sz w:val="24"/>
          <w:szCs w:val="24"/>
        </w:rPr>
        <w:t>300 tis. Kč</w:t>
      </w:r>
      <w:r w:rsidR="00186F26">
        <w:rPr>
          <w:sz w:val="24"/>
          <w:szCs w:val="24"/>
        </w:rPr>
        <w:t xml:space="preserve">, z toho nároky 300 tis. Kč. </w:t>
      </w:r>
      <w:r w:rsidR="00F444EC">
        <w:rPr>
          <w:sz w:val="24"/>
          <w:szCs w:val="24"/>
        </w:rPr>
        <w:t>K nárůstu skutečného čerpání v roce 2023 oproti předchozímu roku došlo vlivem dokončování akcí, jejichž realizace</w:t>
      </w:r>
      <w:r w:rsidR="00A84458">
        <w:rPr>
          <w:sz w:val="24"/>
          <w:szCs w:val="24"/>
        </w:rPr>
        <w:t xml:space="preserve"> započ</w:t>
      </w:r>
      <w:r w:rsidR="005B31A4">
        <w:rPr>
          <w:sz w:val="24"/>
          <w:szCs w:val="24"/>
        </w:rPr>
        <w:t xml:space="preserve">ala v roce 2022. </w:t>
      </w:r>
    </w:p>
    <w:p w14:paraId="08E191C4" w14:textId="2E401FDF" w:rsidR="003755E7" w:rsidRPr="008D796C" w:rsidRDefault="00D61F01" w:rsidP="003755E7">
      <w:pPr>
        <w:pStyle w:val="KOMGrafy"/>
      </w:pPr>
      <w:r w:rsidRPr="008D796C">
        <w:t xml:space="preserve"> </w:t>
      </w:r>
      <w:bookmarkStart w:id="763" w:name="_Toc160457138"/>
      <w:r w:rsidR="003755E7" w:rsidRPr="008D796C">
        <w:t xml:space="preserve">Graf č. </w:t>
      </w:r>
      <w:r w:rsidR="003755E7" w:rsidRPr="008D796C">
        <w:rPr>
          <w:noProof/>
        </w:rPr>
        <w:fldChar w:fldCharType="begin"/>
      </w:r>
      <w:r w:rsidR="003755E7" w:rsidRPr="008D796C">
        <w:rPr>
          <w:noProof/>
        </w:rPr>
        <w:instrText xml:space="preserve"> SEQ Graf_č. \* ARABIC </w:instrText>
      </w:r>
      <w:r w:rsidR="003755E7" w:rsidRPr="008D796C">
        <w:rPr>
          <w:noProof/>
        </w:rPr>
        <w:fldChar w:fldCharType="separate"/>
      </w:r>
      <w:r w:rsidR="00013820">
        <w:rPr>
          <w:noProof/>
        </w:rPr>
        <w:t>21</w:t>
      </w:r>
      <w:r w:rsidR="003755E7" w:rsidRPr="008D796C">
        <w:rPr>
          <w:noProof/>
        </w:rPr>
        <w:fldChar w:fldCharType="end"/>
      </w:r>
      <w:r w:rsidR="003755E7" w:rsidRPr="008D796C">
        <w:t>: Srovnání skutečností v letech 202</w:t>
      </w:r>
      <w:r w:rsidR="00553B4D" w:rsidRPr="0077128B">
        <w:t>2</w:t>
      </w:r>
      <w:r w:rsidR="003755E7" w:rsidRPr="008D796C">
        <w:t xml:space="preserve"> a 202</w:t>
      </w:r>
      <w:r w:rsidR="00553B4D" w:rsidRPr="0077128B">
        <w:t>3</w:t>
      </w:r>
      <w:r w:rsidR="003755E7" w:rsidRPr="008D796C">
        <w:t xml:space="preserve"> u Úřadu pro civilní letectví (v tis. Kč)</w:t>
      </w:r>
      <w:bookmarkEnd w:id="763"/>
    </w:p>
    <w:p w14:paraId="036D5FD2" w14:textId="23885527" w:rsidR="2F586A11" w:rsidRPr="0077128B" w:rsidRDefault="008D796C" w:rsidP="00BA4E5A">
      <w:pPr>
        <w:pStyle w:val="KOMtext"/>
        <w:rPr>
          <w:color w:val="FF0000"/>
        </w:rPr>
      </w:pPr>
      <w:r w:rsidRPr="00DC2CB8">
        <w:rPr>
          <w:noProof/>
          <w:color w:val="FF0000"/>
        </w:rPr>
        <w:drawing>
          <wp:inline distT="0" distB="0" distL="0" distR="0" wp14:anchorId="5869639D" wp14:editId="39CD5DC1">
            <wp:extent cx="5760000" cy="2160000"/>
            <wp:effectExtent l="0" t="0" r="12700" b="12065"/>
            <wp:docPr id="1208790577" name="Graf 120879057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1397C3DB" w14:textId="49626E58" w:rsidR="008232DB" w:rsidRPr="006B6D61" w:rsidRDefault="004F5E4F" w:rsidP="00E20BD6">
      <w:pPr>
        <w:pStyle w:val="KOMnadp3"/>
      </w:pPr>
      <w:bookmarkStart w:id="764" w:name="_Toc128397705"/>
      <w:bookmarkStart w:id="765" w:name="_Toc128397838"/>
      <w:bookmarkStart w:id="766" w:name="_Toc128398059"/>
      <w:bookmarkStart w:id="767" w:name="_Toc128398402"/>
      <w:bookmarkStart w:id="768" w:name="_Toc128398528"/>
      <w:bookmarkStart w:id="769" w:name="_Toc128398742"/>
      <w:bookmarkStart w:id="770" w:name="_Toc128400058"/>
      <w:bookmarkStart w:id="771" w:name="_Toc128401298"/>
      <w:bookmarkStart w:id="772" w:name="_Toc128401426"/>
      <w:bookmarkStart w:id="773" w:name="_Toc128401913"/>
      <w:bookmarkStart w:id="774" w:name="_Toc128397706"/>
      <w:bookmarkStart w:id="775" w:name="_Toc128397839"/>
      <w:bookmarkStart w:id="776" w:name="_Toc128398060"/>
      <w:bookmarkStart w:id="777" w:name="_Toc128398403"/>
      <w:bookmarkStart w:id="778" w:name="_Toc128398529"/>
      <w:bookmarkStart w:id="779" w:name="_Toc128398743"/>
      <w:bookmarkStart w:id="780" w:name="_Toc128400059"/>
      <w:bookmarkStart w:id="781" w:name="_Toc128401299"/>
      <w:bookmarkStart w:id="782" w:name="_Toc128401427"/>
      <w:bookmarkStart w:id="783" w:name="_Toc128401914"/>
      <w:bookmarkStart w:id="784" w:name="_Toc128397707"/>
      <w:bookmarkStart w:id="785" w:name="_Toc128397840"/>
      <w:bookmarkStart w:id="786" w:name="_Toc128398061"/>
      <w:bookmarkStart w:id="787" w:name="_Toc128398404"/>
      <w:bookmarkStart w:id="788" w:name="_Toc128398530"/>
      <w:bookmarkStart w:id="789" w:name="_Toc128398744"/>
      <w:bookmarkStart w:id="790" w:name="_Toc128400060"/>
      <w:bookmarkStart w:id="791" w:name="_Toc128401300"/>
      <w:bookmarkStart w:id="792" w:name="_Toc128401428"/>
      <w:bookmarkStart w:id="793" w:name="_Toc128401915"/>
      <w:bookmarkStart w:id="794" w:name="_Toc128397708"/>
      <w:bookmarkStart w:id="795" w:name="_Toc128397841"/>
      <w:bookmarkStart w:id="796" w:name="_Toc128398062"/>
      <w:bookmarkStart w:id="797" w:name="_Toc128398405"/>
      <w:bookmarkStart w:id="798" w:name="_Toc128398531"/>
      <w:bookmarkStart w:id="799" w:name="_Toc128398745"/>
      <w:bookmarkStart w:id="800" w:name="_Toc128400061"/>
      <w:bookmarkStart w:id="801" w:name="_Toc128401301"/>
      <w:bookmarkStart w:id="802" w:name="_Toc128401429"/>
      <w:bookmarkStart w:id="803" w:name="_Toc128401916"/>
      <w:bookmarkStart w:id="804" w:name="_Toc128397709"/>
      <w:bookmarkStart w:id="805" w:name="_Toc128397842"/>
      <w:bookmarkStart w:id="806" w:name="_Toc128398063"/>
      <w:bookmarkStart w:id="807" w:name="_Toc128398406"/>
      <w:bookmarkStart w:id="808" w:name="_Toc128398532"/>
      <w:bookmarkStart w:id="809" w:name="_Toc128398746"/>
      <w:bookmarkStart w:id="810" w:name="_Toc128400062"/>
      <w:bookmarkStart w:id="811" w:name="_Toc128401302"/>
      <w:bookmarkStart w:id="812" w:name="_Toc128401430"/>
      <w:bookmarkStart w:id="813" w:name="_Toc128401917"/>
      <w:bookmarkStart w:id="814" w:name="_Toc128397710"/>
      <w:bookmarkStart w:id="815" w:name="_Toc128397843"/>
      <w:bookmarkStart w:id="816" w:name="_Toc128398064"/>
      <w:bookmarkStart w:id="817" w:name="_Toc128398407"/>
      <w:bookmarkStart w:id="818" w:name="_Toc128398533"/>
      <w:bookmarkStart w:id="819" w:name="_Toc128398747"/>
      <w:bookmarkStart w:id="820" w:name="_Toc128400063"/>
      <w:bookmarkStart w:id="821" w:name="_Toc128401303"/>
      <w:bookmarkStart w:id="822" w:name="_Toc128401431"/>
      <w:bookmarkStart w:id="823" w:name="_Toc128401918"/>
      <w:bookmarkStart w:id="824" w:name="_Toc128397711"/>
      <w:bookmarkStart w:id="825" w:name="_Toc128397844"/>
      <w:bookmarkStart w:id="826" w:name="_Toc128398065"/>
      <w:bookmarkStart w:id="827" w:name="_Toc128398408"/>
      <w:bookmarkStart w:id="828" w:name="_Toc128398534"/>
      <w:bookmarkStart w:id="829" w:name="_Toc128398748"/>
      <w:bookmarkStart w:id="830" w:name="_Toc128400064"/>
      <w:bookmarkStart w:id="831" w:name="_Toc128401304"/>
      <w:bookmarkStart w:id="832" w:name="_Toc128401432"/>
      <w:bookmarkStart w:id="833" w:name="_Toc128401919"/>
      <w:bookmarkStart w:id="834" w:name="_Toc128397712"/>
      <w:bookmarkStart w:id="835" w:name="_Toc128397845"/>
      <w:bookmarkStart w:id="836" w:name="_Toc128398066"/>
      <w:bookmarkStart w:id="837" w:name="_Toc128398409"/>
      <w:bookmarkStart w:id="838" w:name="_Toc128398535"/>
      <w:bookmarkStart w:id="839" w:name="_Toc128398749"/>
      <w:bookmarkStart w:id="840" w:name="_Toc128400065"/>
      <w:bookmarkStart w:id="841" w:name="_Toc128401305"/>
      <w:bookmarkStart w:id="842" w:name="_Toc128401433"/>
      <w:bookmarkStart w:id="843" w:name="_Toc128401920"/>
      <w:bookmarkStart w:id="844" w:name="_Toc128397713"/>
      <w:bookmarkStart w:id="845" w:name="_Toc128397846"/>
      <w:bookmarkStart w:id="846" w:name="_Toc128398067"/>
      <w:bookmarkStart w:id="847" w:name="_Toc128398410"/>
      <w:bookmarkStart w:id="848" w:name="_Toc128398536"/>
      <w:bookmarkStart w:id="849" w:name="_Toc128398750"/>
      <w:bookmarkStart w:id="850" w:name="_Toc128400066"/>
      <w:bookmarkStart w:id="851" w:name="_Toc128401306"/>
      <w:bookmarkStart w:id="852" w:name="_Toc128401434"/>
      <w:bookmarkStart w:id="853" w:name="_Toc128401921"/>
      <w:bookmarkStart w:id="854" w:name="_Toc128400067"/>
      <w:bookmarkStart w:id="855" w:name="_Toc162269265"/>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r w:rsidRPr="006B6D61">
        <w:t>Státní plavební správa</w:t>
      </w:r>
      <w:bookmarkEnd w:id="854"/>
      <w:bookmarkEnd w:id="855"/>
      <w:r w:rsidR="00B66408" w:rsidRPr="006B6D61">
        <w:t xml:space="preserve"> </w:t>
      </w:r>
    </w:p>
    <w:p w14:paraId="7ADFEE48" w14:textId="4889420E" w:rsidR="0025006B" w:rsidRPr="006B6D61" w:rsidRDefault="008232DB" w:rsidP="003F0A7C">
      <w:pPr>
        <w:pStyle w:val="KOMtext"/>
        <w:rPr>
          <w:b/>
          <w:sz w:val="20"/>
        </w:rPr>
      </w:pPr>
      <w:r w:rsidRPr="006B6D61">
        <w:t xml:space="preserve">Státní plavební správa je správním úřadem, který vykonává státní správu a státní dozor při provozování plavby na vnitrozemských vodních cestách ve věcech stanovených zákonem </w:t>
      </w:r>
      <w:r w:rsidRPr="006B6D61">
        <w:br/>
        <w:t>č. 114/1995 Sb., o vnitrozemské plavbě, ve znění pozdějších předpisů, jakož i zákonem č. 254/2001 Sb., o vodách a o změně některých zákonů (vodní zákon), ve znění pozdějších předpisů.</w:t>
      </w:r>
    </w:p>
    <w:tbl>
      <w:tblPr>
        <w:tblW w:w="8982" w:type="dxa"/>
        <w:tblInd w:w="70" w:type="dxa"/>
        <w:tblCellMar>
          <w:left w:w="0" w:type="dxa"/>
          <w:right w:w="0" w:type="dxa"/>
        </w:tblCellMar>
        <w:tblLook w:val="04A0" w:firstRow="1" w:lastRow="0" w:firstColumn="1" w:lastColumn="0" w:noHBand="0" w:noVBand="1"/>
      </w:tblPr>
      <w:tblGrid>
        <w:gridCol w:w="2268"/>
        <w:gridCol w:w="1125"/>
        <w:gridCol w:w="1195"/>
        <w:gridCol w:w="1322"/>
        <w:gridCol w:w="1098"/>
        <w:gridCol w:w="1154"/>
        <w:gridCol w:w="820"/>
      </w:tblGrid>
      <w:tr w:rsidR="002F1BE7" w:rsidRPr="0044012B" w14:paraId="31B2B20D" w14:textId="77777777" w:rsidTr="00DB6909">
        <w:trPr>
          <w:trHeight w:val="348"/>
          <w:tblHeader/>
        </w:trPr>
        <w:tc>
          <w:tcPr>
            <w:tcW w:w="8982" w:type="dxa"/>
            <w:gridSpan w:val="7"/>
            <w:tcBorders>
              <w:bottom w:val="single" w:sz="4" w:space="0" w:color="auto"/>
            </w:tcBorders>
            <w:shd w:val="clear" w:color="auto" w:fill="FFFFFF" w:themeFill="background1"/>
            <w:tcMar>
              <w:top w:w="0" w:type="dxa"/>
              <w:left w:w="70" w:type="dxa"/>
              <w:bottom w:w="0" w:type="dxa"/>
              <w:right w:w="70" w:type="dxa"/>
            </w:tcMar>
            <w:vAlign w:val="center"/>
          </w:tcPr>
          <w:p w14:paraId="49C8A6C5" w14:textId="61A322B2" w:rsidR="005805F1" w:rsidRPr="0077128B" w:rsidRDefault="005805F1" w:rsidP="00BA4E5A">
            <w:pPr>
              <w:spacing w:after="0" w:line="252" w:lineRule="auto"/>
              <w:jc w:val="right"/>
              <w:rPr>
                <w:rFonts w:eastAsia="Calibri" w:cstheme="minorHAnsi"/>
                <w:color w:val="FF0000"/>
                <w:sz w:val="20"/>
                <w:szCs w:val="20"/>
              </w:rPr>
            </w:pPr>
            <w:r w:rsidRPr="006B6D61">
              <w:rPr>
                <w:rFonts w:eastAsia="Calibri" w:cstheme="minorHAnsi"/>
                <w:sz w:val="20"/>
                <w:szCs w:val="20"/>
              </w:rPr>
              <w:lastRenderedPageBreak/>
              <w:t>v tis. Kč</w:t>
            </w:r>
          </w:p>
        </w:tc>
      </w:tr>
      <w:tr w:rsidR="002F1BE7" w:rsidRPr="0044012B" w14:paraId="71236E1E" w14:textId="77777777" w:rsidTr="00DB6909">
        <w:trPr>
          <w:trHeight w:val="348"/>
          <w:tblHeader/>
        </w:trPr>
        <w:tc>
          <w:tcPr>
            <w:tcW w:w="2268"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72942AFA" w14:textId="77777777" w:rsidR="008232DB" w:rsidRPr="006B6D61" w:rsidRDefault="008232DB" w:rsidP="00BA4E5A">
            <w:pPr>
              <w:spacing w:after="0" w:line="252" w:lineRule="auto"/>
              <w:jc w:val="center"/>
              <w:rPr>
                <w:rFonts w:eastAsia="Calibri" w:cstheme="minorHAnsi"/>
                <w:b/>
                <w:sz w:val="20"/>
                <w:szCs w:val="20"/>
              </w:rPr>
            </w:pPr>
            <w:r w:rsidRPr="006B6D61">
              <w:rPr>
                <w:rFonts w:eastAsia="Calibri" w:cstheme="minorHAnsi"/>
                <w:b/>
                <w:sz w:val="20"/>
                <w:szCs w:val="20"/>
              </w:rPr>
              <w:t>Ukazatel</w:t>
            </w:r>
          </w:p>
        </w:tc>
        <w:tc>
          <w:tcPr>
            <w:tcW w:w="1125"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3941A16C" w14:textId="77777777" w:rsidR="008232DB" w:rsidRPr="006B6D61" w:rsidRDefault="008232DB" w:rsidP="008232DB">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25DA7597" w14:textId="17418B00" w:rsidR="008232DB" w:rsidRPr="006B6D61" w:rsidRDefault="00D259AC" w:rsidP="008232DB">
            <w:pPr>
              <w:spacing w:after="0" w:line="252" w:lineRule="auto"/>
              <w:jc w:val="center"/>
              <w:rPr>
                <w:rFonts w:eastAsia="Calibri" w:cstheme="minorHAnsi"/>
                <w:b/>
                <w:sz w:val="20"/>
                <w:szCs w:val="20"/>
              </w:rPr>
            </w:pPr>
            <w:r w:rsidRPr="006B6D61">
              <w:rPr>
                <w:rFonts w:eastAsia="Calibri" w:cstheme="minorHAnsi"/>
                <w:b/>
                <w:sz w:val="20"/>
                <w:szCs w:val="20"/>
              </w:rPr>
              <w:t>2022</w:t>
            </w:r>
          </w:p>
        </w:tc>
        <w:tc>
          <w:tcPr>
            <w:tcW w:w="3615" w:type="dxa"/>
            <w:gridSpan w:val="3"/>
            <w:tcBorders>
              <w:top w:val="single" w:sz="4" w:space="0" w:color="auto"/>
              <w:left w:val="single" w:sz="4" w:space="0" w:color="auto"/>
              <w:bottom w:val="single" w:sz="8" w:space="0" w:color="auto"/>
              <w:right w:val="single" w:sz="8" w:space="0" w:color="auto"/>
            </w:tcBorders>
            <w:shd w:val="clear" w:color="auto" w:fill="D9D9D9" w:themeFill="background1" w:themeFillShade="D9"/>
            <w:tcMar>
              <w:top w:w="0" w:type="dxa"/>
              <w:left w:w="70" w:type="dxa"/>
              <w:bottom w:w="0" w:type="dxa"/>
              <w:right w:w="70" w:type="dxa"/>
            </w:tcMar>
            <w:vAlign w:val="center"/>
            <w:hideMark/>
          </w:tcPr>
          <w:p w14:paraId="48DDF507" w14:textId="487E4D60" w:rsidR="008232DB" w:rsidRPr="006B6D61" w:rsidRDefault="008232DB" w:rsidP="00BA4E5A">
            <w:pPr>
              <w:spacing w:after="0" w:line="252" w:lineRule="auto"/>
              <w:jc w:val="center"/>
              <w:rPr>
                <w:rFonts w:eastAsia="Calibri" w:cstheme="minorHAnsi"/>
                <w:b/>
                <w:sz w:val="20"/>
                <w:szCs w:val="20"/>
              </w:rPr>
            </w:pPr>
            <w:r w:rsidRPr="006B6D61">
              <w:rPr>
                <w:rFonts w:eastAsia="Calibri" w:cstheme="minorHAnsi"/>
                <w:b/>
                <w:sz w:val="20"/>
                <w:szCs w:val="20"/>
              </w:rPr>
              <w:t xml:space="preserve">Rozpočet </w:t>
            </w:r>
            <w:r w:rsidR="00D259AC" w:rsidRPr="006B6D61">
              <w:rPr>
                <w:rFonts w:eastAsia="Calibri" w:cstheme="minorHAnsi"/>
                <w:b/>
                <w:sz w:val="20"/>
                <w:szCs w:val="20"/>
              </w:rPr>
              <w:t>2023</w:t>
            </w:r>
          </w:p>
        </w:tc>
        <w:tc>
          <w:tcPr>
            <w:tcW w:w="1154" w:type="dxa"/>
            <w:vMerge w:val="restart"/>
            <w:tcBorders>
              <w:top w:val="single" w:sz="4" w:space="0" w:color="auto"/>
              <w:left w:val="nil"/>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060DD8DA" w14:textId="77777777" w:rsidR="008232DB" w:rsidRPr="006B6D61" w:rsidRDefault="008232DB" w:rsidP="008232DB">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5C44C55C" w14:textId="306B3591" w:rsidR="008232DB" w:rsidRPr="006B6D61" w:rsidRDefault="00D259AC" w:rsidP="008232DB">
            <w:pPr>
              <w:spacing w:after="0" w:line="252" w:lineRule="auto"/>
              <w:jc w:val="center"/>
              <w:rPr>
                <w:rFonts w:eastAsia="Calibri" w:cstheme="minorHAnsi"/>
                <w:b/>
                <w:sz w:val="20"/>
                <w:szCs w:val="20"/>
              </w:rPr>
            </w:pPr>
            <w:r w:rsidRPr="006B6D61">
              <w:rPr>
                <w:rFonts w:eastAsia="Calibri" w:cstheme="minorHAnsi"/>
                <w:b/>
                <w:sz w:val="20"/>
                <w:szCs w:val="20"/>
              </w:rPr>
              <w:t>2023</w:t>
            </w:r>
          </w:p>
        </w:tc>
        <w:tc>
          <w:tcPr>
            <w:tcW w:w="820"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55545408" w14:textId="77777777" w:rsidR="008232DB" w:rsidRPr="006B6D61" w:rsidRDefault="008232DB" w:rsidP="008232DB">
            <w:pPr>
              <w:spacing w:after="0" w:line="252" w:lineRule="auto"/>
              <w:jc w:val="center"/>
              <w:rPr>
                <w:rFonts w:eastAsia="Calibri" w:cstheme="minorHAnsi"/>
                <w:b/>
                <w:sz w:val="20"/>
                <w:szCs w:val="20"/>
              </w:rPr>
            </w:pPr>
            <w:r w:rsidRPr="006B6D61">
              <w:rPr>
                <w:rFonts w:eastAsia="Calibri" w:cstheme="minorHAnsi"/>
                <w:b/>
                <w:sz w:val="20"/>
                <w:szCs w:val="20"/>
              </w:rPr>
              <w:t>Index</w:t>
            </w:r>
          </w:p>
          <w:p w14:paraId="1F28892E" w14:textId="77777777" w:rsidR="008232DB" w:rsidRPr="006B6D61" w:rsidRDefault="008232DB" w:rsidP="008232DB">
            <w:pPr>
              <w:spacing w:after="0" w:line="252" w:lineRule="auto"/>
              <w:jc w:val="center"/>
              <w:rPr>
                <w:rFonts w:eastAsia="Calibri" w:cstheme="minorHAnsi"/>
                <w:b/>
                <w:sz w:val="20"/>
                <w:szCs w:val="20"/>
              </w:rPr>
            </w:pPr>
            <w:r w:rsidRPr="006B6D61">
              <w:rPr>
                <w:rFonts w:eastAsia="Calibri" w:cstheme="minorHAnsi"/>
                <w:b/>
                <w:sz w:val="20"/>
                <w:szCs w:val="20"/>
              </w:rPr>
              <w:t>(v %)</w:t>
            </w:r>
          </w:p>
        </w:tc>
      </w:tr>
      <w:tr w:rsidR="002F1BE7" w:rsidRPr="0044012B" w14:paraId="6C0200D3" w14:textId="77777777" w:rsidTr="00DB6909">
        <w:trPr>
          <w:trHeight w:val="463"/>
          <w:tblHeader/>
        </w:trPr>
        <w:tc>
          <w:tcPr>
            <w:tcW w:w="2268" w:type="dxa"/>
            <w:vMerge/>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446EE1" w14:textId="77777777" w:rsidR="008232DB" w:rsidRPr="006B6D61" w:rsidRDefault="008232DB" w:rsidP="008232DB">
            <w:pPr>
              <w:spacing w:after="0" w:line="240" w:lineRule="auto"/>
              <w:rPr>
                <w:rFonts w:eastAsia="Calibri" w:cstheme="minorHAnsi"/>
                <w:b/>
                <w:sz w:val="20"/>
                <w:szCs w:val="20"/>
              </w:rPr>
            </w:pPr>
          </w:p>
        </w:tc>
        <w:tc>
          <w:tcPr>
            <w:tcW w:w="1125" w:type="dxa"/>
            <w:vMerge/>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5EA2DB" w14:textId="77777777" w:rsidR="008232DB" w:rsidRPr="006B6D61" w:rsidRDefault="008232DB" w:rsidP="008232DB">
            <w:pPr>
              <w:spacing w:after="0" w:line="240" w:lineRule="auto"/>
              <w:rPr>
                <w:rFonts w:eastAsia="Calibri" w:cstheme="minorHAnsi"/>
                <w:b/>
                <w:sz w:val="20"/>
                <w:szCs w:val="20"/>
              </w:rPr>
            </w:pPr>
          </w:p>
        </w:tc>
        <w:tc>
          <w:tcPr>
            <w:tcW w:w="1195"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249A5B71" w14:textId="77777777" w:rsidR="008232DB" w:rsidRPr="006B6D61" w:rsidRDefault="008232DB" w:rsidP="008232DB">
            <w:pPr>
              <w:spacing w:before="40" w:after="40" w:line="252" w:lineRule="auto"/>
              <w:jc w:val="center"/>
              <w:rPr>
                <w:rFonts w:eastAsia="Calibri" w:cstheme="minorHAnsi"/>
                <w:b/>
                <w:sz w:val="20"/>
                <w:szCs w:val="20"/>
              </w:rPr>
            </w:pPr>
            <w:r w:rsidRPr="006B6D61">
              <w:rPr>
                <w:rFonts w:eastAsia="Calibri" w:cstheme="minorHAnsi"/>
                <w:b/>
                <w:sz w:val="20"/>
                <w:szCs w:val="20"/>
              </w:rPr>
              <w:t>schválený</w:t>
            </w:r>
          </w:p>
        </w:tc>
        <w:tc>
          <w:tcPr>
            <w:tcW w:w="1322" w:type="dxa"/>
            <w:tcBorders>
              <w:top w:val="single" w:sz="8"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50B2B426" w14:textId="4B688C08" w:rsidR="008232DB" w:rsidRPr="006B6D61" w:rsidRDefault="008232DB" w:rsidP="008232DB">
            <w:pPr>
              <w:spacing w:before="40" w:after="40" w:line="252" w:lineRule="auto"/>
              <w:jc w:val="center"/>
              <w:rPr>
                <w:rFonts w:eastAsia="Calibri" w:cstheme="minorHAnsi"/>
                <w:b/>
                <w:sz w:val="20"/>
                <w:szCs w:val="20"/>
              </w:rPr>
            </w:pPr>
            <w:r w:rsidRPr="006B6D61">
              <w:rPr>
                <w:rFonts w:eastAsia="Calibri" w:cstheme="minorHAnsi"/>
                <w:b/>
                <w:sz w:val="20"/>
                <w:szCs w:val="20"/>
              </w:rPr>
              <w:t>po změnách</w:t>
            </w:r>
          </w:p>
        </w:tc>
        <w:tc>
          <w:tcPr>
            <w:tcW w:w="1098" w:type="dxa"/>
            <w:tcBorders>
              <w:top w:val="single" w:sz="8"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2B5F530" w14:textId="77777777" w:rsidR="008232DB" w:rsidRPr="006B6D61" w:rsidRDefault="008232DB" w:rsidP="008232DB">
            <w:pPr>
              <w:spacing w:before="40" w:after="40" w:line="252" w:lineRule="auto"/>
              <w:jc w:val="center"/>
              <w:rPr>
                <w:rFonts w:eastAsia="Calibri" w:cstheme="minorHAnsi"/>
                <w:b/>
                <w:sz w:val="20"/>
                <w:szCs w:val="20"/>
              </w:rPr>
            </w:pPr>
            <w:r w:rsidRPr="006B6D61">
              <w:rPr>
                <w:rFonts w:eastAsia="Calibri" w:cstheme="minorHAnsi"/>
                <w:b/>
                <w:sz w:val="20"/>
                <w:szCs w:val="20"/>
              </w:rPr>
              <w:t>konečný</w:t>
            </w:r>
          </w:p>
        </w:tc>
        <w:tc>
          <w:tcPr>
            <w:tcW w:w="1154" w:type="dxa"/>
            <w:vMerge/>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98C150B" w14:textId="77777777" w:rsidR="008232DB" w:rsidRPr="0077128B" w:rsidRDefault="008232DB" w:rsidP="008232DB">
            <w:pPr>
              <w:spacing w:after="0" w:line="240" w:lineRule="auto"/>
              <w:rPr>
                <w:rFonts w:eastAsia="Calibri" w:cstheme="minorHAnsi"/>
                <w:color w:val="FF0000"/>
                <w:sz w:val="20"/>
                <w:szCs w:val="20"/>
              </w:rPr>
            </w:pPr>
          </w:p>
        </w:tc>
        <w:tc>
          <w:tcPr>
            <w:tcW w:w="0" w:type="auto"/>
            <w:vMerge/>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102256" w14:textId="77777777" w:rsidR="008232DB" w:rsidRPr="0077128B" w:rsidRDefault="008232DB" w:rsidP="008232DB">
            <w:pPr>
              <w:spacing w:after="0" w:line="240" w:lineRule="auto"/>
              <w:rPr>
                <w:rFonts w:eastAsia="Calibri" w:cstheme="minorHAnsi"/>
                <w:color w:val="FF0000"/>
                <w:sz w:val="20"/>
                <w:szCs w:val="20"/>
              </w:rPr>
            </w:pPr>
          </w:p>
        </w:tc>
      </w:tr>
      <w:tr w:rsidR="002F1BE7" w:rsidRPr="0044012B" w14:paraId="677306B3" w14:textId="77777777" w:rsidTr="00DB6909">
        <w:trPr>
          <w:trHeight w:val="82"/>
          <w:tblHeader/>
        </w:trPr>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23E698B6" w14:textId="05A17915" w:rsidR="008232DB" w:rsidRPr="006B6D61" w:rsidRDefault="00F93A7E" w:rsidP="008232DB">
            <w:pPr>
              <w:spacing w:after="0" w:line="252" w:lineRule="auto"/>
              <w:jc w:val="center"/>
              <w:rPr>
                <w:rFonts w:eastAsia="Calibri" w:cstheme="minorHAnsi"/>
                <w:sz w:val="20"/>
                <w:szCs w:val="20"/>
              </w:rPr>
            </w:pPr>
            <w:r w:rsidRPr="00F93A7E">
              <w:rPr>
                <w:rFonts w:eastAsia="Calibri" w:cstheme="minorHAnsi"/>
                <w:sz w:val="20"/>
                <w:szCs w:val="20"/>
              </w:rPr>
              <w:t>A</w:t>
            </w:r>
          </w:p>
        </w:tc>
        <w:tc>
          <w:tcPr>
            <w:tcW w:w="1125"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607D53E9" w14:textId="77777777" w:rsidR="008232DB" w:rsidRPr="006B6D61" w:rsidRDefault="008232DB" w:rsidP="008232DB">
            <w:pPr>
              <w:spacing w:after="0" w:line="252" w:lineRule="auto"/>
              <w:jc w:val="center"/>
              <w:rPr>
                <w:rFonts w:eastAsia="Calibri" w:cstheme="minorHAnsi"/>
                <w:sz w:val="20"/>
                <w:szCs w:val="20"/>
              </w:rPr>
            </w:pPr>
            <w:r w:rsidRPr="006B6D61">
              <w:rPr>
                <w:rFonts w:eastAsia="Calibri" w:cstheme="minorHAnsi"/>
                <w:sz w:val="20"/>
                <w:szCs w:val="20"/>
              </w:rPr>
              <w:t>1</w:t>
            </w:r>
          </w:p>
        </w:tc>
        <w:tc>
          <w:tcPr>
            <w:tcW w:w="1195"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4308EAA9" w14:textId="77777777" w:rsidR="008232DB" w:rsidRPr="006B6D61" w:rsidRDefault="008232DB" w:rsidP="008232DB">
            <w:pPr>
              <w:spacing w:after="0" w:line="252" w:lineRule="auto"/>
              <w:jc w:val="center"/>
              <w:rPr>
                <w:rFonts w:eastAsia="Calibri" w:cstheme="minorHAnsi"/>
                <w:sz w:val="20"/>
                <w:szCs w:val="20"/>
              </w:rPr>
            </w:pPr>
            <w:r w:rsidRPr="006B6D61">
              <w:rPr>
                <w:rFonts w:eastAsia="Calibri" w:cstheme="minorHAnsi"/>
                <w:sz w:val="20"/>
                <w:szCs w:val="20"/>
              </w:rPr>
              <w:t>2</w:t>
            </w:r>
          </w:p>
        </w:tc>
        <w:tc>
          <w:tcPr>
            <w:tcW w:w="132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481F2724" w14:textId="77777777" w:rsidR="008232DB" w:rsidRPr="006B6D61" w:rsidRDefault="008232DB" w:rsidP="008232DB">
            <w:pPr>
              <w:spacing w:after="0" w:line="252" w:lineRule="auto"/>
              <w:jc w:val="center"/>
              <w:rPr>
                <w:rFonts w:eastAsia="Calibri" w:cstheme="minorHAnsi"/>
                <w:sz w:val="20"/>
                <w:szCs w:val="20"/>
              </w:rPr>
            </w:pPr>
            <w:r w:rsidRPr="006B6D61">
              <w:rPr>
                <w:rFonts w:eastAsia="Calibri" w:cstheme="minorHAnsi"/>
                <w:sz w:val="20"/>
                <w:szCs w:val="20"/>
              </w:rPr>
              <w:t>3</w:t>
            </w:r>
          </w:p>
        </w:tc>
        <w:tc>
          <w:tcPr>
            <w:tcW w:w="109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6E2D706F" w14:textId="77777777" w:rsidR="008232DB" w:rsidRPr="006B6D61" w:rsidRDefault="008232DB" w:rsidP="008232DB">
            <w:pPr>
              <w:spacing w:after="0" w:line="252" w:lineRule="auto"/>
              <w:jc w:val="center"/>
              <w:rPr>
                <w:rFonts w:eastAsia="Calibri" w:cstheme="minorHAnsi"/>
                <w:sz w:val="20"/>
                <w:szCs w:val="20"/>
              </w:rPr>
            </w:pPr>
            <w:r w:rsidRPr="006B6D61">
              <w:rPr>
                <w:rFonts w:eastAsia="Calibri" w:cstheme="minorHAnsi"/>
                <w:sz w:val="20"/>
                <w:szCs w:val="20"/>
              </w:rPr>
              <w:t>4</w:t>
            </w:r>
          </w:p>
        </w:tc>
        <w:tc>
          <w:tcPr>
            <w:tcW w:w="115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603F42CA" w14:textId="77777777" w:rsidR="008232DB" w:rsidRPr="006B6D61" w:rsidRDefault="008232DB" w:rsidP="008232DB">
            <w:pPr>
              <w:spacing w:after="0" w:line="252" w:lineRule="auto"/>
              <w:jc w:val="center"/>
              <w:rPr>
                <w:rFonts w:eastAsia="Calibri" w:cstheme="minorHAnsi"/>
                <w:sz w:val="20"/>
                <w:szCs w:val="20"/>
              </w:rPr>
            </w:pPr>
            <w:r w:rsidRPr="006B6D61">
              <w:rPr>
                <w:rFonts w:eastAsia="Calibri" w:cstheme="minorHAnsi"/>
                <w:sz w:val="20"/>
                <w:szCs w:val="20"/>
              </w:rPr>
              <w:t>5</w:t>
            </w:r>
          </w:p>
        </w:tc>
        <w:tc>
          <w:tcPr>
            <w:tcW w:w="82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75F231F2" w14:textId="77777777" w:rsidR="008232DB" w:rsidRPr="006B6D61" w:rsidRDefault="008232DB" w:rsidP="008232DB">
            <w:pPr>
              <w:spacing w:after="0" w:line="252" w:lineRule="auto"/>
              <w:jc w:val="center"/>
              <w:rPr>
                <w:rFonts w:eastAsia="Calibri" w:cstheme="minorHAnsi"/>
                <w:sz w:val="20"/>
                <w:szCs w:val="20"/>
              </w:rPr>
            </w:pPr>
            <w:r w:rsidRPr="006B6D61">
              <w:rPr>
                <w:rFonts w:eastAsia="Calibri" w:cstheme="minorHAnsi"/>
                <w:sz w:val="20"/>
                <w:szCs w:val="20"/>
              </w:rPr>
              <w:t>5/1</w:t>
            </w:r>
          </w:p>
        </w:tc>
      </w:tr>
      <w:tr w:rsidR="002F1BE7" w:rsidRPr="0044012B" w14:paraId="78C439F6" w14:textId="77777777" w:rsidTr="00DB6909">
        <w:trPr>
          <w:trHeight w:val="320"/>
          <w:tblHeader/>
        </w:trPr>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hideMark/>
          </w:tcPr>
          <w:p w14:paraId="42D4EF8C" w14:textId="31D9114D" w:rsidR="008232DB" w:rsidRPr="006B6D61" w:rsidRDefault="008232DB" w:rsidP="00BA4E5A">
            <w:pPr>
              <w:spacing w:after="0" w:line="252" w:lineRule="auto"/>
              <w:jc w:val="both"/>
              <w:rPr>
                <w:rFonts w:eastAsia="Calibri" w:cstheme="minorHAnsi"/>
                <w:b/>
                <w:bCs/>
                <w:sz w:val="20"/>
                <w:szCs w:val="20"/>
              </w:rPr>
            </w:pPr>
            <w:r w:rsidRPr="006B6D61">
              <w:rPr>
                <w:rFonts w:eastAsia="Calibri" w:cstheme="minorHAnsi"/>
                <w:b/>
                <w:bCs/>
                <w:sz w:val="20"/>
                <w:szCs w:val="20"/>
              </w:rPr>
              <w:t xml:space="preserve">Výdaje celkem </w:t>
            </w:r>
            <w:r w:rsidRPr="006B6D61">
              <w:rPr>
                <w:rFonts w:eastAsia="Calibri" w:cstheme="minorHAnsi"/>
                <w:b/>
                <w:sz w:val="20"/>
                <w:szCs w:val="20"/>
              </w:rPr>
              <w:t>(v tom:)</w:t>
            </w:r>
          </w:p>
        </w:tc>
        <w:tc>
          <w:tcPr>
            <w:tcW w:w="1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DF6A49F" w14:textId="1BF2BF6A" w:rsidR="008232DB" w:rsidRPr="006B6D61" w:rsidRDefault="0001654B" w:rsidP="00BA4E5A">
            <w:pPr>
              <w:spacing w:after="0" w:line="252" w:lineRule="auto"/>
              <w:jc w:val="right"/>
              <w:rPr>
                <w:rFonts w:eastAsia="Calibri" w:cstheme="minorHAnsi"/>
                <w:b/>
                <w:bCs/>
                <w:sz w:val="20"/>
                <w:szCs w:val="20"/>
              </w:rPr>
            </w:pPr>
            <w:r w:rsidRPr="006B6D61">
              <w:rPr>
                <w:rFonts w:eastAsia="Calibri" w:cstheme="minorHAnsi"/>
                <w:b/>
                <w:bCs/>
                <w:sz w:val="20"/>
                <w:szCs w:val="20"/>
              </w:rPr>
              <w:t>83 700</w:t>
            </w:r>
          </w:p>
        </w:tc>
        <w:tc>
          <w:tcPr>
            <w:tcW w:w="119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A167500" w14:textId="4AA600C7" w:rsidR="008232DB" w:rsidRPr="006B6D61" w:rsidRDefault="00895FBD" w:rsidP="00BA4E5A">
            <w:pPr>
              <w:spacing w:after="0" w:line="252" w:lineRule="auto"/>
              <w:jc w:val="right"/>
              <w:rPr>
                <w:rFonts w:eastAsia="Calibri" w:cstheme="minorHAnsi"/>
                <w:b/>
                <w:bCs/>
                <w:sz w:val="20"/>
                <w:szCs w:val="20"/>
              </w:rPr>
            </w:pPr>
            <w:r w:rsidRPr="006B6D61">
              <w:rPr>
                <w:rFonts w:eastAsia="Calibri" w:cstheme="minorHAnsi"/>
                <w:b/>
                <w:bCs/>
                <w:sz w:val="20"/>
                <w:szCs w:val="20"/>
              </w:rPr>
              <w:t>85 799</w:t>
            </w:r>
          </w:p>
        </w:tc>
        <w:tc>
          <w:tcPr>
            <w:tcW w:w="132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4A9369F9" w14:textId="5D789FC4" w:rsidR="008232DB" w:rsidRPr="006B6D61" w:rsidRDefault="0073685D" w:rsidP="00BA4E5A">
            <w:pPr>
              <w:spacing w:after="0" w:line="252" w:lineRule="auto"/>
              <w:jc w:val="right"/>
              <w:rPr>
                <w:rFonts w:eastAsia="Calibri" w:cstheme="minorHAnsi"/>
                <w:b/>
                <w:bCs/>
                <w:sz w:val="20"/>
                <w:szCs w:val="20"/>
              </w:rPr>
            </w:pPr>
            <w:r w:rsidRPr="006B6D61">
              <w:rPr>
                <w:rFonts w:eastAsia="Calibri" w:cstheme="minorHAnsi"/>
                <w:b/>
                <w:bCs/>
                <w:sz w:val="20"/>
                <w:szCs w:val="20"/>
              </w:rPr>
              <w:t>86 063</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hideMark/>
          </w:tcPr>
          <w:p w14:paraId="145561BB" w14:textId="54A48D9C" w:rsidR="008232DB" w:rsidRPr="0077128B" w:rsidRDefault="00F4764D" w:rsidP="00BA4E5A">
            <w:pPr>
              <w:spacing w:after="0" w:line="252" w:lineRule="auto"/>
              <w:jc w:val="right"/>
              <w:rPr>
                <w:rFonts w:eastAsia="Calibri" w:cstheme="minorHAnsi"/>
                <w:b/>
                <w:bCs/>
                <w:color w:val="FF0000"/>
                <w:sz w:val="20"/>
                <w:szCs w:val="20"/>
              </w:rPr>
            </w:pPr>
            <w:r w:rsidRPr="006B6D61">
              <w:rPr>
                <w:rFonts w:eastAsia="Calibri" w:cstheme="minorHAnsi"/>
                <w:b/>
                <w:bCs/>
                <w:sz w:val="20"/>
                <w:szCs w:val="20"/>
              </w:rPr>
              <w:t>97 497</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2A930878" w14:textId="47D976CF" w:rsidR="008232DB" w:rsidRPr="006B6D61" w:rsidRDefault="006A3C58" w:rsidP="00BA4E5A">
            <w:pPr>
              <w:spacing w:after="0" w:line="252" w:lineRule="auto"/>
              <w:jc w:val="right"/>
              <w:rPr>
                <w:rFonts w:eastAsia="Calibri" w:cstheme="minorHAnsi"/>
                <w:b/>
                <w:bCs/>
                <w:sz w:val="20"/>
                <w:szCs w:val="20"/>
              </w:rPr>
            </w:pPr>
            <w:r w:rsidRPr="006B6D61">
              <w:rPr>
                <w:rFonts w:eastAsia="Calibri" w:cstheme="minorHAnsi"/>
                <w:b/>
                <w:bCs/>
                <w:sz w:val="20"/>
                <w:szCs w:val="20"/>
              </w:rPr>
              <w:t>89 564</w:t>
            </w:r>
          </w:p>
        </w:tc>
        <w:tc>
          <w:tcPr>
            <w:tcW w:w="8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65B8ACA6" w14:textId="7BAF28EA" w:rsidR="008232DB" w:rsidRPr="006B6D61" w:rsidRDefault="004915B9" w:rsidP="00BA4E5A">
            <w:pPr>
              <w:spacing w:after="0" w:line="252" w:lineRule="auto"/>
              <w:jc w:val="right"/>
              <w:rPr>
                <w:rFonts w:eastAsia="Calibri" w:cstheme="minorHAnsi"/>
                <w:b/>
                <w:bCs/>
                <w:sz w:val="20"/>
                <w:szCs w:val="20"/>
              </w:rPr>
            </w:pPr>
            <w:r w:rsidRPr="006B6D61">
              <w:rPr>
                <w:rFonts w:eastAsia="Calibri" w:cstheme="minorHAnsi"/>
                <w:b/>
                <w:bCs/>
                <w:sz w:val="20"/>
                <w:szCs w:val="20"/>
              </w:rPr>
              <w:t>107,</w:t>
            </w:r>
            <w:r w:rsidR="00550E36" w:rsidRPr="006B6D61">
              <w:rPr>
                <w:rFonts w:eastAsia="Calibri" w:cstheme="minorHAnsi"/>
                <w:b/>
                <w:bCs/>
                <w:sz w:val="20"/>
                <w:szCs w:val="20"/>
              </w:rPr>
              <w:t>0</w:t>
            </w:r>
          </w:p>
        </w:tc>
      </w:tr>
      <w:tr w:rsidR="002F1BE7" w:rsidRPr="0044012B" w14:paraId="3ADF14EF" w14:textId="77777777" w:rsidTr="00DB6909">
        <w:trPr>
          <w:trHeight w:val="320"/>
          <w:tblHeader/>
        </w:trPr>
        <w:tc>
          <w:tcPr>
            <w:tcW w:w="2268" w:type="dxa"/>
            <w:tcBorders>
              <w:top w:val="single" w:sz="4" w:space="0" w:color="auto"/>
              <w:left w:val="single" w:sz="4" w:space="0" w:color="auto"/>
              <w:bottom w:val="nil"/>
              <w:right w:val="single" w:sz="4" w:space="0" w:color="auto"/>
            </w:tcBorders>
            <w:tcMar>
              <w:top w:w="0" w:type="dxa"/>
              <w:left w:w="70" w:type="dxa"/>
              <w:bottom w:w="0" w:type="dxa"/>
              <w:right w:w="70" w:type="dxa"/>
            </w:tcMar>
            <w:hideMark/>
          </w:tcPr>
          <w:p w14:paraId="1A7E796D" w14:textId="11E9792D" w:rsidR="00191CDE" w:rsidRPr="006B6D61" w:rsidRDefault="00191CDE">
            <w:pPr>
              <w:spacing w:after="0" w:line="252" w:lineRule="auto"/>
              <w:jc w:val="both"/>
              <w:rPr>
                <w:rFonts w:eastAsia="Calibri" w:cstheme="minorHAnsi"/>
                <w:sz w:val="20"/>
                <w:szCs w:val="20"/>
              </w:rPr>
            </w:pPr>
            <w:r w:rsidRPr="006B6D61">
              <w:rPr>
                <w:rFonts w:eastAsia="Calibri" w:cstheme="minorHAnsi"/>
                <w:b/>
                <w:bCs/>
                <w:sz w:val="20"/>
                <w:szCs w:val="20"/>
              </w:rPr>
              <w:t>Běžné výdaje</w:t>
            </w:r>
            <w:r w:rsidR="005805F1" w:rsidRPr="006B6D61">
              <w:rPr>
                <w:rFonts w:eastAsia="Calibri" w:cstheme="minorHAnsi"/>
                <w:sz w:val="20"/>
                <w:szCs w:val="20"/>
              </w:rPr>
              <w:t xml:space="preserve"> (</w:t>
            </w:r>
            <w:r w:rsidRPr="006B6D61">
              <w:rPr>
                <w:rFonts w:eastAsia="Calibri" w:cstheme="minorHAnsi"/>
                <w:sz w:val="20"/>
                <w:szCs w:val="20"/>
              </w:rPr>
              <w:t>v tom:</w:t>
            </w:r>
            <w:r w:rsidR="005805F1" w:rsidRPr="006B6D61">
              <w:rPr>
                <w:rFonts w:eastAsia="Calibri" w:cstheme="minorHAnsi"/>
                <w:sz w:val="20"/>
                <w:szCs w:val="20"/>
              </w:rPr>
              <w:t>)</w:t>
            </w:r>
          </w:p>
        </w:tc>
        <w:tc>
          <w:tcPr>
            <w:tcW w:w="1125"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01050C8A" w14:textId="09C19E29" w:rsidR="00191CDE" w:rsidRPr="006B6D61" w:rsidRDefault="0001654B">
            <w:pPr>
              <w:spacing w:after="0" w:line="252" w:lineRule="auto"/>
              <w:jc w:val="right"/>
              <w:rPr>
                <w:rFonts w:eastAsia="Calibri" w:cstheme="minorHAnsi"/>
                <w:b/>
                <w:bCs/>
                <w:sz w:val="20"/>
                <w:szCs w:val="20"/>
              </w:rPr>
            </w:pPr>
            <w:r w:rsidRPr="006B6D61">
              <w:rPr>
                <w:rFonts w:cstheme="minorHAnsi"/>
                <w:b/>
                <w:sz w:val="20"/>
                <w:szCs w:val="20"/>
              </w:rPr>
              <w:t>73 746</w:t>
            </w:r>
          </w:p>
        </w:tc>
        <w:tc>
          <w:tcPr>
            <w:tcW w:w="1195"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39BEB79D" w14:textId="63DD35D4" w:rsidR="00191CDE" w:rsidRPr="006B6D61" w:rsidRDefault="00DC40C8">
            <w:pPr>
              <w:spacing w:after="0" w:line="252" w:lineRule="auto"/>
              <w:jc w:val="right"/>
              <w:rPr>
                <w:rFonts w:eastAsia="Calibri" w:cstheme="minorHAnsi"/>
                <w:b/>
                <w:bCs/>
                <w:sz w:val="20"/>
                <w:szCs w:val="20"/>
              </w:rPr>
            </w:pPr>
            <w:r w:rsidRPr="006B6D61">
              <w:rPr>
                <w:b/>
                <w:sz w:val="20"/>
                <w:szCs w:val="20"/>
              </w:rPr>
              <w:t>75 999</w:t>
            </w:r>
          </w:p>
        </w:tc>
        <w:tc>
          <w:tcPr>
            <w:tcW w:w="1322"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6496E5B0" w14:textId="3866E2ED" w:rsidR="00191CDE" w:rsidRPr="006B6D61" w:rsidRDefault="00DE1217">
            <w:pPr>
              <w:spacing w:after="0" w:line="252" w:lineRule="auto"/>
              <w:jc w:val="right"/>
              <w:rPr>
                <w:rFonts w:eastAsia="Calibri" w:cstheme="minorHAnsi"/>
                <w:b/>
                <w:bCs/>
                <w:sz w:val="20"/>
                <w:szCs w:val="20"/>
              </w:rPr>
            </w:pPr>
            <w:r w:rsidRPr="006B6D61">
              <w:rPr>
                <w:b/>
                <w:sz w:val="20"/>
                <w:szCs w:val="20"/>
              </w:rPr>
              <w:t>76 263</w:t>
            </w:r>
          </w:p>
        </w:tc>
        <w:tc>
          <w:tcPr>
            <w:tcW w:w="1098"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0BF68C93" w14:textId="068AF458" w:rsidR="00191CDE" w:rsidRPr="006B6D61" w:rsidRDefault="004E1DB1" w:rsidP="00191CDE">
            <w:pPr>
              <w:spacing w:after="0" w:line="252" w:lineRule="auto"/>
              <w:jc w:val="right"/>
              <w:rPr>
                <w:rFonts w:eastAsia="Calibri" w:cstheme="minorHAnsi"/>
                <w:b/>
                <w:bCs/>
                <w:sz w:val="20"/>
                <w:szCs w:val="20"/>
              </w:rPr>
            </w:pPr>
            <w:r w:rsidRPr="006B6D61">
              <w:rPr>
                <w:rFonts w:eastAsia="Calibri" w:cstheme="minorHAnsi"/>
                <w:b/>
                <w:bCs/>
                <w:sz w:val="20"/>
                <w:szCs w:val="20"/>
              </w:rPr>
              <w:t xml:space="preserve">77 </w:t>
            </w:r>
            <w:r w:rsidR="00371CC8" w:rsidRPr="006B6D61">
              <w:rPr>
                <w:rFonts w:eastAsia="Calibri" w:cstheme="minorHAnsi"/>
                <w:b/>
                <w:bCs/>
                <w:sz w:val="20"/>
                <w:szCs w:val="20"/>
              </w:rPr>
              <w:t>049</w:t>
            </w:r>
          </w:p>
        </w:tc>
        <w:tc>
          <w:tcPr>
            <w:tcW w:w="115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0C7B8BA4" w14:textId="1BCC8B32" w:rsidR="00191CDE" w:rsidRPr="006B6D61" w:rsidRDefault="00DE0E91" w:rsidP="00191CDE">
            <w:pPr>
              <w:spacing w:after="0" w:line="252" w:lineRule="auto"/>
              <w:jc w:val="right"/>
              <w:rPr>
                <w:rFonts w:eastAsia="Calibri" w:cstheme="minorHAnsi"/>
                <w:b/>
                <w:bCs/>
                <w:sz w:val="20"/>
                <w:szCs w:val="20"/>
              </w:rPr>
            </w:pPr>
            <w:r w:rsidRPr="006B6D61">
              <w:rPr>
                <w:rFonts w:eastAsia="Calibri" w:cstheme="minorHAnsi"/>
                <w:b/>
                <w:bCs/>
                <w:sz w:val="20"/>
                <w:szCs w:val="20"/>
              </w:rPr>
              <w:t>75 591</w:t>
            </w:r>
          </w:p>
        </w:tc>
        <w:tc>
          <w:tcPr>
            <w:tcW w:w="820"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tcPr>
          <w:p w14:paraId="7AA8DACE" w14:textId="1104AB9F" w:rsidR="00191CDE" w:rsidRPr="006B6D61" w:rsidRDefault="00D43F8F">
            <w:pPr>
              <w:spacing w:after="0" w:line="252" w:lineRule="auto"/>
              <w:jc w:val="right"/>
              <w:rPr>
                <w:rFonts w:eastAsia="Calibri" w:cstheme="minorHAnsi"/>
                <w:b/>
                <w:bCs/>
                <w:sz w:val="20"/>
                <w:szCs w:val="20"/>
              </w:rPr>
            </w:pPr>
            <w:r w:rsidRPr="006B6D61">
              <w:rPr>
                <w:b/>
                <w:sz w:val="20"/>
                <w:szCs w:val="20"/>
              </w:rPr>
              <w:t>102,5</w:t>
            </w:r>
          </w:p>
        </w:tc>
      </w:tr>
      <w:tr w:rsidR="002F1BE7" w:rsidRPr="0044012B" w14:paraId="0B1D4621"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1B32F7A8" w14:textId="3DAB1B96" w:rsidR="002F597A" w:rsidRPr="006B6D61" w:rsidRDefault="002F597A" w:rsidP="00CC34A0">
            <w:pPr>
              <w:spacing w:after="0" w:line="252" w:lineRule="auto"/>
              <w:rPr>
                <w:rFonts w:eastAsia="Calibri" w:cstheme="minorHAnsi"/>
                <w:sz w:val="20"/>
                <w:szCs w:val="20"/>
              </w:rPr>
            </w:pPr>
            <w:r w:rsidRPr="006B6D61">
              <w:rPr>
                <w:rFonts w:cstheme="minorHAnsi"/>
                <w:sz w:val="20"/>
                <w:szCs w:val="20"/>
              </w:rPr>
              <w:t>platy zaměstnanců a ostatní platby za provedenou práci</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0D53B1EA" w14:textId="7B38BDE9" w:rsidR="002F597A" w:rsidRPr="006B6D61" w:rsidRDefault="0001654B">
            <w:pPr>
              <w:spacing w:after="0" w:line="252" w:lineRule="auto"/>
              <w:jc w:val="right"/>
              <w:rPr>
                <w:rFonts w:eastAsia="Calibri" w:cstheme="minorHAnsi"/>
                <w:sz w:val="20"/>
                <w:szCs w:val="20"/>
              </w:rPr>
            </w:pPr>
            <w:r w:rsidRPr="006B6D61">
              <w:rPr>
                <w:rFonts w:cstheme="minorHAnsi"/>
                <w:sz w:val="20"/>
                <w:szCs w:val="20"/>
              </w:rPr>
              <w:t>39 667</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5EDD153A" w14:textId="4ADA9AF7" w:rsidR="002F597A" w:rsidRPr="006B6D61" w:rsidRDefault="00B66D22">
            <w:pPr>
              <w:spacing w:after="0" w:line="252" w:lineRule="auto"/>
              <w:jc w:val="right"/>
              <w:rPr>
                <w:rFonts w:eastAsia="Calibri" w:cstheme="minorHAnsi"/>
                <w:sz w:val="20"/>
                <w:szCs w:val="20"/>
              </w:rPr>
            </w:pPr>
            <w:r w:rsidRPr="006B6D61">
              <w:rPr>
                <w:sz w:val="20"/>
                <w:szCs w:val="20"/>
              </w:rPr>
              <w:t>41 868</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62844D40" w14:textId="3F77D15E" w:rsidR="002F597A" w:rsidRPr="006B6D61" w:rsidRDefault="00DE1217">
            <w:pPr>
              <w:spacing w:after="0" w:line="252" w:lineRule="auto"/>
              <w:jc w:val="right"/>
              <w:rPr>
                <w:rFonts w:eastAsia="Calibri" w:cstheme="minorHAnsi"/>
                <w:sz w:val="20"/>
                <w:szCs w:val="20"/>
              </w:rPr>
            </w:pPr>
            <w:r w:rsidRPr="006B6D61">
              <w:rPr>
                <w:sz w:val="20"/>
                <w:szCs w:val="20"/>
              </w:rPr>
              <w:t>41 868</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089481C5" w14:textId="72A7E29B" w:rsidR="002F597A" w:rsidRPr="006B6D61" w:rsidRDefault="00E05984" w:rsidP="002F597A">
            <w:pPr>
              <w:spacing w:after="0" w:line="252" w:lineRule="auto"/>
              <w:jc w:val="right"/>
              <w:rPr>
                <w:rFonts w:eastAsia="Calibri" w:cstheme="minorHAnsi"/>
                <w:sz w:val="20"/>
                <w:szCs w:val="20"/>
              </w:rPr>
            </w:pPr>
            <w:r w:rsidRPr="006B6D61">
              <w:rPr>
                <w:rFonts w:eastAsia="Calibri" w:cstheme="minorHAnsi"/>
                <w:sz w:val="20"/>
                <w:szCs w:val="20"/>
              </w:rPr>
              <w:t>41 672</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44431D29" w14:textId="2DAD3DE2" w:rsidR="002F597A" w:rsidRPr="006B6D61" w:rsidRDefault="00817EFA">
            <w:pPr>
              <w:spacing w:after="0" w:line="252" w:lineRule="auto"/>
              <w:jc w:val="right"/>
              <w:rPr>
                <w:rFonts w:eastAsia="Calibri" w:cstheme="minorHAnsi"/>
                <w:sz w:val="20"/>
                <w:szCs w:val="20"/>
              </w:rPr>
            </w:pPr>
            <w:r w:rsidRPr="006B6D61">
              <w:rPr>
                <w:sz w:val="20"/>
                <w:szCs w:val="20"/>
              </w:rPr>
              <w:t>41 584</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5DC28961" w14:textId="6A2BDE64" w:rsidR="002F597A" w:rsidRPr="006B6D61" w:rsidRDefault="00096182">
            <w:pPr>
              <w:spacing w:after="0" w:line="252" w:lineRule="auto"/>
              <w:jc w:val="right"/>
              <w:rPr>
                <w:rFonts w:eastAsia="Calibri" w:cstheme="minorHAnsi"/>
                <w:sz w:val="20"/>
                <w:szCs w:val="20"/>
              </w:rPr>
            </w:pPr>
            <w:r w:rsidRPr="006B6D61">
              <w:rPr>
                <w:sz w:val="20"/>
                <w:szCs w:val="20"/>
              </w:rPr>
              <w:t>104,8</w:t>
            </w:r>
          </w:p>
        </w:tc>
      </w:tr>
      <w:tr w:rsidR="002F1BE7" w:rsidRPr="0044012B" w14:paraId="210EF427" w14:textId="77777777" w:rsidTr="00DB6909">
        <w:trPr>
          <w:trHeight w:val="23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7D180513" w14:textId="4E4A9CC5" w:rsidR="002F597A" w:rsidRPr="006B6D61" w:rsidRDefault="002F597A" w:rsidP="00CC34A0">
            <w:pPr>
              <w:spacing w:after="0" w:line="252" w:lineRule="auto"/>
              <w:ind w:firstLine="6"/>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1D87A6BC" w14:textId="2FFF939F" w:rsidR="002F597A" w:rsidRPr="006B6D61" w:rsidRDefault="0001654B">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78144572" w14:textId="772BF14B"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3CB92DBC" w14:textId="4424ECF0"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271C60F0" w14:textId="123F02F6"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06BF9049" w14:textId="472D149A"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7E0F03BA" w14:textId="7ACF06D0" w:rsidR="002F597A" w:rsidRPr="006B6D61" w:rsidRDefault="00096182">
            <w:pPr>
              <w:spacing w:after="0" w:line="252" w:lineRule="auto"/>
              <w:jc w:val="right"/>
              <w:rPr>
                <w:rFonts w:eastAsia="Calibri" w:cstheme="minorHAnsi"/>
                <w:i/>
                <w:sz w:val="20"/>
                <w:szCs w:val="20"/>
              </w:rPr>
            </w:pPr>
            <w:r w:rsidRPr="006B6D61">
              <w:rPr>
                <w:i/>
                <w:sz w:val="20"/>
                <w:szCs w:val="20"/>
              </w:rPr>
              <w:t>x</w:t>
            </w:r>
          </w:p>
        </w:tc>
      </w:tr>
      <w:tr w:rsidR="002F1BE7" w:rsidRPr="0044012B" w14:paraId="48CD9C06"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55B94020" w14:textId="74328F7A" w:rsidR="002F597A" w:rsidRPr="006B6D61" w:rsidRDefault="002F597A" w:rsidP="00D3010F">
            <w:pPr>
              <w:spacing w:after="0" w:line="252" w:lineRule="auto"/>
              <w:rPr>
                <w:rFonts w:eastAsia="Calibri" w:cstheme="minorHAnsi"/>
                <w:i/>
                <w:sz w:val="20"/>
                <w:szCs w:val="20"/>
              </w:rPr>
            </w:pPr>
            <w:r w:rsidRPr="006B6D61">
              <w:rPr>
                <w:rFonts w:cstheme="minorHAnsi"/>
                <w:i/>
                <w:sz w:val="20"/>
                <w:szCs w:val="20"/>
              </w:rPr>
              <w:t>v tom: ze SR</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3EDE0229" w14:textId="73454169" w:rsidR="002F597A" w:rsidRPr="006B6D61" w:rsidRDefault="0001654B">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6605C65E" w14:textId="3DF16B12"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0697FE6F" w14:textId="71A5762A"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1008AC96" w14:textId="31550948"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37D1BC2D" w14:textId="277C33CF"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042CE158" w14:textId="42EB500E" w:rsidR="002F597A" w:rsidRPr="006B6D61" w:rsidRDefault="00096182">
            <w:pPr>
              <w:spacing w:after="0" w:line="252" w:lineRule="auto"/>
              <w:jc w:val="right"/>
              <w:rPr>
                <w:rFonts w:eastAsia="Calibri" w:cstheme="minorHAnsi"/>
                <w:i/>
                <w:sz w:val="20"/>
                <w:szCs w:val="20"/>
              </w:rPr>
            </w:pPr>
            <w:r w:rsidRPr="006B6D61">
              <w:rPr>
                <w:i/>
                <w:sz w:val="20"/>
                <w:szCs w:val="20"/>
              </w:rPr>
              <w:t>x</w:t>
            </w:r>
          </w:p>
        </w:tc>
      </w:tr>
      <w:tr w:rsidR="002F1BE7" w:rsidRPr="0044012B" w14:paraId="2EF5E60D"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12E76EB8" w14:textId="2BC60E53" w:rsidR="002F597A" w:rsidRPr="006B6D61" w:rsidRDefault="009B0D06" w:rsidP="00D3010F">
            <w:pPr>
              <w:spacing w:after="0" w:line="252" w:lineRule="auto"/>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2F597A" w:rsidRPr="006B6D61">
              <w:rPr>
                <w:rFonts w:cstheme="minorHAnsi"/>
                <w:i/>
                <w:sz w:val="20"/>
                <w:szCs w:val="20"/>
              </w:rPr>
              <w:t>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538F48D5" w14:textId="586B0D1D" w:rsidR="002F597A" w:rsidRPr="006B6D61" w:rsidRDefault="0001654B">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3AE9F1DD" w14:textId="73B32749"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3BF086FF" w14:textId="3AF70971"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1577CB11" w14:textId="720233E7"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2FB60A44" w14:textId="62DC5A33"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75B4AA4B" w14:textId="1DE2FE2F" w:rsidR="002F597A" w:rsidRPr="006B6D61" w:rsidRDefault="00096182">
            <w:pPr>
              <w:spacing w:after="0" w:line="252" w:lineRule="auto"/>
              <w:jc w:val="right"/>
              <w:rPr>
                <w:rFonts w:eastAsia="Calibri" w:cstheme="minorHAnsi"/>
                <w:i/>
                <w:sz w:val="20"/>
                <w:szCs w:val="20"/>
              </w:rPr>
            </w:pPr>
            <w:r w:rsidRPr="006B6D61">
              <w:rPr>
                <w:i/>
                <w:sz w:val="20"/>
                <w:szCs w:val="20"/>
              </w:rPr>
              <w:t>x</w:t>
            </w:r>
          </w:p>
        </w:tc>
      </w:tr>
      <w:tr w:rsidR="002F1BE7" w:rsidRPr="0044012B" w14:paraId="76552CC3"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0E62CFB5" w14:textId="1F6D0F61" w:rsidR="002F597A" w:rsidRPr="006B6D61" w:rsidRDefault="002F597A" w:rsidP="00CC34A0">
            <w:pPr>
              <w:spacing w:after="0" w:line="252" w:lineRule="auto"/>
              <w:ind w:firstLine="6"/>
              <w:rPr>
                <w:rFonts w:eastAsia="Calibri" w:cstheme="minorHAnsi"/>
                <w:sz w:val="20"/>
                <w:szCs w:val="20"/>
              </w:rPr>
            </w:pPr>
            <w:r w:rsidRPr="006B6D61">
              <w:rPr>
                <w:rFonts w:cstheme="minorHAnsi"/>
                <w:sz w:val="20"/>
                <w:szCs w:val="20"/>
              </w:rPr>
              <w:t>povinné pojistné placené zaměstnavatelem</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7FC706E7" w14:textId="283E1316" w:rsidR="002F597A" w:rsidRPr="006B6D61" w:rsidRDefault="0001654B">
            <w:pPr>
              <w:spacing w:after="0" w:line="252" w:lineRule="auto"/>
              <w:jc w:val="right"/>
              <w:rPr>
                <w:rFonts w:eastAsia="Calibri" w:cstheme="minorHAnsi"/>
                <w:sz w:val="20"/>
                <w:szCs w:val="20"/>
              </w:rPr>
            </w:pPr>
            <w:r w:rsidRPr="006B6D61">
              <w:rPr>
                <w:rFonts w:cstheme="minorHAnsi"/>
                <w:sz w:val="20"/>
                <w:szCs w:val="20"/>
              </w:rPr>
              <w:t>13 402</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1160B5F2" w14:textId="706F0DCD" w:rsidR="002F597A" w:rsidRPr="006B6D61" w:rsidRDefault="00D24F2A">
            <w:pPr>
              <w:spacing w:after="0" w:line="252" w:lineRule="auto"/>
              <w:jc w:val="right"/>
              <w:rPr>
                <w:rFonts w:eastAsia="Calibri" w:cstheme="minorHAnsi"/>
                <w:sz w:val="20"/>
                <w:szCs w:val="20"/>
              </w:rPr>
            </w:pPr>
            <w:r w:rsidRPr="006B6D61">
              <w:rPr>
                <w:sz w:val="20"/>
                <w:szCs w:val="20"/>
              </w:rPr>
              <w:t>14 152</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4630B94A" w14:textId="6EFD41C3" w:rsidR="002F597A" w:rsidRPr="006B6D61" w:rsidRDefault="00DE1217">
            <w:pPr>
              <w:spacing w:after="0" w:line="252" w:lineRule="auto"/>
              <w:jc w:val="right"/>
              <w:rPr>
                <w:rFonts w:eastAsia="Calibri" w:cstheme="minorHAnsi"/>
                <w:sz w:val="20"/>
                <w:szCs w:val="20"/>
              </w:rPr>
            </w:pPr>
            <w:r w:rsidRPr="006B6D61">
              <w:rPr>
                <w:sz w:val="20"/>
                <w:szCs w:val="20"/>
              </w:rPr>
              <w:t>14 152</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56412472" w14:textId="04D0D659" w:rsidR="002F597A" w:rsidRPr="006B6D61" w:rsidRDefault="00FB330B" w:rsidP="002F597A">
            <w:pPr>
              <w:spacing w:after="0" w:line="252" w:lineRule="auto"/>
              <w:jc w:val="right"/>
              <w:rPr>
                <w:rFonts w:eastAsia="Calibri" w:cstheme="minorHAnsi"/>
                <w:sz w:val="20"/>
                <w:szCs w:val="20"/>
              </w:rPr>
            </w:pPr>
            <w:r w:rsidRPr="006B6D61">
              <w:rPr>
                <w:rFonts w:eastAsia="Calibri" w:cstheme="minorHAnsi"/>
                <w:sz w:val="20"/>
                <w:szCs w:val="20"/>
              </w:rPr>
              <w:t>14 0</w:t>
            </w:r>
            <w:r w:rsidR="00B370DC" w:rsidRPr="006B6D61">
              <w:rPr>
                <w:rFonts w:eastAsia="Calibri" w:cstheme="minorHAnsi"/>
                <w:sz w:val="20"/>
                <w:szCs w:val="20"/>
              </w:rPr>
              <w:t>83</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1C201E14" w14:textId="5ABBB539" w:rsidR="002F597A" w:rsidRPr="006B6D61" w:rsidRDefault="002C2F86">
            <w:pPr>
              <w:spacing w:after="0" w:line="252" w:lineRule="auto"/>
              <w:jc w:val="right"/>
              <w:rPr>
                <w:rFonts w:eastAsia="Calibri" w:cstheme="minorHAnsi"/>
                <w:sz w:val="20"/>
                <w:szCs w:val="20"/>
              </w:rPr>
            </w:pPr>
            <w:r w:rsidRPr="006B6D61">
              <w:rPr>
                <w:sz w:val="20"/>
                <w:szCs w:val="20"/>
              </w:rPr>
              <w:t>14 020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172EB7FD" w14:textId="6E2441F1" w:rsidR="002F597A" w:rsidRPr="006B6D61" w:rsidRDefault="00A30657">
            <w:pPr>
              <w:spacing w:after="0" w:line="252" w:lineRule="auto"/>
              <w:jc w:val="right"/>
              <w:rPr>
                <w:rFonts w:eastAsia="Calibri" w:cstheme="minorHAnsi"/>
                <w:sz w:val="20"/>
                <w:szCs w:val="20"/>
              </w:rPr>
            </w:pPr>
            <w:r w:rsidRPr="006B6D61">
              <w:rPr>
                <w:sz w:val="20"/>
                <w:szCs w:val="20"/>
              </w:rPr>
              <w:t>104,6</w:t>
            </w:r>
          </w:p>
        </w:tc>
      </w:tr>
      <w:tr w:rsidR="002F1BE7" w:rsidRPr="0044012B" w14:paraId="40AECDF5"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74C701EB" w14:textId="35F3BF9A" w:rsidR="002F597A" w:rsidRPr="006B6D61" w:rsidRDefault="002F597A" w:rsidP="00CC34A0">
            <w:pPr>
              <w:spacing w:after="0" w:line="252" w:lineRule="auto"/>
              <w:ind w:firstLine="6"/>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11A19C85" w14:textId="0002AC85" w:rsidR="002F597A" w:rsidRPr="006B6D61" w:rsidRDefault="0001654B">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7FFE4F70" w14:textId="69B435B1"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5A3A7392" w14:textId="76FA2586"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0F7099DC" w14:textId="22D612DD"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6DCB3D06" w14:textId="7036B1FF"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28F1008C" w14:textId="01A12870" w:rsidR="002F597A" w:rsidRPr="006B6D61" w:rsidRDefault="00A30657">
            <w:pPr>
              <w:spacing w:after="0" w:line="252" w:lineRule="auto"/>
              <w:jc w:val="right"/>
              <w:rPr>
                <w:rFonts w:eastAsia="Calibri" w:cstheme="minorHAnsi"/>
                <w:i/>
                <w:sz w:val="20"/>
                <w:szCs w:val="20"/>
              </w:rPr>
            </w:pPr>
            <w:r w:rsidRPr="006B6D61">
              <w:rPr>
                <w:i/>
                <w:sz w:val="20"/>
                <w:szCs w:val="20"/>
              </w:rPr>
              <w:t>x</w:t>
            </w:r>
          </w:p>
        </w:tc>
      </w:tr>
      <w:tr w:rsidR="002F1BE7" w:rsidRPr="0044012B" w14:paraId="2E07C732"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0D1FF458" w14:textId="650B75F7" w:rsidR="002F597A" w:rsidRPr="006B6D61" w:rsidRDefault="002F597A" w:rsidP="00D3010F">
            <w:pPr>
              <w:spacing w:after="0" w:line="252" w:lineRule="auto"/>
              <w:rPr>
                <w:rFonts w:eastAsia="Calibri" w:cstheme="minorHAnsi"/>
                <w:i/>
                <w:sz w:val="20"/>
                <w:szCs w:val="20"/>
              </w:rPr>
            </w:pPr>
            <w:r w:rsidRPr="006B6D61">
              <w:rPr>
                <w:rFonts w:cstheme="minorHAnsi"/>
                <w:i/>
                <w:sz w:val="20"/>
                <w:szCs w:val="20"/>
              </w:rPr>
              <w:t>v tom: ze SR</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1DED7A42" w14:textId="1E98F40F" w:rsidR="002F597A" w:rsidRPr="006B6D61" w:rsidRDefault="0001654B">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3A7808D9" w14:textId="42638D79"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29F842A0" w14:textId="00372A89"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3420CD24" w14:textId="22CEE77B"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696AAFD3" w14:textId="7D5789C1"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3CE81203" w14:textId="6CD79A91" w:rsidR="002F597A" w:rsidRPr="006B6D61" w:rsidRDefault="00A30657">
            <w:pPr>
              <w:spacing w:after="0" w:line="252" w:lineRule="auto"/>
              <w:jc w:val="right"/>
              <w:rPr>
                <w:rFonts w:eastAsia="Calibri" w:cstheme="minorHAnsi"/>
                <w:i/>
                <w:sz w:val="20"/>
                <w:szCs w:val="20"/>
              </w:rPr>
            </w:pPr>
            <w:r w:rsidRPr="006B6D61">
              <w:rPr>
                <w:i/>
                <w:sz w:val="20"/>
                <w:szCs w:val="20"/>
              </w:rPr>
              <w:t>x</w:t>
            </w:r>
          </w:p>
        </w:tc>
      </w:tr>
      <w:tr w:rsidR="002F1BE7" w:rsidRPr="0044012B" w14:paraId="5BDA21DF"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7B71954A" w14:textId="6820622A" w:rsidR="002F597A" w:rsidRPr="006B6D61" w:rsidRDefault="009B0D06" w:rsidP="00D3010F">
            <w:pPr>
              <w:spacing w:after="0" w:line="252" w:lineRule="auto"/>
              <w:rPr>
                <w:rFonts w:eastAsia="Calibri" w:cstheme="minorHAnsi"/>
                <w:i/>
                <w:sz w:val="20"/>
                <w:szCs w:val="20"/>
              </w:rPr>
            </w:pPr>
            <w:r w:rsidRPr="006B6D61">
              <w:rPr>
                <w:rFonts w:cstheme="minorHAnsi"/>
                <w:i/>
                <w:sz w:val="20"/>
                <w:szCs w:val="20"/>
              </w:rPr>
              <w:tab/>
            </w:r>
            <w:r w:rsidR="00EA3686" w:rsidRPr="006B6D61">
              <w:rPr>
                <w:rFonts w:cstheme="minorHAnsi"/>
                <w:i/>
                <w:sz w:val="20"/>
                <w:szCs w:val="20"/>
              </w:rPr>
              <w:tab/>
            </w:r>
            <w:r w:rsidR="002F597A" w:rsidRPr="006B6D61">
              <w:rPr>
                <w:rFonts w:cstheme="minorHAnsi"/>
                <w:i/>
                <w:sz w:val="20"/>
                <w:szCs w:val="20"/>
              </w:rPr>
              <w:t xml:space="preserve"> 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4F7926B3" w14:textId="2651A4FA" w:rsidR="002F597A" w:rsidRPr="006B6D61" w:rsidRDefault="0001654B">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75CE93BD" w14:textId="5F67797F"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1106BD63" w14:textId="1FACF207"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4A9C3F07" w14:textId="7E4BC293"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672AD4FE" w14:textId="224CB6B6"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713A123A" w14:textId="2532C318" w:rsidR="002F597A" w:rsidRPr="006B6D61" w:rsidRDefault="00A30657">
            <w:pPr>
              <w:spacing w:after="0" w:line="252" w:lineRule="auto"/>
              <w:jc w:val="right"/>
              <w:rPr>
                <w:rFonts w:eastAsia="Calibri" w:cstheme="minorHAnsi"/>
                <w:i/>
                <w:sz w:val="20"/>
                <w:szCs w:val="20"/>
              </w:rPr>
            </w:pPr>
            <w:r w:rsidRPr="006B6D61">
              <w:rPr>
                <w:i/>
                <w:sz w:val="20"/>
                <w:szCs w:val="20"/>
              </w:rPr>
              <w:t>x</w:t>
            </w:r>
          </w:p>
        </w:tc>
      </w:tr>
      <w:tr w:rsidR="002F1BE7" w:rsidRPr="0044012B" w14:paraId="269ECDFC"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5A5249F1" w14:textId="19BC4F61" w:rsidR="002F597A" w:rsidRPr="006B6D61" w:rsidRDefault="002F597A" w:rsidP="00CC34A0">
            <w:pPr>
              <w:spacing w:after="0" w:line="252" w:lineRule="auto"/>
              <w:ind w:firstLine="6"/>
              <w:rPr>
                <w:rFonts w:eastAsia="Calibri" w:cstheme="minorHAnsi"/>
                <w:sz w:val="20"/>
                <w:szCs w:val="20"/>
              </w:rPr>
            </w:pPr>
            <w:r w:rsidRPr="006B6D61">
              <w:rPr>
                <w:rFonts w:cstheme="minorHAnsi"/>
                <w:sz w:val="20"/>
                <w:szCs w:val="20"/>
              </w:rPr>
              <w:t>základní příděl FKSP</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21EB8BE7" w14:textId="27733302" w:rsidR="002F597A" w:rsidRPr="006B6D61" w:rsidRDefault="00170DCC">
            <w:pPr>
              <w:spacing w:after="0" w:line="252" w:lineRule="auto"/>
              <w:jc w:val="right"/>
              <w:rPr>
                <w:rFonts w:eastAsia="Calibri" w:cstheme="minorHAnsi"/>
                <w:sz w:val="20"/>
                <w:szCs w:val="20"/>
              </w:rPr>
            </w:pPr>
            <w:r w:rsidRPr="006B6D61">
              <w:rPr>
                <w:rFonts w:cstheme="minorHAnsi"/>
                <w:sz w:val="20"/>
                <w:szCs w:val="20"/>
              </w:rPr>
              <w:t>792</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6462DF3A" w14:textId="09788B8D" w:rsidR="002F597A" w:rsidRPr="006B6D61" w:rsidRDefault="007238B9">
            <w:pPr>
              <w:spacing w:after="0" w:line="252" w:lineRule="auto"/>
              <w:jc w:val="right"/>
              <w:rPr>
                <w:rFonts w:eastAsia="Calibri" w:cstheme="minorHAnsi"/>
                <w:sz w:val="20"/>
                <w:szCs w:val="20"/>
              </w:rPr>
            </w:pPr>
            <w:r w:rsidRPr="006B6D61">
              <w:rPr>
                <w:sz w:val="20"/>
                <w:szCs w:val="20"/>
              </w:rPr>
              <w:t>834</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401AAAC2" w14:textId="708E600F" w:rsidR="002F597A" w:rsidRPr="006B6D61" w:rsidRDefault="00DE1217">
            <w:pPr>
              <w:spacing w:after="0" w:line="252" w:lineRule="auto"/>
              <w:jc w:val="right"/>
              <w:rPr>
                <w:rFonts w:eastAsia="Calibri" w:cstheme="minorHAnsi"/>
                <w:sz w:val="20"/>
                <w:szCs w:val="20"/>
              </w:rPr>
            </w:pPr>
            <w:r w:rsidRPr="006B6D61">
              <w:rPr>
                <w:sz w:val="20"/>
                <w:szCs w:val="20"/>
              </w:rPr>
              <w:t>834</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5A15A386" w14:textId="2108165D" w:rsidR="002F597A" w:rsidRPr="006B6D61" w:rsidRDefault="00B370DC" w:rsidP="002F597A">
            <w:pPr>
              <w:spacing w:after="0" w:line="252" w:lineRule="auto"/>
              <w:jc w:val="right"/>
              <w:rPr>
                <w:rFonts w:eastAsia="Calibri" w:cstheme="minorHAnsi"/>
                <w:sz w:val="20"/>
                <w:szCs w:val="20"/>
              </w:rPr>
            </w:pPr>
            <w:r w:rsidRPr="006B6D61">
              <w:rPr>
                <w:rFonts w:eastAsia="Calibri" w:cstheme="minorHAnsi"/>
                <w:sz w:val="20"/>
                <w:szCs w:val="20"/>
              </w:rPr>
              <w:t>830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0B2F3DB9" w14:textId="4E4EAB73" w:rsidR="002F597A" w:rsidRPr="006B6D61" w:rsidRDefault="006638E7">
            <w:pPr>
              <w:spacing w:after="0" w:line="252" w:lineRule="auto"/>
              <w:jc w:val="right"/>
              <w:rPr>
                <w:rFonts w:eastAsia="Calibri" w:cstheme="minorHAnsi"/>
                <w:sz w:val="20"/>
                <w:szCs w:val="20"/>
              </w:rPr>
            </w:pPr>
            <w:r w:rsidRPr="006B6D61">
              <w:rPr>
                <w:sz w:val="20"/>
                <w:szCs w:val="20"/>
              </w:rPr>
              <w:t>830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2E5FA738" w14:textId="3B14476D" w:rsidR="002F597A" w:rsidRPr="006B6D61" w:rsidRDefault="004D7B5F">
            <w:pPr>
              <w:spacing w:after="0" w:line="252" w:lineRule="auto"/>
              <w:jc w:val="right"/>
              <w:rPr>
                <w:rFonts w:eastAsia="Calibri" w:cstheme="minorHAnsi"/>
                <w:sz w:val="20"/>
                <w:szCs w:val="20"/>
              </w:rPr>
            </w:pPr>
            <w:r w:rsidRPr="006B6D61">
              <w:rPr>
                <w:sz w:val="20"/>
                <w:szCs w:val="20"/>
              </w:rPr>
              <w:t>104,8</w:t>
            </w:r>
          </w:p>
        </w:tc>
      </w:tr>
      <w:tr w:rsidR="002F1BE7" w:rsidRPr="0044012B" w14:paraId="7B28B8D2"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355110B1" w14:textId="683E0D29" w:rsidR="002F597A" w:rsidRPr="006B6D61" w:rsidRDefault="002F597A" w:rsidP="008E0C66">
            <w:pPr>
              <w:spacing w:after="0" w:line="252" w:lineRule="auto"/>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01FA2F78" w14:textId="1404E29D" w:rsidR="002F597A" w:rsidRPr="006B6D61" w:rsidRDefault="00170DCC">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75FBC7E9" w14:textId="0AFF6BC0"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57313420" w14:textId="0E2AC6EE"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15A9918F" w14:textId="556FB9A4"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2541DDF0" w14:textId="72B033B6"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6AEC027F" w14:textId="1A76557D" w:rsidR="002F597A" w:rsidRPr="006B6D61" w:rsidRDefault="004D7B5F">
            <w:pPr>
              <w:spacing w:after="0" w:line="252" w:lineRule="auto"/>
              <w:jc w:val="right"/>
              <w:rPr>
                <w:rFonts w:eastAsia="Calibri" w:cstheme="minorHAnsi"/>
                <w:i/>
                <w:sz w:val="20"/>
                <w:szCs w:val="20"/>
              </w:rPr>
            </w:pPr>
            <w:r w:rsidRPr="006B6D61">
              <w:rPr>
                <w:i/>
                <w:sz w:val="20"/>
                <w:szCs w:val="20"/>
              </w:rPr>
              <w:t>x</w:t>
            </w:r>
          </w:p>
        </w:tc>
      </w:tr>
      <w:tr w:rsidR="002F1BE7" w:rsidRPr="0044012B" w14:paraId="766B4C00"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3CA33C76" w14:textId="5B303B2D" w:rsidR="002F597A" w:rsidRPr="006B6D61" w:rsidRDefault="002F597A" w:rsidP="00D3010F">
            <w:pPr>
              <w:spacing w:after="0" w:line="252" w:lineRule="auto"/>
              <w:rPr>
                <w:rFonts w:eastAsia="Calibri" w:cstheme="minorHAnsi"/>
                <w:i/>
                <w:sz w:val="20"/>
                <w:szCs w:val="20"/>
              </w:rPr>
            </w:pPr>
            <w:r w:rsidRPr="006B6D61">
              <w:rPr>
                <w:rFonts w:cstheme="minorHAnsi"/>
                <w:i/>
                <w:sz w:val="20"/>
                <w:szCs w:val="20"/>
              </w:rPr>
              <w:t>v tom: ze SR</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5D534C03" w14:textId="48BA5595" w:rsidR="002F597A" w:rsidRPr="006B6D61" w:rsidRDefault="00170DCC">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5F98046D" w14:textId="4E0854F7"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65EEB4AB" w14:textId="265C1CC4"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1195F39E" w14:textId="3DD1F691"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40AFB2AA" w14:textId="67742988"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2F65FB6D" w14:textId="2F71FF4F" w:rsidR="002F597A" w:rsidRPr="006B6D61" w:rsidRDefault="004D7B5F">
            <w:pPr>
              <w:spacing w:after="0" w:line="252" w:lineRule="auto"/>
              <w:jc w:val="right"/>
              <w:rPr>
                <w:rFonts w:eastAsia="Calibri" w:cstheme="minorHAnsi"/>
                <w:i/>
                <w:sz w:val="20"/>
                <w:szCs w:val="20"/>
              </w:rPr>
            </w:pPr>
            <w:r w:rsidRPr="006B6D61">
              <w:rPr>
                <w:i/>
                <w:sz w:val="20"/>
                <w:szCs w:val="20"/>
              </w:rPr>
              <w:t>x</w:t>
            </w:r>
          </w:p>
        </w:tc>
      </w:tr>
      <w:tr w:rsidR="002F1BE7" w:rsidRPr="0044012B" w14:paraId="7E3726CC"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0D4FA02D" w14:textId="109A7023" w:rsidR="002F597A" w:rsidRPr="006B6D61" w:rsidRDefault="009B0D06" w:rsidP="00D3010F">
            <w:pPr>
              <w:spacing w:after="0" w:line="252" w:lineRule="auto"/>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2F597A" w:rsidRPr="006B6D61">
              <w:rPr>
                <w:rFonts w:cstheme="minorHAnsi"/>
                <w:i/>
                <w:sz w:val="20"/>
                <w:szCs w:val="20"/>
              </w:rPr>
              <w:t>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42C0A1B5" w14:textId="435C4CCB" w:rsidR="002F597A" w:rsidRPr="006B6D61" w:rsidRDefault="00170DCC">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730881E8" w14:textId="770B8829"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286C835D" w14:textId="77C2354C"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65F857C8" w14:textId="604642D4"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034C7B10" w14:textId="628A7EBD"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2819BB67" w14:textId="46FAF272" w:rsidR="002F597A" w:rsidRPr="006B6D61" w:rsidRDefault="004D7B5F">
            <w:pPr>
              <w:spacing w:after="0" w:line="252" w:lineRule="auto"/>
              <w:jc w:val="right"/>
              <w:rPr>
                <w:rFonts w:eastAsia="Calibri" w:cstheme="minorHAnsi"/>
                <w:i/>
                <w:sz w:val="20"/>
                <w:szCs w:val="20"/>
              </w:rPr>
            </w:pPr>
            <w:r w:rsidRPr="006B6D61">
              <w:rPr>
                <w:i/>
                <w:sz w:val="20"/>
                <w:szCs w:val="20"/>
              </w:rPr>
              <w:t>x</w:t>
            </w:r>
          </w:p>
        </w:tc>
      </w:tr>
      <w:tr w:rsidR="002F1BE7" w:rsidRPr="0044012B" w14:paraId="4A6E0E95"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24D862C9" w14:textId="2F8BBE54" w:rsidR="002F597A" w:rsidRPr="006B6D61" w:rsidRDefault="002F597A" w:rsidP="00CC34A0">
            <w:pPr>
              <w:spacing w:after="0" w:line="252" w:lineRule="auto"/>
              <w:rPr>
                <w:rFonts w:eastAsia="Calibri" w:cstheme="minorHAnsi"/>
                <w:sz w:val="20"/>
                <w:szCs w:val="20"/>
              </w:rPr>
            </w:pPr>
            <w:r w:rsidRPr="006B6D61">
              <w:rPr>
                <w:rFonts w:cstheme="minorHAnsi"/>
                <w:sz w:val="20"/>
                <w:szCs w:val="20"/>
              </w:rPr>
              <w:t>ostatní neinvestiční výdaje</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1C528A78" w14:textId="2433CC11" w:rsidR="002F597A" w:rsidRPr="006B6D61" w:rsidRDefault="00170DCC">
            <w:pPr>
              <w:spacing w:after="0" w:line="252" w:lineRule="auto"/>
              <w:jc w:val="right"/>
              <w:rPr>
                <w:rFonts w:eastAsia="Calibri" w:cstheme="minorHAnsi"/>
                <w:sz w:val="20"/>
                <w:szCs w:val="20"/>
              </w:rPr>
            </w:pPr>
            <w:r w:rsidRPr="006B6D61">
              <w:rPr>
                <w:rFonts w:cstheme="minorHAnsi"/>
                <w:sz w:val="20"/>
                <w:szCs w:val="20"/>
              </w:rPr>
              <w:t>19 886</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2596E215" w14:textId="72287B0B" w:rsidR="002F597A" w:rsidRPr="006B6D61" w:rsidRDefault="00AF0E36">
            <w:pPr>
              <w:spacing w:after="0" w:line="252" w:lineRule="auto"/>
              <w:jc w:val="right"/>
              <w:rPr>
                <w:rFonts w:eastAsia="Calibri" w:cstheme="minorHAnsi"/>
                <w:sz w:val="20"/>
                <w:szCs w:val="20"/>
              </w:rPr>
            </w:pPr>
            <w:r w:rsidRPr="006B6D61">
              <w:rPr>
                <w:sz w:val="20"/>
                <w:szCs w:val="20"/>
              </w:rPr>
              <w:t>19 145</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286BF3DB" w14:textId="791C800D" w:rsidR="002F597A" w:rsidRPr="006B6D61" w:rsidRDefault="00104AE0">
            <w:pPr>
              <w:spacing w:after="0" w:line="252" w:lineRule="auto"/>
              <w:jc w:val="right"/>
              <w:rPr>
                <w:rFonts w:eastAsia="Calibri" w:cstheme="minorHAnsi"/>
                <w:sz w:val="20"/>
                <w:szCs w:val="20"/>
              </w:rPr>
            </w:pPr>
            <w:r>
              <w:rPr>
                <w:sz w:val="20"/>
                <w:szCs w:val="20"/>
              </w:rPr>
              <w:t>19 409</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5076E330" w14:textId="480E3C8A" w:rsidR="002F597A" w:rsidRPr="006B6D61" w:rsidRDefault="000E378B" w:rsidP="002F597A">
            <w:pPr>
              <w:spacing w:after="0" w:line="252" w:lineRule="auto"/>
              <w:jc w:val="right"/>
              <w:rPr>
                <w:rFonts w:eastAsia="Calibri" w:cstheme="minorHAnsi"/>
                <w:sz w:val="20"/>
                <w:szCs w:val="20"/>
              </w:rPr>
            </w:pPr>
            <w:r w:rsidRPr="006B6D61">
              <w:rPr>
                <w:rFonts w:eastAsia="Calibri" w:cstheme="minorHAnsi"/>
                <w:sz w:val="20"/>
                <w:szCs w:val="20"/>
              </w:rPr>
              <w:t>20 464</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7BF67EFA" w14:textId="6535449C" w:rsidR="002F597A" w:rsidRPr="006B6D61" w:rsidRDefault="006C1585">
            <w:pPr>
              <w:spacing w:after="0" w:line="252" w:lineRule="auto"/>
              <w:jc w:val="right"/>
              <w:rPr>
                <w:rFonts w:eastAsia="Calibri" w:cstheme="minorHAnsi"/>
                <w:sz w:val="20"/>
                <w:szCs w:val="20"/>
              </w:rPr>
            </w:pPr>
            <w:r w:rsidRPr="006B6D61">
              <w:rPr>
                <w:sz w:val="20"/>
                <w:szCs w:val="20"/>
              </w:rPr>
              <w:t>19 157</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3A723528" w14:textId="479603A4" w:rsidR="002F597A" w:rsidRPr="006B6D61" w:rsidRDefault="00377805">
            <w:pPr>
              <w:spacing w:after="0" w:line="252" w:lineRule="auto"/>
              <w:jc w:val="right"/>
              <w:rPr>
                <w:rFonts w:eastAsia="Calibri" w:cstheme="minorHAnsi"/>
                <w:sz w:val="20"/>
                <w:szCs w:val="20"/>
              </w:rPr>
            </w:pPr>
            <w:r w:rsidRPr="006B6D61">
              <w:rPr>
                <w:sz w:val="20"/>
                <w:szCs w:val="20"/>
              </w:rPr>
              <w:t>96,3</w:t>
            </w:r>
          </w:p>
        </w:tc>
      </w:tr>
      <w:tr w:rsidR="002F1BE7" w:rsidRPr="0044012B" w14:paraId="57C24B73"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505A6068" w14:textId="4AC979F4" w:rsidR="002F597A" w:rsidRPr="006B6D61" w:rsidRDefault="002F597A" w:rsidP="003F0A7C">
            <w:pPr>
              <w:spacing w:after="0" w:line="252" w:lineRule="auto"/>
              <w:ind w:firstLine="91"/>
              <w:rPr>
                <w:rFonts w:eastAsia="Calibri" w:cstheme="minorHAnsi"/>
                <w:sz w:val="20"/>
                <w:szCs w:val="20"/>
              </w:rPr>
            </w:pPr>
            <w:r w:rsidRPr="006B6D61">
              <w:rPr>
                <w:rFonts w:cstheme="minorHAnsi"/>
                <w:sz w:val="20"/>
                <w:szCs w:val="20"/>
              </w:rPr>
              <w:t xml:space="preserve">z toho: RISPF </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36314C2D" w14:textId="611684CA" w:rsidR="002F597A" w:rsidRPr="006B6D61" w:rsidRDefault="00170DCC">
            <w:pPr>
              <w:spacing w:after="0" w:line="252" w:lineRule="auto"/>
              <w:jc w:val="right"/>
              <w:rPr>
                <w:rFonts w:eastAsia="Calibri" w:cstheme="minorHAnsi"/>
                <w:sz w:val="20"/>
                <w:szCs w:val="20"/>
              </w:rPr>
            </w:pPr>
            <w:r w:rsidRPr="006B6D61">
              <w:rPr>
                <w:rFonts w:cstheme="minorHAns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1C441E63" w14:textId="29BAED86" w:rsidR="002F597A" w:rsidRPr="006B6D61" w:rsidRDefault="002F597A">
            <w:pPr>
              <w:spacing w:after="0" w:line="252" w:lineRule="auto"/>
              <w:jc w:val="right"/>
              <w:rPr>
                <w:rFonts w:eastAsia="Calibri" w:cstheme="minorHAnsi"/>
                <w:sz w:val="20"/>
                <w:szCs w:val="20"/>
              </w:rPr>
            </w:pPr>
            <w:r w:rsidRPr="006B6D61">
              <w:rPr>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7C4E6CBD" w14:textId="3B22F42C" w:rsidR="002F597A" w:rsidRPr="006B6D61" w:rsidRDefault="002F597A">
            <w:pPr>
              <w:spacing w:after="0" w:line="252" w:lineRule="auto"/>
              <w:jc w:val="right"/>
              <w:rPr>
                <w:rFonts w:eastAsia="Calibri" w:cstheme="minorHAnsi"/>
                <w:sz w:val="20"/>
                <w:szCs w:val="20"/>
              </w:rPr>
            </w:pPr>
            <w:r w:rsidRPr="006B6D61">
              <w:rPr>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67AE9860" w14:textId="5C3CE190" w:rsidR="002F597A" w:rsidRPr="006B6D61" w:rsidRDefault="002F597A" w:rsidP="002F597A">
            <w:pPr>
              <w:spacing w:after="0" w:line="252" w:lineRule="auto"/>
              <w:jc w:val="right"/>
              <w:rPr>
                <w:rFonts w:eastAsia="Calibri" w:cstheme="minorHAnsi"/>
                <w:sz w:val="20"/>
                <w:szCs w:val="20"/>
              </w:rPr>
            </w:pPr>
            <w:r w:rsidRPr="006B6D61">
              <w:rPr>
                <w:rFonts w:eastAsia="Calibri" w:cstheme="minorHAns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301895AF" w14:textId="1B31C969" w:rsidR="002F597A" w:rsidRPr="006B6D61" w:rsidRDefault="002F597A">
            <w:pPr>
              <w:spacing w:after="0" w:line="252" w:lineRule="auto"/>
              <w:jc w:val="right"/>
              <w:rPr>
                <w:rFonts w:eastAsia="Calibri" w:cstheme="minorHAnsi"/>
                <w:sz w:val="20"/>
                <w:szCs w:val="20"/>
              </w:rPr>
            </w:pPr>
            <w:r w:rsidRPr="006B6D61">
              <w:rPr>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3A332940" w14:textId="37F12DE6" w:rsidR="002F597A" w:rsidRPr="006B6D61" w:rsidRDefault="00066ABC">
            <w:pPr>
              <w:spacing w:after="0" w:line="252" w:lineRule="auto"/>
              <w:jc w:val="right"/>
              <w:rPr>
                <w:rFonts w:eastAsia="Calibri" w:cstheme="minorHAnsi"/>
                <w:sz w:val="20"/>
                <w:szCs w:val="20"/>
              </w:rPr>
            </w:pPr>
            <w:r w:rsidRPr="006B6D61">
              <w:rPr>
                <w:sz w:val="20"/>
                <w:szCs w:val="20"/>
              </w:rPr>
              <w:t>x</w:t>
            </w:r>
          </w:p>
        </w:tc>
      </w:tr>
      <w:tr w:rsidR="002F1BE7" w:rsidRPr="0044012B" w14:paraId="4B5DD9BF"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53D55464" w14:textId="7AA601DC" w:rsidR="002F597A" w:rsidRPr="006B6D61" w:rsidRDefault="002F597A" w:rsidP="003F0A7C">
            <w:pPr>
              <w:spacing w:after="0" w:line="252" w:lineRule="auto"/>
              <w:ind w:firstLine="91"/>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3A136375" w14:textId="3A7A9557" w:rsidR="002F597A" w:rsidRPr="006B6D61" w:rsidRDefault="00170DCC">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14DB6542" w14:textId="0C232DF0"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3FC86214" w14:textId="3CA61187"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05676F96" w14:textId="7F6DB98A"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6C308A8E" w14:textId="6008749E"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1D406B37" w14:textId="0BBFFAB5" w:rsidR="002F597A" w:rsidRPr="006B6D61" w:rsidRDefault="00377805">
            <w:pPr>
              <w:spacing w:after="0" w:line="252" w:lineRule="auto"/>
              <w:jc w:val="right"/>
              <w:rPr>
                <w:rFonts w:eastAsia="Calibri" w:cstheme="minorHAnsi"/>
                <w:i/>
                <w:sz w:val="20"/>
                <w:szCs w:val="20"/>
              </w:rPr>
            </w:pPr>
            <w:r w:rsidRPr="006B6D61">
              <w:rPr>
                <w:i/>
                <w:sz w:val="20"/>
                <w:szCs w:val="20"/>
              </w:rPr>
              <w:t>x</w:t>
            </w:r>
          </w:p>
        </w:tc>
      </w:tr>
      <w:tr w:rsidR="002F1BE7" w:rsidRPr="0044012B" w14:paraId="6FEBF4E1" w14:textId="77777777" w:rsidTr="00DB6909">
        <w:trPr>
          <w:trHeight w:val="225"/>
          <w:tblHeader/>
        </w:trPr>
        <w:tc>
          <w:tcPr>
            <w:tcW w:w="2268" w:type="dxa"/>
            <w:tcBorders>
              <w:top w:val="nil"/>
              <w:left w:val="single" w:sz="4" w:space="0" w:color="auto"/>
              <w:bottom w:val="nil"/>
              <w:right w:val="single" w:sz="4" w:space="0" w:color="auto"/>
            </w:tcBorders>
            <w:tcMar>
              <w:top w:w="0" w:type="dxa"/>
              <w:left w:w="70" w:type="dxa"/>
              <w:bottom w:w="0" w:type="dxa"/>
              <w:right w:w="70" w:type="dxa"/>
            </w:tcMar>
          </w:tcPr>
          <w:p w14:paraId="6A775A23" w14:textId="01A41145" w:rsidR="002F597A" w:rsidRPr="006B6D61" w:rsidRDefault="002F597A" w:rsidP="00D3010F">
            <w:pPr>
              <w:spacing w:after="0" w:line="252" w:lineRule="auto"/>
              <w:rPr>
                <w:rFonts w:eastAsia="Calibri" w:cstheme="minorHAnsi"/>
                <w:i/>
                <w:sz w:val="20"/>
                <w:szCs w:val="20"/>
              </w:rPr>
            </w:pPr>
            <w:r w:rsidRPr="006B6D61">
              <w:rPr>
                <w:rFonts w:cstheme="minorHAnsi"/>
                <w:i/>
                <w:sz w:val="20"/>
                <w:szCs w:val="20"/>
              </w:rPr>
              <w:t>v tom: ze SR</w:t>
            </w:r>
          </w:p>
        </w:tc>
        <w:tc>
          <w:tcPr>
            <w:tcW w:w="1125" w:type="dxa"/>
            <w:tcBorders>
              <w:top w:val="nil"/>
              <w:left w:val="single" w:sz="4" w:space="0" w:color="auto"/>
              <w:bottom w:val="nil"/>
              <w:right w:val="single" w:sz="4" w:space="0" w:color="auto"/>
            </w:tcBorders>
            <w:tcMar>
              <w:top w:w="0" w:type="dxa"/>
              <w:left w:w="70" w:type="dxa"/>
              <w:bottom w:w="0" w:type="dxa"/>
              <w:right w:w="70" w:type="dxa"/>
            </w:tcMar>
            <w:vAlign w:val="center"/>
          </w:tcPr>
          <w:p w14:paraId="7FC9E42D" w14:textId="5F01ABE6" w:rsidR="002F597A" w:rsidRPr="006B6D61" w:rsidRDefault="00170DCC">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nil"/>
              <w:right w:val="single" w:sz="4" w:space="0" w:color="auto"/>
            </w:tcBorders>
            <w:tcMar>
              <w:top w:w="0" w:type="dxa"/>
              <w:left w:w="70" w:type="dxa"/>
              <w:bottom w:w="0" w:type="dxa"/>
              <w:right w:w="70" w:type="dxa"/>
            </w:tcMar>
            <w:vAlign w:val="center"/>
          </w:tcPr>
          <w:p w14:paraId="7F438F06" w14:textId="49FB2A81"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nil"/>
              <w:right w:val="single" w:sz="4" w:space="0" w:color="auto"/>
            </w:tcBorders>
            <w:tcMar>
              <w:top w:w="0" w:type="dxa"/>
              <w:left w:w="70" w:type="dxa"/>
              <w:bottom w:w="0" w:type="dxa"/>
              <w:right w:w="70" w:type="dxa"/>
            </w:tcMar>
            <w:vAlign w:val="center"/>
          </w:tcPr>
          <w:p w14:paraId="5DD2E2F9" w14:textId="439A7520"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nil"/>
              <w:right w:val="single" w:sz="4" w:space="0" w:color="auto"/>
            </w:tcBorders>
            <w:tcMar>
              <w:top w:w="0" w:type="dxa"/>
              <w:left w:w="70" w:type="dxa"/>
              <w:bottom w:w="0" w:type="dxa"/>
              <w:right w:w="70" w:type="dxa"/>
            </w:tcMar>
            <w:vAlign w:val="center"/>
          </w:tcPr>
          <w:p w14:paraId="7E5A45CB" w14:textId="755DA5AC"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nil"/>
              <w:right w:val="single" w:sz="4" w:space="0" w:color="auto"/>
            </w:tcBorders>
            <w:tcMar>
              <w:top w:w="0" w:type="dxa"/>
              <w:left w:w="70" w:type="dxa"/>
              <w:bottom w:w="0" w:type="dxa"/>
              <w:right w:w="70" w:type="dxa"/>
            </w:tcMar>
            <w:vAlign w:val="center"/>
          </w:tcPr>
          <w:p w14:paraId="683466B1" w14:textId="3F6EC96F"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nil"/>
              <w:right w:val="single" w:sz="4" w:space="0" w:color="auto"/>
            </w:tcBorders>
            <w:tcMar>
              <w:top w:w="0" w:type="dxa"/>
              <w:left w:w="70" w:type="dxa"/>
              <w:bottom w:w="0" w:type="dxa"/>
              <w:right w:w="70" w:type="dxa"/>
            </w:tcMar>
            <w:vAlign w:val="center"/>
          </w:tcPr>
          <w:p w14:paraId="3D548E82" w14:textId="5E2C6E98" w:rsidR="002F597A" w:rsidRPr="006B6D61" w:rsidRDefault="00377805">
            <w:pPr>
              <w:spacing w:after="0" w:line="252" w:lineRule="auto"/>
              <w:jc w:val="right"/>
              <w:rPr>
                <w:rFonts w:eastAsia="Calibri" w:cstheme="minorHAnsi"/>
                <w:i/>
                <w:sz w:val="20"/>
                <w:szCs w:val="20"/>
              </w:rPr>
            </w:pPr>
            <w:r w:rsidRPr="006B6D61">
              <w:rPr>
                <w:i/>
                <w:sz w:val="20"/>
                <w:szCs w:val="20"/>
              </w:rPr>
              <w:t>x</w:t>
            </w:r>
          </w:p>
        </w:tc>
      </w:tr>
      <w:tr w:rsidR="002F1BE7" w:rsidRPr="0044012B" w14:paraId="1A4749CA" w14:textId="77777777" w:rsidTr="00DB6909">
        <w:trPr>
          <w:trHeight w:val="225"/>
          <w:tblHeader/>
        </w:trPr>
        <w:tc>
          <w:tcPr>
            <w:tcW w:w="2268" w:type="dxa"/>
            <w:tcBorders>
              <w:top w:val="nil"/>
              <w:left w:val="single" w:sz="4" w:space="0" w:color="auto"/>
              <w:bottom w:val="single" w:sz="4" w:space="0" w:color="auto"/>
              <w:right w:val="single" w:sz="4" w:space="0" w:color="auto"/>
            </w:tcBorders>
            <w:tcMar>
              <w:top w:w="0" w:type="dxa"/>
              <w:left w:w="70" w:type="dxa"/>
              <w:bottom w:w="0" w:type="dxa"/>
              <w:right w:w="70" w:type="dxa"/>
            </w:tcMar>
          </w:tcPr>
          <w:p w14:paraId="4A1E4BE8" w14:textId="385A44C4" w:rsidR="002F597A" w:rsidRPr="006B6D61" w:rsidRDefault="009B0D06" w:rsidP="003F0A7C">
            <w:pPr>
              <w:spacing w:after="0" w:line="252" w:lineRule="auto"/>
              <w:ind w:firstLine="91"/>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2F597A" w:rsidRPr="006B6D61">
              <w:rPr>
                <w:rFonts w:cstheme="minorHAnsi"/>
                <w:i/>
                <w:sz w:val="20"/>
                <w:szCs w:val="20"/>
              </w:rPr>
              <w:t>z rozpočtu EU</w:t>
            </w:r>
          </w:p>
        </w:tc>
        <w:tc>
          <w:tcPr>
            <w:tcW w:w="1125"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0752D9FA" w14:textId="699BA777" w:rsidR="002F597A" w:rsidRPr="006B6D61" w:rsidRDefault="00170DCC">
            <w:pPr>
              <w:spacing w:after="0" w:line="252" w:lineRule="auto"/>
              <w:jc w:val="right"/>
              <w:rPr>
                <w:rFonts w:eastAsia="Calibri" w:cstheme="minorHAnsi"/>
                <w:i/>
                <w:sz w:val="20"/>
                <w:szCs w:val="20"/>
              </w:rPr>
            </w:pPr>
            <w:r w:rsidRPr="006B6D61">
              <w:rPr>
                <w:rFonts w:cstheme="minorHAnsi"/>
                <w:i/>
                <w:sz w:val="20"/>
                <w:szCs w:val="20"/>
              </w:rPr>
              <w:t>0</w:t>
            </w:r>
          </w:p>
        </w:tc>
        <w:tc>
          <w:tcPr>
            <w:tcW w:w="1195"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1081055E" w14:textId="178C136F"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322"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40B7ADCE" w14:textId="73D255C0"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1098"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61939CB0" w14:textId="48B76310" w:rsidR="002F597A" w:rsidRPr="006B6D61" w:rsidRDefault="002F597A" w:rsidP="002F597A">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5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76EEF881" w14:textId="183280B7" w:rsidR="002F597A" w:rsidRPr="006B6D61" w:rsidRDefault="002F597A">
            <w:pPr>
              <w:spacing w:after="0" w:line="252" w:lineRule="auto"/>
              <w:jc w:val="right"/>
              <w:rPr>
                <w:rFonts w:eastAsia="Calibri" w:cstheme="minorHAnsi"/>
                <w:i/>
                <w:sz w:val="20"/>
                <w:szCs w:val="20"/>
              </w:rPr>
            </w:pPr>
            <w:r w:rsidRPr="006B6D61">
              <w:rPr>
                <w:i/>
                <w:sz w:val="20"/>
                <w:szCs w:val="20"/>
              </w:rPr>
              <w:t>0</w:t>
            </w:r>
          </w:p>
        </w:tc>
        <w:tc>
          <w:tcPr>
            <w:tcW w:w="820"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48C074A2" w14:textId="13746FCD" w:rsidR="002F597A" w:rsidRPr="006B6D61" w:rsidRDefault="00377805">
            <w:pPr>
              <w:spacing w:after="0" w:line="252" w:lineRule="auto"/>
              <w:jc w:val="right"/>
              <w:rPr>
                <w:rFonts w:eastAsia="Calibri" w:cstheme="minorHAnsi"/>
                <w:i/>
                <w:sz w:val="20"/>
                <w:szCs w:val="20"/>
              </w:rPr>
            </w:pPr>
            <w:r w:rsidRPr="006B6D61">
              <w:rPr>
                <w:i/>
                <w:sz w:val="20"/>
                <w:szCs w:val="20"/>
              </w:rPr>
              <w:t>x</w:t>
            </w:r>
          </w:p>
        </w:tc>
      </w:tr>
      <w:tr w:rsidR="002F1BE7" w:rsidRPr="0044012B" w14:paraId="26BA72BC" w14:textId="77777777" w:rsidTr="00DB6909">
        <w:trPr>
          <w:trHeight w:val="314"/>
          <w:tblHeader/>
        </w:trPr>
        <w:tc>
          <w:tcPr>
            <w:tcW w:w="2268" w:type="dxa"/>
            <w:tcBorders>
              <w:top w:val="single" w:sz="4" w:space="0" w:color="auto"/>
              <w:left w:val="single" w:sz="4" w:space="0" w:color="auto"/>
              <w:bottom w:val="nil"/>
              <w:right w:val="single" w:sz="4" w:space="0" w:color="auto"/>
            </w:tcBorders>
            <w:tcMar>
              <w:top w:w="0" w:type="dxa"/>
              <w:left w:w="70" w:type="dxa"/>
              <w:bottom w:w="0" w:type="dxa"/>
              <w:right w:w="70" w:type="dxa"/>
            </w:tcMar>
            <w:hideMark/>
          </w:tcPr>
          <w:p w14:paraId="3DD70AAD" w14:textId="22905051" w:rsidR="008232DB" w:rsidRPr="006B6D61" w:rsidRDefault="008232DB" w:rsidP="00BA4E5A">
            <w:pPr>
              <w:spacing w:after="0" w:line="252" w:lineRule="auto"/>
              <w:jc w:val="both"/>
              <w:rPr>
                <w:rFonts w:eastAsia="Calibri" w:cstheme="minorHAnsi"/>
                <w:b/>
                <w:bCs/>
                <w:sz w:val="20"/>
                <w:szCs w:val="20"/>
              </w:rPr>
            </w:pPr>
            <w:r w:rsidRPr="006B6D61">
              <w:rPr>
                <w:rFonts w:eastAsia="Calibri" w:cstheme="minorHAnsi"/>
                <w:b/>
                <w:bCs/>
                <w:sz w:val="20"/>
                <w:szCs w:val="20"/>
              </w:rPr>
              <w:t>Kapitálové výdaje</w:t>
            </w:r>
          </w:p>
        </w:tc>
        <w:tc>
          <w:tcPr>
            <w:tcW w:w="1125"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DC15D4B" w14:textId="74F1D0B4" w:rsidR="008232DB" w:rsidRPr="006B6D61" w:rsidRDefault="00BA552D" w:rsidP="00BA4E5A">
            <w:pPr>
              <w:spacing w:after="0" w:line="252" w:lineRule="auto"/>
              <w:jc w:val="right"/>
              <w:rPr>
                <w:rFonts w:eastAsia="Calibri" w:cstheme="minorHAnsi"/>
                <w:b/>
                <w:bCs/>
                <w:sz w:val="20"/>
                <w:szCs w:val="20"/>
              </w:rPr>
            </w:pPr>
            <w:r w:rsidRPr="006B6D61">
              <w:rPr>
                <w:rFonts w:eastAsia="Calibri" w:cstheme="minorHAnsi"/>
                <w:b/>
                <w:bCs/>
                <w:sz w:val="20"/>
                <w:szCs w:val="20"/>
              </w:rPr>
              <w:t>9 954</w:t>
            </w:r>
          </w:p>
        </w:tc>
        <w:tc>
          <w:tcPr>
            <w:tcW w:w="1195"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E250D43" w14:textId="7BE0834C" w:rsidR="008232DB" w:rsidRPr="006B6D61" w:rsidRDefault="00B71C99" w:rsidP="00BA4E5A">
            <w:pPr>
              <w:spacing w:after="0" w:line="252" w:lineRule="auto"/>
              <w:jc w:val="right"/>
              <w:rPr>
                <w:rFonts w:eastAsia="Calibri" w:cstheme="minorHAnsi"/>
                <w:b/>
                <w:bCs/>
                <w:sz w:val="20"/>
                <w:szCs w:val="20"/>
              </w:rPr>
            </w:pPr>
            <w:r w:rsidRPr="006B6D61">
              <w:rPr>
                <w:rFonts w:eastAsia="Calibri" w:cstheme="minorHAnsi"/>
                <w:b/>
                <w:bCs/>
                <w:sz w:val="20"/>
                <w:szCs w:val="20"/>
              </w:rPr>
              <w:t>9 800</w:t>
            </w:r>
          </w:p>
        </w:tc>
        <w:tc>
          <w:tcPr>
            <w:tcW w:w="1322"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6E7ACFD4" w14:textId="6F19E8D4" w:rsidR="008232DB" w:rsidRPr="006B6D61" w:rsidRDefault="008A4A74" w:rsidP="00BA4E5A">
            <w:pPr>
              <w:spacing w:after="0" w:line="252" w:lineRule="auto"/>
              <w:jc w:val="right"/>
              <w:rPr>
                <w:rFonts w:eastAsia="Calibri" w:cstheme="minorHAnsi"/>
                <w:b/>
                <w:bCs/>
                <w:sz w:val="20"/>
                <w:szCs w:val="20"/>
              </w:rPr>
            </w:pPr>
            <w:r w:rsidRPr="006B6D61">
              <w:rPr>
                <w:rFonts w:eastAsia="Calibri" w:cstheme="minorHAnsi"/>
                <w:b/>
                <w:bCs/>
                <w:sz w:val="20"/>
                <w:szCs w:val="20"/>
              </w:rPr>
              <w:t>9 800</w:t>
            </w:r>
          </w:p>
        </w:tc>
        <w:tc>
          <w:tcPr>
            <w:tcW w:w="1098"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883E808" w14:textId="5005EE59" w:rsidR="008232DB" w:rsidRPr="006B6D61" w:rsidRDefault="005E58B6" w:rsidP="00BA4E5A">
            <w:pPr>
              <w:spacing w:after="0" w:line="252" w:lineRule="auto"/>
              <w:jc w:val="right"/>
              <w:rPr>
                <w:rFonts w:eastAsia="Calibri" w:cstheme="minorHAnsi"/>
                <w:b/>
                <w:bCs/>
                <w:sz w:val="20"/>
                <w:szCs w:val="20"/>
              </w:rPr>
            </w:pPr>
            <w:r w:rsidRPr="006B6D61">
              <w:rPr>
                <w:rFonts w:eastAsia="Calibri" w:cstheme="minorHAnsi"/>
                <w:b/>
                <w:bCs/>
                <w:sz w:val="20"/>
                <w:szCs w:val="20"/>
              </w:rPr>
              <w:t>20 448</w:t>
            </w:r>
          </w:p>
        </w:tc>
        <w:tc>
          <w:tcPr>
            <w:tcW w:w="115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7696A06" w14:textId="0E95A460" w:rsidR="008232DB" w:rsidRPr="006B6D61" w:rsidRDefault="006F626A" w:rsidP="00BA4E5A">
            <w:pPr>
              <w:spacing w:after="0" w:line="252" w:lineRule="auto"/>
              <w:jc w:val="right"/>
              <w:rPr>
                <w:rFonts w:eastAsia="Calibri" w:cstheme="minorHAnsi"/>
                <w:b/>
                <w:bCs/>
                <w:sz w:val="20"/>
                <w:szCs w:val="20"/>
              </w:rPr>
            </w:pPr>
            <w:r w:rsidRPr="006B6D61">
              <w:rPr>
                <w:rFonts w:eastAsia="Calibri" w:cstheme="minorHAnsi"/>
                <w:b/>
                <w:bCs/>
                <w:sz w:val="20"/>
                <w:szCs w:val="20"/>
              </w:rPr>
              <w:t>13 973</w:t>
            </w:r>
          </w:p>
        </w:tc>
        <w:tc>
          <w:tcPr>
            <w:tcW w:w="820"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tcPr>
          <w:p w14:paraId="22155068" w14:textId="1DCFBAC3" w:rsidR="008232DB" w:rsidRPr="006B6D61" w:rsidRDefault="00122909" w:rsidP="00BA4E5A">
            <w:pPr>
              <w:spacing w:after="0" w:line="252" w:lineRule="auto"/>
              <w:jc w:val="right"/>
              <w:rPr>
                <w:rFonts w:eastAsia="Calibri" w:cstheme="minorHAnsi"/>
                <w:b/>
                <w:bCs/>
                <w:sz w:val="20"/>
                <w:szCs w:val="20"/>
              </w:rPr>
            </w:pPr>
            <w:r w:rsidRPr="006B6D61">
              <w:rPr>
                <w:rFonts w:eastAsia="Calibri" w:cstheme="minorHAnsi"/>
                <w:b/>
                <w:bCs/>
                <w:sz w:val="20"/>
                <w:szCs w:val="20"/>
              </w:rPr>
              <w:t>140,4</w:t>
            </w:r>
          </w:p>
        </w:tc>
      </w:tr>
      <w:tr w:rsidR="002F1BE7" w:rsidRPr="0044012B" w14:paraId="426C9DFA" w14:textId="77777777" w:rsidTr="00DB6909">
        <w:trPr>
          <w:trHeight w:val="225"/>
          <w:tblHeader/>
        </w:trPr>
        <w:tc>
          <w:tcPr>
            <w:tcW w:w="2268" w:type="dxa"/>
            <w:tcBorders>
              <w:top w:val="nil"/>
              <w:left w:val="single" w:sz="4" w:space="0" w:color="auto"/>
              <w:bottom w:val="single" w:sz="8" w:space="0" w:color="auto"/>
              <w:right w:val="single" w:sz="4" w:space="0" w:color="auto"/>
            </w:tcBorders>
            <w:tcMar>
              <w:top w:w="0" w:type="dxa"/>
              <w:left w:w="70" w:type="dxa"/>
              <w:bottom w:w="0" w:type="dxa"/>
              <w:right w:w="70" w:type="dxa"/>
            </w:tcMar>
            <w:hideMark/>
          </w:tcPr>
          <w:p w14:paraId="59D05EAD" w14:textId="77777777" w:rsidR="008232DB" w:rsidRPr="006B6D61" w:rsidRDefault="008232DB" w:rsidP="008232DB">
            <w:pPr>
              <w:spacing w:after="0" w:line="252" w:lineRule="auto"/>
              <w:ind w:hanging="4"/>
              <w:jc w:val="both"/>
              <w:rPr>
                <w:rFonts w:eastAsia="Calibri" w:cstheme="minorHAnsi"/>
                <w:sz w:val="20"/>
                <w:szCs w:val="20"/>
              </w:rPr>
            </w:pPr>
            <w:r w:rsidRPr="006B6D61">
              <w:rPr>
                <w:rFonts w:eastAsia="Calibri" w:cstheme="minorHAnsi"/>
                <w:sz w:val="20"/>
                <w:szCs w:val="20"/>
              </w:rPr>
              <w:t>v tom: RISPF</w:t>
            </w:r>
          </w:p>
        </w:tc>
        <w:tc>
          <w:tcPr>
            <w:tcW w:w="1125" w:type="dxa"/>
            <w:tcBorders>
              <w:top w:val="nil"/>
              <w:left w:val="single" w:sz="4" w:space="0" w:color="auto"/>
              <w:bottom w:val="single" w:sz="8" w:space="0" w:color="auto"/>
              <w:right w:val="single" w:sz="4" w:space="0" w:color="auto"/>
            </w:tcBorders>
            <w:tcMar>
              <w:top w:w="0" w:type="dxa"/>
              <w:left w:w="70" w:type="dxa"/>
              <w:bottom w:w="0" w:type="dxa"/>
              <w:right w:w="70" w:type="dxa"/>
            </w:tcMar>
            <w:vAlign w:val="center"/>
          </w:tcPr>
          <w:p w14:paraId="29CCFE85" w14:textId="453C940B" w:rsidR="008232DB" w:rsidRPr="006B6D61" w:rsidRDefault="00BA552D" w:rsidP="008232DB">
            <w:pPr>
              <w:spacing w:after="0" w:line="252" w:lineRule="auto"/>
              <w:jc w:val="right"/>
              <w:rPr>
                <w:rFonts w:eastAsia="Calibri" w:cstheme="minorHAnsi"/>
                <w:sz w:val="20"/>
                <w:szCs w:val="20"/>
              </w:rPr>
            </w:pPr>
            <w:r w:rsidRPr="006B6D61">
              <w:rPr>
                <w:rFonts w:eastAsia="Calibri" w:cstheme="minorHAnsi"/>
                <w:sz w:val="20"/>
                <w:szCs w:val="20"/>
              </w:rPr>
              <w:t>9 954</w:t>
            </w:r>
          </w:p>
        </w:tc>
        <w:tc>
          <w:tcPr>
            <w:tcW w:w="1195" w:type="dxa"/>
            <w:tcBorders>
              <w:top w:val="nil"/>
              <w:left w:val="single" w:sz="4" w:space="0" w:color="auto"/>
              <w:bottom w:val="single" w:sz="8" w:space="0" w:color="auto"/>
              <w:right w:val="single" w:sz="4" w:space="0" w:color="auto"/>
            </w:tcBorders>
            <w:tcMar>
              <w:top w:w="0" w:type="dxa"/>
              <w:left w:w="70" w:type="dxa"/>
              <w:bottom w:w="0" w:type="dxa"/>
              <w:right w:w="70" w:type="dxa"/>
            </w:tcMar>
            <w:vAlign w:val="center"/>
          </w:tcPr>
          <w:p w14:paraId="384D0ED5" w14:textId="40085598" w:rsidR="008232DB" w:rsidRPr="006B6D61" w:rsidRDefault="006F626A">
            <w:pPr>
              <w:spacing w:after="0" w:line="252" w:lineRule="auto"/>
              <w:jc w:val="right"/>
              <w:rPr>
                <w:rFonts w:eastAsia="Calibri" w:cstheme="minorHAnsi"/>
                <w:sz w:val="20"/>
                <w:szCs w:val="20"/>
              </w:rPr>
            </w:pPr>
            <w:r w:rsidRPr="006B6D61">
              <w:rPr>
                <w:rFonts w:eastAsia="Calibri" w:cstheme="minorHAnsi"/>
                <w:sz w:val="20"/>
                <w:szCs w:val="20"/>
              </w:rPr>
              <w:t>9 800</w:t>
            </w:r>
          </w:p>
        </w:tc>
        <w:tc>
          <w:tcPr>
            <w:tcW w:w="1322" w:type="dxa"/>
            <w:tcBorders>
              <w:top w:val="nil"/>
              <w:left w:val="single" w:sz="4" w:space="0" w:color="auto"/>
              <w:bottom w:val="single" w:sz="8" w:space="0" w:color="auto"/>
              <w:right w:val="single" w:sz="4" w:space="0" w:color="auto"/>
            </w:tcBorders>
            <w:tcMar>
              <w:top w:w="0" w:type="dxa"/>
              <w:left w:w="70" w:type="dxa"/>
              <w:bottom w:w="0" w:type="dxa"/>
              <w:right w:w="70" w:type="dxa"/>
            </w:tcMar>
            <w:vAlign w:val="center"/>
          </w:tcPr>
          <w:p w14:paraId="7F3EC509" w14:textId="1AC87BC4" w:rsidR="008232DB" w:rsidRPr="006B6D61" w:rsidRDefault="006F626A">
            <w:pPr>
              <w:spacing w:after="0" w:line="252" w:lineRule="auto"/>
              <w:jc w:val="right"/>
              <w:rPr>
                <w:rFonts w:eastAsia="Calibri" w:cstheme="minorHAnsi"/>
                <w:sz w:val="20"/>
                <w:szCs w:val="20"/>
              </w:rPr>
            </w:pPr>
            <w:r w:rsidRPr="006B6D61">
              <w:rPr>
                <w:rFonts w:eastAsia="Calibri" w:cstheme="minorHAnsi"/>
                <w:sz w:val="20"/>
                <w:szCs w:val="20"/>
              </w:rPr>
              <w:t>9 800</w:t>
            </w:r>
          </w:p>
        </w:tc>
        <w:tc>
          <w:tcPr>
            <w:tcW w:w="1098" w:type="dxa"/>
            <w:tcBorders>
              <w:top w:val="nil"/>
              <w:left w:val="single" w:sz="4" w:space="0" w:color="auto"/>
              <w:bottom w:val="single" w:sz="8" w:space="0" w:color="auto"/>
              <w:right w:val="single" w:sz="4" w:space="0" w:color="auto"/>
            </w:tcBorders>
            <w:tcMar>
              <w:top w:w="0" w:type="dxa"/>
              <w:left w:w="70" w:type="dxa"/>
              <w:bottom w:w="0" w:type="dxa"/>
              <w:right w:w="70" w:type="dxa"/>
            </w:tcMar>
            <w:vAlign w:val="center"/>
          </w:tcPr>
          <w:p w14:paraId="2619EB4C" w14:textId="1840D5FD" w:rsidR="008232DB" w:rsidRPr="006B6D61" w:rsidRDefault="00646B00">
            <w:pPr>
              <w:spacing w:after="0" w:line="252" w:lineRule="auto"/>
              <w:jc w:val="right"/>
              <w:rPr>
                <w:rFonts w:eastAsia="Calibri" w:cstheme="minorHAnsi"/>
                <w:sz w:val="20"/>
                <w:szCs w:val="20"/>
              </w:rPr>
            </w:pPr>
            <w:r w:rsidRPr="006B6D61">
              <w:rPr>
                <w:rFonts w:eastAsia="Calibri" w:cstheme="minorHAnsi"/>
                <w:sz w:val="20"/>
                <w:szCs w:val="20"/>
              </w:rPr>
              <w:t>20 448</w:t>
            </w:r>
          </w:p>
        </w:tc>
        <w:tc>
          <w:tcPr>
            <w:tcW w:w="1154" w:type="dxa"/>
            <w:tcBorders>
              <w:top w:val="nil"/>
              <w:left w:val="single" w:sz="4" w:space="0" w:color="auto"/>
              <w:bottom w:val="single" w:sz="8" w:space="0" w:color="auto"/>
              <w:right w:val="single" w:sz="4" w:space="0" w:color="auto"/>
            </w:tcBorders>
            <w:tcMar>
              <w:top w:w="0" w:type="dxa"/>
              <w:left w:w="70" w:type="dxa"/>
              <w:bottom w:w="0" w:type="dxa"/>
              <w:right w:w="70" w:type="dxa"/>
            </w:tcMar>
            <w:vAlign w:val="center"/>
          </w:tcPr>
          <w:p w14:paraId="4B64945B" w14:textId="0A5DFED7" w:rsidR="008232DB" w:rsidRPr="006B6D61" w:rsidRDefault="006F626A">
            <w:pPr>
              <w:spacing w:after="0" w:line="252" w:lineRule="auto"/>
              <w:jc w:val="right"/>
              <w:rPr>
                <w:rFonts w:eastAsia="Calibri" w:cstheme="minorHAnsi"/>
                <w:sz w:val="20"/>
                <w:szCs w:val="20"/>
              </w:rPr>
            </w:pPr>
            <w:r w:rsidRPr="006B6D61">
              <w:rPr>
                <w:rFonts w:eastAsia="Calibri" w:cstheme="minorHAnsi"/>
                <w:sz w:val="20"/>
                <w:szCs w:val="20"/>
              </w:rPr>
              <w:t>13 973</w:t>
            </w:r>
          </w:p>
        </w:tc>
        <w:tc>
          <w:tcPr>
            <w:tcW w:w="820" w:type="dxa"/>
            <w:tcBorders>
              <w:top w:val="nil"/>
              <w:left w:val="single" w:sz="4" w:space="0" w:color="auto"/>
              <w:bottom w:val="single" w:sz="8" w:space="0" w:color="auto"/>
              <w:right w:val="single" w:sz="4" w:space="0" w:color="auto"/>
            </w:tcBorders>
            <w:tcMar>
              <w:top w:w="0" w:type="dxa"/>
              <w:left w:w="70" w:type="dxa"/>
              <w:bottom w:w="0" w:type="dxa"/>
              <w:right w:w="70" w:type="dxa"/>
            </w:tcMar>
            <w:vAlign w:val="center"/>
          </w:tcPr>
          <w:p w14:paraId="6C9C476A" w14:textId="53062CDC" w:rsidR="008232DB" w:rsidRPr="006B6D61" w:rsidRDefault="00EB3185">
            <w:pPr>
              <w:spacing w:after="0" w:line="252" w:lineRule="auto"/>
              <w:jc w:val="right"/>
              <w:rPr>
                <w:rFonts w:eastAsia="Calibri" w:cstheme="minorHAnsi"/>
                <w:sz w:val="20"/>
                <w:szCs w:val="20"/>
              </w:rPr>
            </w:pPr>
            <w:r w:rsidRPr="006B6D61">
              <w:rPr>
                <w:rFonts w:eastAsia="Calibri" w:cstheme="minorHAnsi"/>
                <w:sz w:val="20"/>
                <w:szCs w:val="20"/>
              </w:rPr>
              <w:t>140,4</w:t>
            </w:r>
          </w:p>
        </w:tc>
      </w:tr>
    </w:tbl>
    <w:p w14:paraId="6A39BB02" w14:textId="26FD4558" w:rsidR="00F12C6D" w:rsidRPr="006B6D61" w:rsidRDefault="00F12C6D" w:rsidP="003F0A7C">
      <w:pPr>
        <w:pStyle w:val="KOMtext"/>
      </w:pPr>
      <w:r w:rsidRPr="006B6D61">
        <w:t>Sc</w:t>
      </w:r>
      <w:r w:rsidR="005F5490" w:rsidRPr="006B6D61">
        <w:t xml:space="preserve">hválený rozpočet </w:t>
      </w:r>
      <w:r w:rsidRPr="006B6D61">
        <w:t xml:space="preserve">byl ve výši </w:t>
      </w:r>
      <w:r w:rsidR="00A52A7A" w:rsidRPr="006B6D61">
        <w:t>85 799</w:t>
      </w:r>
      <w:r w:rsidRPr="006B6D61">
        <w:t xml:space="preserve"> tis. Kč. V průběhu roku byl rozpočet navýšen </w:t>
      </w:r>
      <w:r w:rsidR="005F5490" w:rsidRPr="006B6D61">
        <w:br/>
      </w:r>
      <w:r w:rsidRPr="006B6D61">
        <w:t xml:space="preserve">o </w:t>
      </w:r>
      <w:r w:rsidR="004D34EB" w:rsidRPr="006B6D61">
        <w:t xml:space="preserve">264 </w:t>
      </w:r>
      <w:r w:rsidRPr="006B6D61">
        <w:t xml:space="preserve">tis. Kč na částku </w:t>
      </w:r>
      <w:r w:rsidR="00C93211" w:rsidRPr="006B6D61">
        <w:t>86 063</w:t>
      </w:r>
      <w:r w:rsidRPr="006B6D61">
        <w:t xml:space="preserve"> tis. Kč. Skutečné čerpání bylo ve výši </w:t>
      </w:r>
      <w:r w:rsidR="00CA4247" w:rsidRPr="006B6D61">
        <w:t>89 564</w:t>
      </w:r>
      <w:r w:rsidRPr="006B6D61">
        <w:t xml:space="preserve"> tis. Kč, tj. </w:t>
      </w:r>
      <w:r w:rsidR="00790AB3" w:rsidRPr="006B6D61">
        <w:t>104</w:t>
      </w:r>
      <w:r w:rsidR="007A5124" w:rsidRPr="006B6D61">
        <w:t>,</w:t>
      </w:r>
      <w:r w:rsidR="00104AE0">
        <w:t>07</w:t>
      </w:r>
      <w:r w:rsidRPr="006B6D61">
        <w:t xml:space="preserve"> % rozpočtu po změnách, a to včetně čerpání nároků z nespotřebovaných výdajů ve výši </w:t>
      </w:r>
      <w:r w:rsidR="007A5124" w:rsidRPr="006B6D61">
        <w:br/>
      </w:r>
      <w:r w:rsidR="00104AE0">
        <w:t>10 293</w:t>
      </w:r>
      <w:r w:rsidRPr="006B6D61">
        <w:t xml:space="preserve"> tis. Kč.</w:t>
      </w:r>
      <w:r w:rsidR="00DE367B" w:rsidRPr="006B6D61">
        <w:t xml:space="preserve"> </w:t>
      </w:r>
      <w:r w:rsidRPr="006B6D61">
        <w:t xml:space="preserve">Oproti roku </w:t>
      </w:r>
      <w:r w:rsidR="00EE7020" w:rsidRPr="006B6D61">
        <w:t xml:space="preserve">2022 </w:t>
      </w:r>
      <w:r w:rsidRPr="006B6D61">
        <w:t xml:space="preserve">došlo ke zvýšení čerpaných výdajů o </w:t>
      </w:r>
      <w:r w:rsidR="004A1500" w:rsidRPr="006B6D61">
        <w:t>5 864</w:t>
      </w:r>
      <w:r w:rsidRPr="006B6D61">
        <w:t xml:space="preserve"> tis. Kč, tj. o </w:t>
      </w:r>
      <w:r w:rsidR="0042013A" w:rsidRPr="006B6D61">
        <w:t>7,0</w:t>
      </w:r>
      <w:r w:rsidRPr="006B6D61">
        <w:t xml:space="preserve"> %. Zvýšené výdaje se týkaly</w:t>
      </w:r>
      <w:r w:rsidR="00102507" w:rsidRPr="006B6D61">
        <w:t xml:space="preserve"> především výdajů na pla</w:t>
      </w:r>
      <w:r w:rsidR="00BE4413" w:rsidRPr="006B6D61">
        <w:t>ty zaměstnanců a příslušenství</w:t>
      </w:r>
      <w:r w:rsidR="003900D2" w:rsidRPr="006B6D61">
        <w:t xml:space="preserve">. </w:t>
      </w:r>
      <w:r w:rsidR="00062E36" w:rsidRPr="006B6D61">
        <w:t xml:space="preserve">V oblasti kapitálových výdajů </w:t>
      </w:r>
      <w:r w:rsidR="00164D83" w:rsidRPr="006B6D61">
        <w:t>představuj</w:t>
      </w:r>
      <w:r w:rsidR="0018407A" w:rsidRPr="006B6D61">
        <w:t xml:space="preserve">e zvýšení výdajů především </w:t>
      </w:r>
      <w:r w:rsidR="007F032E" w:rsidRPr="006B6D61">
        <w:t xml:space="preserve">čerpání výdajů u programového vybavení. </w:t>
      </w:r>
    </w:p>
    <w:p w14:paraId="408CA9C6" w14:textId="5D54BC4F" w:rsidR="00F6446D" w:rsidRPr="006B6D61" w:rsidRDefault="00F6446D" w:rsidP="008A0E44">
      <w:pPr>
        <w:pStyle w:val="KOMnadp4"/>
        <w:rPr>
          <w:lang w:eastAsia="cs-CZ"/>
        </w:rPr>
      </w:pPr>
      <w:r w:rsidRPr="006B6D61">
        <w:rPr>
          <w:lang w:eastAsia="cs-CZ"/>
        </w:rPr>
        <w:t>Běžné výdaje</w:t>
      </w:r>
    </w:p>
    <w:p w14:paraId="38A69076" w14:textId="68910EA0" w:rsidR="002F597A" w:rsidRPr="006B6D61" w:rsidRDefault="00D80FDF" w:rsidP="003F0A7C">
      <w:pPr>
        <w:pStyle w:val="KOMtext"/>
      </w:pPr>
      <w:r w:rsidRPr="006B6D61">
        <w:t xml:space="preserve">Schválený rozpočet běžných výdajů ve výši 75 999 tis. Kč byl v průběhu roku 2023 upraven na 76 263 tis. Kč. Důvodem zvýšení rozpočtu o 264 tis. Kč je kybernetický útok na Státní plavební správu následná související opatření. </w:t>
      </w:r>
      <w:r w:rsidR="006F0813" w:rsidRPr="006B6D61">
        <w:t xml:space="preserve"> </w:t>
      </w:r>
    </w:p>
    <w:p w14:paraId="270DF037" w14:textId="1518C5DB" w:rsidR="006E77F4" w:rsidRPr="0077128B" w:rsidRDefault="006E77F4" w:rsidP="003F0A7C">
      <w:pPr>
        <w:pStyle w:val="KOMtext"/>
        <w:rPr>
          <w:color w:val="FF0000"/>
        </w:rPr>
      </w:pPr>
      <w:r w:rsidRPr="006B6D61">
        <w:lastRenderedPageBreak/>
        <w:t xml:space="preserve">Rozpočet běžných výdajů byl v průběhu 2023 čerpán ve výši 75 591 tis Kč, </w:t>
      </w:r>
      <w:r w:rsidRPr="006B6D61">
        <w:br/>
        <w:t xml:space="preserve">tj. 99,12 % upraveného rozpočtu, z toho nároky z nespotřebovaných výdajů minulých let byly v průběhu roku 2023 čerpané ve výši 967 tis. Kč. </w:t>
      </w:r>
    </w:p>
    <w:p w14:paraId="24552271" w14:textId="1F17A476" w:rsidR="0025028A" w:rsidRPr="0077128B" w:rsidRDefault="0025028A" w:rsidP="003F0A7C">
      <w:pPr>
        <w:pStyle w:val="KOMtext"/>
        <w:rPr>
          <w:color w:val="FF0000"/>
        </w:rPr>
      </w:pPr>
      <w:r w:rsidRPr="006B6D61">
        <w:t xml:space="preserve">Čerpání prostředků běžných výdajů tvořily zejména výdaje na platy zaměstnanců a ostatní platby za provedenou práci a s tím související povinné platby (pojistné a převod FKSP), které se podílí na celkovém objemu čerpání běžných výdajů 74,66 %. Z ostatních neinvestičních výdajů </w:t>
      </w:r>
      <w:proofErr w:type="gramStart"/>
      <w:r w:rsidRPr="006B6D61">
        <w:t>tvoří</w:t>
      </w:r>
      <w:proofErr w:type="gramEnd"/>
      <w:r w:rsidRPr="006B6D61">
        <w:t xml:space="preserve"> nejvyšší položku výdaje na zpracování dat a služby související s informačními </w:t>
      </w:r>
      <w:r w:rsidRPr="006B6D61">
        <w:br/>
        <w:t xml:space="preserve">a komunikačními technologiemi, výdaje na opravy a udržování a výdaje na nákup ostatních služeb. </w:t>
      </w:r>
    </w:p>
    <w:p w14:paraId="66B0B73E" w14:textId="77777777" w:rsidR="00770BD2" w:rsidRPr="006B6D61" w:rsidRDefault="00770BD2" w:rsidP="00770BD2">
      <w:pPr>
        <w:pStyle w:val="KOMtext"/>
        <w:rPr>
          <w:rFonts w:eastAsiaTheme="majorEastAsia" w:cstheme="minorHAnsi"/>
          <w:bCs/>
          <w:szCs w:val="24"/>
        </w:rPr>
      </w:pPr>
      <w:r w:rsidRPr="006B6D61">
        <w:rPr>
          <w:rFonts w:eastAsiaTheme="majorEastAsia" w:cstheme="minorHAnsi"/>
          <w:bCs/>
          <w:szCs w:val="24"/>
        </w:rPr>
        <w:t>Oproti období k 31. 12. 2022, kdy byl rozpočet běžných výdajů čerpán ve výši 73 746 tis. Kč, je k 31. 12. 2023 rozpočet čerpán ve výši 75 591 tis. Kč, tj. 102,50 % úrovně roku 2022.</w:t>
      </w:r>
    </w:p>
    <w:p w14:paraId="65A5037E" w14:textId="11E2D9C0" w:rsidR="00F6446D" w:rsidRPr="006B6D61" w:rsidRDefault="00F6446D" w:rsidP="008A0E44">
      <w:pPr>
        <w:pStyle w:val="KOMnadp4"/>
      </w:pPr>
      <w:r w:rsidRPr="006B6D61">
        <w:t xml:space="preserve">Kapitálové výdaje </w:t>
      </w:r>
    </w:p>
    <w:p w14:paraId="24C1F58D" w14:textId="52F1CE1F" w:rsidR="008D1082" w:rsidRPr="006B6D61" w:rsidRDefault="00280944" w:rsidP="003F0A7C">
      <w:pPr>
        <w:pStyle w:val="KOMtext"/>
      </w:pPr>
      <w:r w:rsidRPr="006B6D61">
        <w:t xml:space="preserve">Schválený rozpočet ve výši </w:t>
      </w:r>
      <w:r w:rsidR="002A39D9" w:rsidRPr="006B6D61">
        <w:t>9 800</w:t>
      </w:r>
      <w:r w:rsidRPr="006B6D61">
        <w:t xml:space="preserve"> tis. Kč nebyl v průběhu roku upravován. Organizace</w:t>
      </w:r>
      <w:r w:rsidR="008D1082" w:rsidRPr="006B6D61">
        <w:t xml:space="preserve"> čerpala kapitálové výdaje ve výši </w:t>
      </w:r>
      <w:r w:rsidR="00394B26" w:rsidRPr="006B6D61">
        <w:t>13 973</w:t>
      </w:r>
      <w:r w:rsidR="008D1082" w:rsidRPr="006B6D61">
        <w:t xml:space="preserve"> tis. Kč, </w:t>
      </w:r>
      <w:r w:rsidR="00F62F0B" w:rsidRPr="006B6D61">
        <w:t xml:space="preserve">tj. </w:t>
      </w:r>
      <w:r w:rsidR="001F1A4C" w:rsidRPr="006B6D61">
        <w:t>143</w:t>
      </w:r>
      <w:r w:rsidR="00F62F0B" w:rsidRPr="006B6D61">
        <w:t>,</w:t>
      </w:r>
      <w:r w:rsidR="001F1A4C" w:rsidRPr="006B6D61">
        <w:t>0</w:t>
      </w:r>
      <w:r w:rsidR="00F62F0B" w:rsidRPr="006B6D61">
        <w:t xml:space="preserve"> </w:t>
      </w:r>
      <w:r w:rsidR="00F62F0B" w:rsidRPr="006B6D61">
        <w:rPr>
          <w:rFonts w:cstheme="minorHAnsi"/>
        </w:rPr>
        <w:t>% rozpočtu po změnách</w:t>
      </w:r>
      <w:r w:rsidR="008D1082" w:rsidRPr="006B6D61">
        <w:t xml:space="preserve">, z toho nároky </w:t>
      </w:r>
      <w:r w:rsidR="008E0C66" w:rsidRPr="006B6D61">
        <w:br/>
      </w:r>
      <w:r w:rsidR="009D5A38" w:rsidRPr="006B6D61">
        <w:t>9 326</w:t>
      </w:r>
      <w:r w:rsidR="008D1082" w:rsidRPr="006B6D61">
        <w:t xml:space="preserve"> tis. Kč. Prostředky byly čerpány na rozšíření informačního systému organizace, na rozvoj říčního informačního systému, </w:t>
      </w:r>
      <w:r w:rsidR="00FB32D7" w:rsidRPr="006B6D61">
        <w:t>na rozvoj geografického informačního systému</w:t>
      </w:r>
      <w:r w:rsidR="00D80BE6">
        <w:t xml:space="preserve"> a </w:t>
      </w:r>
      <w:r w:rsidR="008D1082" w:rsidRPr="006B6D61">
        <w:t xml:space="preserve">na obnovu výpočetní techniky. Na rozvoj a obnovu materiálně technické základny byly vynaloženy prostředky na realizaci projektu centrální klimatizace v objektu pobočky ředitelství, na obnovu </w:t>
      </w:r>
      <w:r w:rsidR="00DD2B1A" w:rsidRPr="006B6D61">
        <w:t>výpočetní techniky</w:t>
      </w:r>
      <w:r w:rsidR="008D1082" w:rsidRPr="006B6D61">
        <w:t xml:space="preserve">, na modernizaci </w:t>
      </w:r>
      <w:r w:rsidR="00CB1A4B" w:rsidRPr="006B6D61">
        <w:t>vozidla Peugeot Boxer</w:t>
      </w:r>
      <w:r w:rsidR="00626F1C" w:rsidRPr="006B6D61">
        <w:t xml:space="preserve"> a na nákup kancelářské techniky </w:t>
      </w:r>
      <w:r w:rsidR="00265F74">
        <w:br/>
      </w:r>
      <w:r w:rsidR="00626F1C" w:rsidRPr="006B6D61">
        <w:t>a vybavení</w:t>
      </w:r>
      <w:r w:rsidR="008D1082" w:rsidRPr="006B6D61">
        <w:t xml:space="preserve">. K nárůstu skutečného čerpání v roce </w:t>
      </w:r>
      <w:r w:rsidR="007D2EDD" w:rsidRPr="006B6D61">
        <w:t xml:space="preserve">2023 </w:t>
      </w:r>
      <w:r w:rsidR="008D1082" w:rsidRPr="006B6D61">
        <w:t xml:space="preserve">oproti předchozímu roku došlo vlivem dokončování akcí, jejichž realizace započala v letech </w:t>
      </w:r>
      <w:r w:rsidR="00EB3EC7" w:rsidRPr="006B6D61">
        <w:t xml:space="preserve">2021 </w:t>
      </w:r>
      <w:r w:rsidR="008D1082" w:rsidRPr="006B6D61">
        <w:t xml:space="preserve">a </w:t>
      </w:r>
      <w:r w:rsidR="00EB3EC7" w:rsidRPr="006B6D61">
        <w:t>2022</w:t>
      </w:r>
      <w:r w:rsidR="008D1082" w:rsidRPr="006B6D61">
        <w:t>.</w:t>
      </w:r>
      <w:r w:rsidR="006F0813" w:rsidRPr="006B6D61">
        <w:t xml:space="preserve"> </w:t>
      </w:r>
    </w:p>
    <w:p w14:paraId="77C54EFB" w14:textId="4729B04D" w:rsidR="003755E7" w:rsidRPr="006B6D61" w:rsidRDefault="003755E7" w:rsidP="003755E7">
      <w:pPr>
        <w:pStyle w:val="KOMGrafy"/>
      </w:pPr>
      <w:bookmarkStart w:id="856" w:name="_Toc160457139"/>
      <w:r w:rsidRPr="006B6D61">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22</w:t>
      </w:r>
      <w:r w:rsidRPr="006B6D61">
        <w:rPr>
          <w:noProof/>
        </w:rPr>
        <w:fldChar w:fldCharType="end"/>
      </w:r>
      <w:r w:rsidRPr="006B6D61">
        <w:t xml:space="preserve">: Srovnání skutečností v letech </w:t>
      </w:r>
      <w:r w:rsidR="00B57641">
        <w:t>2022</w:t>
      </w:r>
      <w:r w:rsidRPr="006B6D61">
        <w:t xml:space="preserve"> a </w:t>
      </w:r>
      <w:r w:rsidR="00B57641">
        <w:t>2023</w:t>
      </w:r>
      <w:r w:rsidR="00B57641" w:rsidRPr="006B6D61">
        <w:t xml:space="preserve"> </w:t>
      </w:r>
      <w:r w:rsidRPr="006B6D61">
        <w:t>u Státní plavební správy (v tis. Kč)</w:t>
      </w:r>
      <w:bookmarkEnd w:id="856"/>
    </w:p>
    <w:p w14:paraId="7F935FD5" w14:textId="0A93D4AB" w:rsidR="0020730A" w:rsidRPr="0077128B" w:rsidRDefault="0020730A" w:rsidP="00BA4E5A">
      <w:pPr>
        <w:pStyle w:val="KOMtext"/>
        <w:rPr>
          <w:color w:val="FF0000"/>
          <w:szCs w:val="24"/>
        </w:rPr>
      </w:pPr>
      <w:r w:rsidRPr="0077128B">
        <w:rPr>
          <w:noProof/>
          <w:color w:val="FF0000"/>
        </w:rPr>
        <w:drawing>
          <wp:inline distT="0" distB="0" distL="0" distR="0" wp14:anchorId="3A6E9D04" wp14:editId="214368ED">
            <wp:extent cx="5760000" cy="2160000"/>
            <wp:effectExtent l="0" t="0" r="12700" b="12065"/>
            <wp:docPr id="36" name="Graf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36E24DE4" w14:textId="23156929" w:rsidR="00FE391E" w:rsidRPr="006B6D61" w:rsidRDefault="004F5E4F" w:rsidP="00E20BD6">
      <w:pPr>
        <w:pStyle w:val="KOMnadp3"/>
      </w:pPr>
      <w:bookmarkStart w:id="857" w:name="_Toc128397715"/>
      <w:bookmarkStart w:id="858" w:name="_Toc128397848"/>
      <w:bookmarkStart w:id="859" w:name="_Toc128398069"/>
      <w:bookmarkStart w:id="860" w:name="_Toc128398412"/>
      <w:bookmarkStart w:id="861" w:name="_Toc128398538"/>
      <w:bookmarkStart w:id="862" w:name="_Toc128398752"/>
      <w:bookmarkStart w:id="863" w:name="_Toc128400068"/>
      <w:bookmarkStart w:id="864" w:name="_Toc128401308"/>
      <w:bookmarkStart w:id="865" w:name="_Toc128401436"/>
      <w:bookmarkStart w:id="866" w:name="_Toc128401923"/>
      <w:bookmarkStart w:id="867" w:name="_Toc128397716"/>
      <w:bookmarkStart w:id="868" w:name="_Toc128397849"/>
      <w:bookmarkStart w:id="869" w:name="_Toc128398070"/>
      <w:bookmarkStart w:id="870" w:name="_Toc128398413"/>
      <w:bookmarkStart w:id="871" w:name="_Toc128398539"/>
      <w:bookmarkStart w:id="872" w:name="_Toc128398753"/>
      <w:bookmarkStart w:id="873" w:name="_Toc128400069"/>
      <w:bookmarkStart w:id="874" w:name="_Toc128401309"/>
      <w:bookmarkStart w:id="875" w:name="_Toc128401437"/>
      <w:bookmarkStart w:id="876" w:name="_Toc128401924"/>
      <w:bookmarkStart w:id="877" w:name="_Toc128400070"/>
      <w:bookmarkStart w:id="878" w:name="_Toc16226926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r w:rsidRPr="006B6D61">
        <w:lastRenderedPageBreak/>
        <w:t>Drážní úřad</w:t>
      </w:r>
      <w:bookmarkEnd w:id="877"/>
      <w:bookmarkEnd w:id="878"/>
    </w:p>
    <w:p w14:paraId="6592C966" w14:textId="0C185731" w:rsidR="00302514" w:rsidRPr="006B6D61" w:rsidRDefault="00302514" w:rsidP="00302514">
      <w:pPr>
        <w:pStyle w:val="KOMtext"/>
      </w:pPr>
      <w:r w:rsidRPr="006B6D61">
        <w:t xml:space="preserve">Drážní úřad byl zřízen zákonem č. 266/1994 Sb., o dráhách, ve znění pozdějších předpisů, jako správní úřad a orgán státní správy podřízený Ministerstvu dopravy. Mezi jeho hlavní činnosti patří zejména schvalování typu drážních vozidel, schvalování nových drážních vozidel </w:t>
      </w:r>
      <w:r w:rsidRPr="006B6D61">
        <w:br/>
        <w:t>a určených technických zařízení, vydávání licencí strojvedoucího a průkazů způsobilosti k řízení drážních vozidel, výkon státní správy, státního dozoru a státního stavebního dohledu v úseku stavební činnosti a vydávání licencí a úředních povolení k provozování drážní dopravy, vykonávání bezpečnostního úřadu pro provozování drah a drážní dopravy podle příslušných směrnic Evropských společenství, dohled nad dodržováním povinností a práv cestujících vyplývajících z nařízení evropského parlamentu a rady ES. Drážní úřad sídlí v Praze a dále má územní odbor v Plzni a Olomouci.</w:t>
      </w:r>
    </w:p>
    <w:tbl>
      <w:tblPr>
        <w:tblW w:w="903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19"/>
        <w:gridCol w:w="1125"/>
        <w:gridCol w:w="1125"/>
        <w:gridCol w:w="1152"/>
        <w:gridCol w:w="1134"/>
        <w:gridCol w:w="1125"/>
        <w:gridCol w:w="754"/>
      </w:tblGrid>
      <w:tr w:rsidR="00F93A7E" w:rsidRPr="00473066" w14:paraId="48135115" w14:textId="77777777" w:rsidTr="00190991">
        <w:trPr>
          <w:trHeight w:val="390"/>
          <w:tblHeader/>
        </w:trPr>
        <w:tc>
          <w:tcPr>
            <w:tcW w:w="2619" w:type="dxa"/>
            <w:vMerge w:val="restart"/>
            <w:shd w:val="pct12" w:color="auto" w:fill="auto"/>
            <w:vAlign w:val="center"/>
          </w:tcPr>
          <w:p w14:paraId="61CE8CE6" w14:textId="77777777" w:rsidR="00F93A7E" w:rsidRPr="00C469F6" w:rsidRDefault="00F93A7E" w:rsidP="00190991">
            <w:pPr>
              <w:spacing w:after="0"/>
              <w:jc w:val="center"/>
              <w:rPr>
                <w:rFonts w:cstheme="minorHAnsi"/>
                <w:b/>
                <w:color w:val="000000" w:themeColor="text1"/>
                <w:sz w:val="20"/>
                <w:szCs w:val="20"/>
              </w:rPr>
            </w:pPr>
            <w:r w:rsidRPr="00C469F6">
              <w:rPr>
                <w:rFonts w:cstheme="minorHAnsi"/>
                <w:b/>
                <w:color w:val="000000" w:themeColor="text1"/>
                <w:sz w:val="20"/>
                <w:szCs w:val="20"/>
              </w:rPr>
              <w:t>Ukazatel</w:t>
            </w:r>
          </w:p>
        </w:tc>
        <w:tc>
          <w:tcPr>
            <w:tcW w:w="1125" w:type="dxa"/>
            <w:vMerge w:val="restart"/>
            <w:tcBorders>
              <w:top w:val="single" w:sz="4" w:space="0" w:color="auto"/>
              <w:right w:val="single" w:sz="4" w:space="0" w:color="auto"/>
            </w:tcBorders>
            <w:shd w:val="pct12" w:color="auto" w:fill="auto"/>
            <w:vAlign w:val="center"/>
          </w:tcPr>
          <w:p w14:paraId="4C004080" w14:textId="77777777" w:rsidR="00F93A7E" w:rsidRPr="00C469F6" w:rsidRDefault="00F93A7E" w:rsidP="00190991">
            <w:pPr>
              <w:spacing w:after="0"/>
              <w:jc w:val="center"/>
              <w:rPr>
                <w:rFonts w:cstheme="minorHAnsi"/>
                <w:b/>
                <w:color w:val="000000" w:themeColor="text1"/>
                <w:sz w:val="20"/>
                <w:szCs w:val="20"/>
              </w:rPr>
            </w:pPr>
            <w:r w:rsidRPr="00C469F6">
              <w:rPr>
                <w:rFonts w:cstheme="minorHAnsi"/>
                <w:b/>
                <w:color w:val="000000" w:themeColor="text1"/>
                <w:sz w:val="20"/>
                <w:szCs w:val="20"/>
              </w:rPr>
              <w:t>Skutečnost</w:t>
            </w:r>
          </w:p>
          <w:p w14:paraId="40B74C63" w14:textId="77777777" w:rsidR="00F93A7E" w:rsidRPr="00C469F6" w:rsidRDefault="00F93A7E" w:rsidP="00190991">
            <w:pPr>
              <w:spacing w:after="0"/>
              <w:jc w:val="center"/>
              <w:rPr>
                <w:rFonts w:cstheme="minorHAnsi"/>
                <w:b/>
                <w:color w:val="000000" w:themeColor="text1"/>
                <w:sz w:val="20"/>
                <w:szCs w:val="20"/>
              </w:rPr>
            </w:pPr>
            <w:r w:rsidRPr="00C469F6">
              <w:rPr>
                <w:rFonts w:cstheme="minorHAnsi"/>
                <w:b/>
                <w:color w:val="000000" w:themeColor="text1"/>
                <w:sz w:val="20"/>
                <w:szCs w:val="20"/>
              </w:rPr>
              <w:t>2022</w:t>
            </w:r>
          </w:p>
        </w:tc>
        <w:tc>
          <w:tcPr>
            <w:tcW w:w="3411" w:type="dxa"/>
            <w:gridSpan w:val="3"/>
            <w:tcBorders>
              <w:top w:val="single" w:sz="4" w:space="0" w:color="auto"/>
              <w:left w:val="single" w:sz="4" w:space="0" w:color="auto"/>
              <w:bottom w:val="single" w:sz="4" w:space="0" w:color="auto"/>
              <w:right w:val="single" w:sz="4" w:space="0" w:color="auto"/>
            </w:tcBorders>
            <w:shd w:val="pct12" w:color="auto" w:fill="auto"/>
            <w:vAlign w:val="center"/>
          </w:tcPr>
          <w:p w14:paraId="52FA3C4B" w14:textId="77777777" w:rsidR="00F93A7E" w:rsidRPr="00336B75" w:rsidRDefault="00F93A7E" w:rsidP="00190991">
            <w:pPr>
              <w:spacing w:after="0"/>
              <w:jc w:val="center"/>
              <w:rPr>
                <w:rFonts w:cstheme="minorHAnsi"/>
                <w:b/>
                <w:color w:val="000000" w:themeColor="text1"/>
                <w:sz w:val="20"/>
                <w:szCs w:val="20"/>
              </w:rPr>
            </w:pPr>
            <w:r w:rsidRPr="00336B75">
              <w:rPr>
                <w:rFonts w:cstheme="minorHAnsi"/>
                <w:b/>
                <w:color w:val="000000" w:themeColor="text1"/>
                <w:sz w:val="20"/>
                <w:szCs w:val="20"/>
              </w:rPr>
              <w:t>Rozpočet 2023</w:t>
            </w:r>
          </w:p>
        </w:tc>
        <w:tc>
          <w:tcPr>
            <w:tcW w:w="1125" w:type="dxa"/>
            <w:vMerge w:val="restart"/>
            <w:tcBorders>
              <w:top w:val="single" w:sz="4" w:space="0" w:color="auto"/>
              <w:left w:val="single" w:sz="4" w:space="0" w:color="auto"/>
              <w:right w:val="single" w:sz="4" w:space="0" w:color="auto"/>
            </w:tcBorders>
            <w:shd w:val="pct12" w:color="auto" w:fill="auto"/>
            <w:vAlign w:val="center"/>
          </w:tcPr>
          <w:p w14:paraId="64E7EA47" w14:textId="77777777" w:rsidR="00F93A7E" w:rsidRPr="00336B75" w:rsidRDefault="00F93A7E" w:rsidP="00190991">
            <w:pPr>
              <w:spacing w:after="0"/>
              <w:jc w:val="center"/>
              <w:rPr>
                <w:rFonts w:cstheme="minorHAnsi"/>
                <w:b/>
                <w:color w:val="000000" w:themeColor="text1"/>
                <w:sz w:val="20"/>
                <w:szCs w:val="20"/>
              </w:rPr>
            </w:pPr>
            <w:r w:rsidRPr="00336B75">
              <w:rPr>
                <w:rFonts w:cstheme="minorHAnsi"/>
                <w:b/>
                <w:color w:val="000000" w:themeColor="text1"/>
                <w:sz w:val="20"/>
                <w:szCs w:val="20"/>
              </w:rPr>
              <w:t>Skutečnost</w:t>
            </w:r>
          </w:p>
          <w:p w14:paraId="30138840" w14:textId="77777777" w:rsidR="00F93A7E" w:rsidRPr="00336B75" w:rsidRDefault="00F93A7E" w:rsidP="00190991">
            <w:pPr>
              <w:spacing w:after="0"/>
              <w:jc w:val="center"/>
              <w:rPr>
                <w:rFonts w:cstheme="minorHAnsi"/>
                <w:b/>
                <w:color w:val="000000" w:themeColor="text1"/>
                <w:sz w:val="20"/>
                <w:szCs w:val="20"/>
              </w:rPr>
            </w:pPr>
            <w:r w:rsidRPr="00336B75">
              <w:rPr>
                <w:rFonts w:cstheme="minorHAnsi"/>
                <w:b/>
                <w:color w:val="000000" w:themeColor="text1"/>
                <w:sz w:val="20"/>
                <w:szCs w:val="20"/>
              </w:rPr>
              <w:t>2023</w:t>
            </w:r>
          </w:p>
        </w:tc>
        <w:tc>
          <w:tcPr>
            <w:tcW w:w="754" w:type="dxa"/>
            <w:vMerge w:val="restart"/>
            <w:tcBorders>
              <w:top w:val="single" w:sz="4" w:space="0" w:color="auto"/>
              <w:left w:val="single" w:sz="4" w:space="0" w:color="auto"/>
            </w:tcBorders>
            <w:shd w:val="pct12" w:color="auto" w:fill="auto"/>
            <w:vAlign w:val="center"/>
          </w:tcPr>
          <w:p w14:paraId="785ECCA6" w14:textId="77777777" w:rsidR="00F93A7E" w:rsidRPr="00B36A89" w:rsidRDefault="00F93A7E" w:rsidP="00190991">
            <w:pPr>
              <w:spacing w:after="0"/>
              <w:jc w:val="center"/>
              <w:rPr>
                <w:rFonts w:cstheme="minorHAnsi"/>
                <w:b/>
                <w:color w:val="000000" w:themeColor="text1"/>
                <w:sz w:val="20"/>
                <w:szCs w:val="20"/>
              </w:rPr>
            </w:pPr>
            <w:r w:rsidRPr="00B36A89">
              <w:rPr>
                <w:rFonts w:cstheme="minorHAnsi"/>
                <w:b/>
                <w:color w:val="000000" w:themeColor="text1"/>
                <w:sz w:val="20"/>
                <w:szCs w:val="20"/>
              </w:rPr>
              <w:t>Index</w:t>
            </w:r>
          </w:p>
          <w:p w14:paraId="67DDEE7E" w14:textId="77777777" w:rsidR="00F93A7E" w:rsidRPr="00B36A89" w:rsidRDefault="00F93A7E" w:rsidP="00190991">
            <w:pPr>
              <w:spacing w:after="0"/>
              <w:jc w:val="center"/>
              <w:rPr>
                <w:rFonts w:cstheme="minorHAnsi"/>
                <w:b/>
                <w:color w:val="000000" w:themeColor="text1"/>
                <w:sz w:val="20"/>
                <w:szCs w:val="20"/>
              </w:rPr>
            </w:pPr>
            <w:r w:rsidRPr="00B36A89">
              <w:rPr>
                <w:rFonts w:cstheme="minorHAnsi"/>
                <w:b/>
                <w:color w:val="000000" w:themeColor="text1"/>
                <w:sz w:val="20"/>
                <w:szCs w:val="20"/>
              </w:rPr>
              <w:t xml:space="preserve"> (v %)</w:t>
            </w:r>
          </w:p>
        </w:tc>
      </w:tr>
      <w:tr w:rsidR="00F93A7E" w:rsidRPr="00473066" w14:paraId="2EF77341" w14:textId="77777777" w:rsidTr="00190991">
        <w:trPr>
          <w:trHeight w:val="535"/>
          <w:tblHeader/>
        </w:trPr>
        <w:tc>
          <w:tcPr>
            <w:tcW w:w="2619" w:type="dxa"/>
            <w:vMerge/>
            <w:tcBorders>
              <w:bottom w:val="nil"/>
            </w:tcBorders>
            <w:vAlign w:val="center"/>
          </w:tcPr>
          <w:p w14:paraId="281A6F64" w14:textId="77777777" w:rsidR="00F93A7E" w:rsidRPr="00C469F6" w:rsidRDefault="00F93A7E" w:rsidP="00190991">
            <w:pPr>
              <w:jc w:val="center"/>
              <w:rPr>
                <w:rFonts w:cstheme="minorHAnsi"/>
                <w:color w:val="000000" w:themeColor="text1"/>
                <w:sz w:val="20"/>
                <w:szCs w:val="20"/>
              </w:rPr>
            </w:pPr>
          </w:p>
        </w:tc>
        <w:tc>
          <w:tcPr>
            <w:tcW w:w="1125" w:type="dxa"/>
            <w:vMerge/>
            <w:tcBorders>
              <w:bottom w:val="nil"/>
              <w:right w:val="single" w:sz="4" w:space="0" w:color="auto"/>
            </w:tcBorders>
            <w:vAlign w:val="center"/>
          </w:tcPr>
          <w:p w14:paraId="19302439" w14:textId="77777777" w:rsidR="00F93A7E" w:rsidRPr="00C469F6" w:rsidRDefault="00F93A7E" w:rsidP="00190991">
            <w:pPr>
              <w:jc w:val="center"/>
              <w:rPr>
                <w:rFonts w:cstheme="minorHAnsi"/>
                <w:color w:val="000000" w:themeColor="text1"/>
                <w:sz w:val="20"/>
                <w:szCs w:val="20"/>
              </w:rPr>
            </w:pP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66EA70D4" w14:textId="77777777" w:rsidR="00F93A7E" w:rsidRPr="00336B75" w:rsidRDefault="00F93A7E" w:rsidP="00190991">
            <w:pPr>
              <w:spacing w:before="60" w:after="60"/>
              <w:jc w:val="center"/>
              <w:rPr>
                <w:rFonts w:cstheme="minorHAnsi"/>
                <w:b/>
                <w:color w:val="000000" w:themeColor="text1"/>
                <w:sz w:val="20"/>
                <w:szCs w:val="20"/>
              </w:rPr>
            </w:pPr>
            <w:r w:rsidRPr="00336B75">
              <w:rPr>
                <w:rFonts w:cstheme="minorHAnsi"/>
                <w:b/>
                <w:color w:val="000000" w:themeColor="text1"/>
                <w:sz w:val="20"/>
                <w:szCs w:val="20"/>
              </w:rPr>
              <w:t>schválený</w:t>
            </w:r>
          </w:p>
        </w:tc>
        <w:tc>
          <w:tcPr>
            <w:tcW w:w="1152" w:type="dxa"/>
            <w:tcBorders>
              <w:top w:val="single" w:sz="4" w:space="0" w:color="auto"/>
              <w:left w:val="single" w:sz="4" w:space="0" w:color="auto"/>
              <w:bottom w:val="single" w:sz="4" w:space="0" w:color="auto"/>
              <w:right w:val="single" w:sz="4" w:space="0" w:color="auto"/>
            </w:tcBorders>
            <w:shd w:val="pct12" w:color="auto" w:fill="auto"/>
            <w:vAlign w:val="center"/>
          </w:tcPr>
          <w:p w14:paraId="4AF751DA" w14:textId="77777777" w:rsidR="00F93A7E" w:rsidRPr="00336B75" w:rsidRDefault="00F93A7E" w:rsidP="00190991">
            <w:pPr>
              <w:spacing w:before="60" w:after="60"/>
              <w:jc w:val="center"/>
              <w:rPr>
                <w:rFonts w:cstheme="minorHAnsi"/>
                <w:b/>
                <w:color w:val="000000" w:themeColor="text1"/>
                <w:sz w:val="20"/>
                <w:szCs w:val="20"/>
              </w:rPr>
            </w:pPr>
            <w:r w:rsidRPr="00336B75">
              <w:rPr>
                <w:rFonts w:cstheme="minorHAnsi"/>
                <w:b/>
                <w:color w:val="000000" w:themeColor="text1"/>
                <w:sz w:val="20"/>
                <w:szCs w:val="20"/>
              </w:rPr>
              <w:t>po změnách</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0D0BF410" w14:textId="77777777" w:rsidR="00F93A7E" w:rsidRPr="00336B75" w:rsidRDefault="00F93A7E" w:rsidP="00190991">
            <w:pPr>
              <w:spacing w:before="60" w:after="60"/>
              <w:jc w:val="center"/>
              <w:rPr>
                <w:rFonts w:cstheme="minorHAnsi"/>
                <w:b/>
                <w:color w:val="000000" w:themeColor="text1"/>
                <w:sz w:val="20"/>
                <w:szCs w:val="20"/>
              </w:rPr>
            </w:pPr>
            <w:r w:rsidRPr="00336B75">
              <w:rPr>
                <w:rFonts w:cstheme="minorHAnsi"/>
                <w:b/>
                <w:color w:val="000000" w:themeColor="text1"/>
                <w:sz w:val="20"/>
                <w:szCs w:val="20"/>
              </w:rPr>
              <w:t>konečný</w:t>
            </w:r>
          </w:p>
        </w:tc>
        <w:tc>
          <w:tcPr>
            <w:tcW w:w="1125" w:type="dxa"/>
            <w:vMerge/>
            <w:tcBorders>
              <w:left w:val="single" w:sz="4" w:space="0" w:color="auto"/>
              <w:bottom w:val="nil"/>
              <w:right w:val="single" w:sz="4" w:space="0" w:color="auto"/>
            </w:tcBorders>
            <w:shd w:val="clear" w:color="auto" w:fill="D9D9D9" w:themeFill="background1" w:themeFillShade="D9"/>
          </w:tcPr>
          <w:p w14:paraId="1E9EB174" w14:textId="77777777" w:rsidR="00F93A7E" w:rsidRPr="00336B75" w:rsidRDefault="00F93A7E" w:rsidP="00190991">
            <w:pPr>
              <w:jc w:val="center"/>
              <w:rPr>
                <w:rFonts w:cstheme="minorHAnsi"/>
                <w:color w:val="000000" w:themeColor="text1"/>
                <w:sz w:val="20"/>
                <w:szCs w:val="20"/>
              </w:rPr>
            </w:pPr>
          </w:p>
        </w:tc>
        <w:tc>
          <w:tcPr>
            <w:tcW w:w="754" w:type="dxa"/>
            <w:vMerge/>
            <w:tcBorders>
              <w:left w:val="single" w:sz="4" w:space="0" w:color="auto"/>
              <w:bottom w:val="nil"/>
            </w:tcBorders>
            <w:shd w:val="clear" w:color="auto" w:fill="D9D9D9" w:themeFill="background1" w:themeFillShade="D9"/>
          </w:tcPr>
          <w:p w14:paraId="490A65FD" w14:textId="77777777" w:rsidR="00F93A7E" w:rsidRPr="00B36A89" w:rsidRDefault="00F93A7E" w:rsidP="00190991">
            <w:pPr>
              <w:jc w:val="center"/>
              <w:rPr>
                <w:rFonts w:cstheme="minorHAnsi"/>
                <w:color w:val="000000" w:themeColor="text1"/>
                <w:sz w:val="20"/>
                <w:szCs w:val="20"/>
              </w:rPr>
            </w:pPr>
          </w:p>
        </w:tc>
      </w:tr>
      <w:tr w:rsidR="00F93A7E" w:rsidRPr="00473066" w14:paraId="0E381101" w14:textId="77777777" w:rsidTr="00190991">
        <w:trPr>
          <w:trHeight w:val="100"/>
          <w:tblHeader/>
        </w:trPr>
        <w:tc>
          <w:tcPr>
            <w:tcW w:w="2619" w:type="dxa"/>
            <w:tcBorders>
              <w:top w:val="single" w:sz="4" w:space="0" w:color="auto"/>
              <w:left w:val="single" w:sz="4" w:space="0" w:color="auto"/>
              <w:bottom w:val="single" w:sz="4" w:space="0" w:color="auto"/>
              <w:right w:val="single" w:sz="4" w:space="0" w:color="auto"/>
            </w:tcBorders>
          </w:tcPr>
          <w:p w14:paraId="660D3E02" w14:textId="77777777" w:rsidR="00F93A7E" w:rsidRPr="00C469F6" w:rsidRDefault="00F93A7E" w:rsidP="00190991">
            <w:pPr>
              <w:spacing w:after="0"/>
              <w:jc w:val="center"/>
              <w:rPr>
                <w:rFonts w:cstheme="minorHAnsi"/>
                <w:color w:val="000000" w:themeColor="text1"/>
                <w:sz w:val="20"/>
                <w:szCs w:val="20"/>
              </w:rPr>
            </w:pPr>
            <w:r w:rsidRPr="00C469F6">
              <w:rPr>
                <w:rFonts w:cstheme="minorHAnsi"/>
                <w:color w:val="000000" w:themeColor="text1"/>
                <w:sz w:val="20"/>
                <w:szCs w:val="20"/>
              </w:rPr>
              <w:t>a</w:t>
            </w:r>
          </w:p>
        </w:tc>
        <w:tc>
          <w:tcPr>
            <w:tcW w:w="1125" w:type="dxa"/>
            <w:tcBorders>
              <w:top w:val="single" w:sz="4" w:space="0" w:color="auto"/>
              <w:left w:val="single" w:sz="4" w:space="0" w:color="auto"/>
              <w:bottom w:val="single" w:sz="4" w:space="0" w:color="auto"/>
              <w:right w:val="single" w:sz="4" w:space="0" w:color="auto"/>
            </w:tcBorders>
          </w:tcPr>
          <w:p w14:paraId="2510B1D0" w14:textId="77777777" w:rsidR="00F93A7E" w:rsidRPr="00C469F6" w:rsidRDefault="00F93A7E" w:rsidP="00190991">
            <w:pPr>
              <w:spacing w:after="0"/>
              <w:jc w:val="center"/>
              <w:rPr>
                <w:rFonts w:cstheme="minorHAnsi"/>
                <w:color w:val="000000" w:themeColor="text1"/>
                <w:sz w:val="20"/>
                <w:szCs w:val="20"/>
              </w:rPr>
            </w:pPr>
            <w:r w:rsidRPr="00C469F6">
              <w:rPr>
                <w:rFonts w:cstheme="minorHAnsi"/>
                <w:color w:val="000000" w:themeColor="text1"/>
                <w:sz w:val="20"/>
                <w:szCs w:val="20"/>
              </w:rPr>
              <w:t>1</w:t>
            </w:r>
          </w:p>
        </w:tc>
        <w:tc>
          <w:tcPr>
            <w:tcW w:w="1125" w:type="dxa"/>
            <w:tcBorders>
              <w:top w:val="single" w:sz="4" w:space="0" w:color="auto"/>
              <w:left w:val="single" w:sz="4" w:space="0" w:color="auto"/>
              <w:bottom w:val="single" w:sz="4" w:space="0" w:color="auto"/>
              <w:right w:val="single" w:sz="4" w:space="0" w:color="auto"/>
            </w:tcBorders>
          </w:tcPr>
          <w:p w14:paraId="0C823F4C" w14:textId="77777777" w:rsidR="00F93A7E" w:rsidRPr="00336B75" w:rsidRDefault="00F93A7E" w:rsidP="00190991">
            <w:pPr>
              <w:spacing w:after="0"/>
              <w:jc w:val="center"/>
              <w:rPr>
                <w:rFonts w:cstheme="minorHAnsi"/>
                <w:color w:val="000000" w:themeColor="text1"/>
                <w:sz w:val="20"/>
                <w:szCs w:val="20"/>
              </w:rPr>
            </w:pPr>
            <w:r w:rsidRPr="00336B75">
              <w:rPr>
                <w:rFonts w:cstheme="minorHAnsi"/>
                <w:color w:val="000000" w:themeColor="text1"/>
                <w:sz w:val="20"/>
                <w:szCs w:val="20"/>
              </w:rPr>
              <w:t>2</w:t>
            </w:r>
          </w:p>
        </w:tc>
        <w:tc>
          <w:tcPr>
            <w:tcW w:w="1152" w:type="dxa"/>
            <w:tcBorders>
              <w:top w:val="single" w:sz="4" w:space="0" w:color="auto"/>
              <w:left w:val="single" w:sz="4" w:space="0" w:color="auto"/>
              <w:bottom w:val="single" w:sz="4" w:space="0" w:color="auto"/>
              <w:right w:val="single" w:sz="4" w:space="0" w:color="auto"/>
            </w:tcBorders>
          </w:tcPr>
          <w:p w14:paraId="7BC30C11" w14:textId="77777777" w:rsidR="00F93A7E" w:rsidRPr="00336B75" w:rsidRDefault="00F93A7E" w:rsidP="00190991">
            <w:pPr>
              <w:spacing w:after="0"/>
              <w:jc w:val="center"/>
              <w:rPr>
                <w:rFonts w:cstheme="minorHAnsi"/>
                <w:color w:val="000000" w:themeColor="text1"/>
                <w:sz w:val="20"/>
                <w:szCs w:val="20"/>
              </w:rPr>
            </w:pPr>
            <w:r w:rsidRPr="00336B75">
              <w:rPr>
                <w:rFonts w:cstheme="minorHAnsi"/>
                <w:color w:val="000000" w:themeColor="text1"/>
                <w:sz w:val="20"/>
                <w:szCs w:val="20"/>
              </w:rPr>
              <w:t>3</w:t>
            </w:r>
          </w:p>
        </w:tc>
        <w:tc>
          <w:tcPr>
            <w:tcW w:w="1134" w:type="dxa"/>
            <w:tcBorders>
              <w:top w:val="single" w:sz="4" w:space="0" w:color="auto"/>
              <w:left w:val="single" w:sz="4" w:space="0" w:color="auto"/>
              <w:bottom w:val="single" w:sz="4" w:space="0" w:color="auto"/>
              <w:right w:val="single" w:sz="4" w:space="0" w:color="auto"/>
            </w:tcBorders>
          </w:tcPr>
          <w:p w14:paraId="04B2D0A1" w14:textId="77777777" w:rsidR="00F93A7E" w:rsidRPr="00336B75" w:rsidRDefault="00F93A7E" w:rsidP="00190991">
            <w:pPr>
              <w:spacing w:after="0"/>
              <w:jc w:val="center"/>
              <w:rPr>
                <w:rFonts w:cstheme="minorHAnsi"/>
                <w:color w:val="000000" w:themeColor="text1"/>
                <w:sz w:val="20"/>
                <w:szCs w:val="20"/>
              </w:rPr>
            </w:pPr>
            <w:r w:rsidRPr="00336B75">
              <w:rPr>
                <w:rFonts w:cstheme="minorHAnsi"/>
                <w:color w:val="000000" w:themeColor="text1"/>
                <w:sz w:val="20"/>
                <w:szCs w:val="20"/>
              </w:rPr>
              <w:t>4</w:t>
            </w:r>
          </w:p>
        </w:tc>
        <w:tc>
          <w:tcPr>
            <w:tcW w:w="1125" w:type="dxa"/>
            <w:tcBorders>
              <w:top w:val="single" w:sz="4" w:space="0" w:color="auto"/>
              <w:left w:val="single" w:sz="4" w:space="0" w:color="auto"/>
              <w:bottom w:val="single" w:sz="4" w:space="0" w:color="auto"/>
              <w:right w:val="single" w:sz="4" w:space="0" w:color="auto"/>
            </w:tcBorders>
          </w:tcPr>
          <w:p w14:paraId="5AFA6C0E" w14:textId="77777777" w:rsidR="00F93A7E" w:rsidRPr="00336B75" w:rsidRDefault="00F93A7E" w:rsidP="00190991">
            <w:pPr>
              <w:spacing w:after="0"/>
              <w:jc w:val="center"/>
              <w:rPr>
                <w:rFonts w:cstheme="minorHAnsi"/>
                <w:color w:val="000000" w:themeColor="text1"/>
                <w:sz w:val="20"/>
                <w:szCs w:val="20"/>
              </w:rPr>
            </w:pPr>
            <w:r w:rsidRPr="00336B75">
              <w:rPr>
                <w:rFonts w:cstheme="minorHAnsi"/>
                <w:color w:val="000000" w:themeColor="text1"/>
                <w:sz w:val="20"/>
                <w:szCs w:val="20"/>
              </w:rPr>
              <w:t>5</w:t>
            </w:r>
          </w:p>
        </w:tc>
        <w:tc>
          <w:tcPr>
            <w:tcW w:w="754" w:type="dxa"/>
            <w:tcBorders>
              <w:top w:val="single" w:sz="4" w:space="0" w:color="auto"/>
              <w:left w:val="single" w:sz="4" w:space="0" w:color="auto"/>
              <w:bottom w:val="single" w:sz="4" w:space="0" w:color="auto"/>
              <w:right w:val="single" w:sz="4" w:space="0" w:color="auto"/>
            </w:tcBorders>
          </w:tcPr>
          <w:p w14:paraId="54103E6F" w14:textId="77777777" w:rsidR="00F93A7E" w:rsidRPr="00B36A89" w:rsidRDefault="00F93A7E" w:rsidP="00190991">
            <w:pPr>
              <w:spacing w:after="0"/>
              <w:jc w:val="center"/>
              <w:rPr>
                <w:rFonts w:cstheme="minorHAnsi"/>
                <w:color w:val="000000" w:themeColor="text1"/>
                <w:sz w:val="20"/>
                <w:szCs w:val="20"/>
              </w:rPr>
            </w:pPr>
            <w:r w:rsidRPr="00B36A89">
              <w:rPr>
                <w:rFonts w:cstheme="minorHAnsi"/>
                <w:color w:val="000000" w:themeColor="text1"/>
                <w:sz w:val="20"/>
                <w:szCs w:val="20"/>
              </w:rPr>
              <w:t>5/1</w:t>
            </w:r>
          </w:p>
        </w:tc>
      </w:tr>
      <w:tr w:rsidR="00F93A7E" w:rsidRPr="00473066" w14:paraId="4F8B4CCF" w14:textId="77777777" w:rsidTr="00190991">
        <w:trPr>
          <w:trHeight w:val="388"/>
          <w:tblHeader/>
        </w:trPr>
        <w:tc>
          <w:tcPr>
            <w:tcW w:w="2619" w:type="dxa"/>
            <w:tcBorders>
              <w:top w:val="single" w:sz="4" w:space="0" w:color="auto"/>
              <w:left w:val="single" w:sz="4" w:space="0" w:color="auto"/>
              <w:bottom w:val="single" w:sz="4" w:space="0" w:color="auto"/>
              <w:right w:val="single" w:sz="4" w:space="0" w:color="auto"/>
            </w:tcBorders>
            <w:shd w:val="pct12" w:color="auto" w:fill="auto"/>
            <w:vAlign w:val="center"/>
          </w:tcPr>
          <w:p w14:paraId="17F0FD53" w14:textId="77777777" w:rsidR="00F93A7E" w:rsidRPr="00C469F6" w:rsidRDefault="00F93A7E" w:rsidP="00190991">
            <w:pPr>
              <w:pStyle w:val="Zkladntext"/>
              <w:spacing w:after="0"/>
              <w:rPr>
                <w:rFonts w:cstheme="minorHAnsi"/>
                <w:b/>
                <w:bCs/>
                <w:color w:val="000000" w:themeColor="text1"/>
                <w:sz w:val="20"/>
                <w:szCs w:val="20"/>
              </w:rPr>
            </w:pPr>
            <w:r w:rsidRPr="00C469F6">
              <w:rPr>
                <w:rFonts w:cstheme="minorHAnsi"/>
                <w:b/>
                <w:bCs/>
                <w:color w:val="000000" w:themeColor="text1"/>
                <w:sz w:val="20"/>
                <w:szCs w:val="20"/>
              </w:rPr>
              <w:t xml:space="preserve">Výdaje celkem </w:t>
            </w:r>
            <w:r w:rsidRPr="00C469F6">
              <w:rPr>
                <w:rFonts w:cstheme="minorHAnsi"/>
                <w:bCs/>
                <w:color w:val="000000" w:themeColor="text1"/>
                <w:sz w:val="20"/>
                <w:szCs w:val="20"/>
              </w:rPr>
              <w:t>(v tom:)</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13332834" w14:textId="77777777" w:rsidR="00F93A7E" w:rsidRPr="00C469F6" w:rsidRDefault="00F93A7E" w:rsidP="00190991">
            <w:pPr>
              <w:spacing w:after="0"/>
              <w:jc w:val="right"/>
              <w:rPr>
                <w:rFonts w:cstheme="minorHAnsi"/>
                <w:b/>
                <w:bCs/>
                <w:color w:val="000000" w:themeColor="text1"/>
                <w:sz w:val="20"/>
                <w:szCs w:val="20"/>
              </w:rPr>
            </w:pPr>
            <w:r w:rsidRPr="00C469F6">
              <w:rPr>
                <w:rFonts w:cstheme="minorHAnsi"/>
                <w:b/>
                <w:bCs/>
                <w:color w:val="000000" w:themeColor="text1"/>
                <w:sz w:val="20"/>
                <w:szCs w:val="20"/>
              </w:rPr>
              <w:t>110 959</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2C9A1E92" w14:textId="77777777" w:rsidR="00F93A7E" w:rsidRPr="00336B75" w:rsidRDefault="00F93A7E" w:rsidP="00190991">
            <w:pPr>
              <w:spacing w:after="0"/>
              <w:jc w:val="right"/>
              <w:rPr>
                <w:rFonts w:cstheme="minorHAnsi"/>
                <w:b/>
                <w:bCs/>
                <w:color w:val="000000" w:themeColor="text1"/>
                <w:sz w:val="20"/>
                <w:szCs w:val="20"/>
              </w:rPr>
            </w:pPr>
            <w:r w:rsidRPr="00336B75">
              <w:rPr>
                <w:rFonts w:cstheme="minorHAnsi"/>
                <w:b/>
                <w:bCs/>
                <w:color w:val="000000" w:themeColor="text1"/>
                <w:sz w:val="20"/>
                <w:szCs w:val="20"/>
              </w:rPr>
              <w:t>108 640</w:t>
            </w:r>
          </w:p>
        </w:tc>
        <w:tc>
          <w:tcPr>
            <w:tcW w:w="1152" w:type="dxa"/>
            <w:tcBorders>
              <w:top w:val="single" w:sz="4" w:space="0" w:color="auto"/>
              <w:left w:val="single" w:sz="4" w:space="0" w:color="auto"/>
              <w:bottom w:val="single" w:sz="4" w:space="0" w:color="auto"/>
              <w:right w:val="single" w:sz="4" w:space="0" w:color="auto"/>
            </w:tcBorders>
            <w:shd w:val="pct12" w:color="auto" w:fill="auto"/>
            <w:vAlign w:val="center"/>
          </w:tcPr>
          <w:p w14:paraId="2F938C0D" w14:textId="77777777" w:rsidR="00F93A7E" w:rsidRPr="00336B75" w:rsidRDefault="00F93A7E" w:rsidP="00190991">
            <w:pPr>
              <w:spacing w:after="0"/>
              <w:jc w:val="right"/>
              <w:rPr>
                <w:rFonts w:cstheme="minorHAnsi"/>
                <w:b/>
                <w:bCs/>
                <w:color w:val="000000" w:themeColor="text1"/>
                <w:sz w:val="20"/>
                <w:szCs w:val="20"/>
              </w:rPr>
            </w:pPr>
            <w:r w:rsidRPr="00336B75">
              <w:rPr>
                <w:rFonts w:cstheme="minorHAnsi"/>
                <w:b/>
                <w:bCs/>
                <w:color w:val="000000" w:themeColor="text1"/>
                <w:sz w:val="20"/>
                <w:szCs w:val="20"/>
              </w:rPr>
              <w:t>121 716</w:t>
            </w:r>
          </w:p>
        </w:tc>
        <w:tc>
          <w:tcPr>
            <w:tcW w:w="1134" w:type="dxa"/>
            <w:tcBorders>
              <w:top w:val="single" w:sz="4" w:space="0" w:color="auto"/>
              <w:left w:val="single" w:sz="4" w:space="0" w:color="auto"/>
              <w:bottom w:val="single" w:sz="4" w:space="0" w:color="auto"/>
              <w:right w:val="single" w:sz="4" w:space="0" w:color="auto"/>
            </w:tcBorders>
            <w:shd w:val="pct12" w:color="auto" w:fill="auto"/>
            <w:vAlign w:val="center"/>
          </w:tcPr>
          <w:p w14:paraId="4A708D5D" w14:textId="77777777" w:rsidR="00F93A7E" w:rsidRPr="00336B75" w:rsidRDefault="00F93A7E" w:rsidP="00190991">
            <w:pPr>
              <w:spacing w:after="0"/>
              <w:jc w:val="right"/>
              <w:rPr>
                <w:rFonts w:cstheme="minorHAnsi"/>
                <w:b/>
                <w:bCs/>
                <w:color w:val="000000" w:themeColor="text1"/>
                <w:sz w:val="20"/>
                <w:szCs w:val="20"/>
              </w:rPr>
            </w:pPr>
            <w:r w:rsidRPr="00336B75">
              <w:rPr>
                <w:rFonts w:cstheme="minorHAnsi"/>
                <w:b/>
                <w:bCs/>
                <w:color w:val="000000" w:themeColor="text1"/>
                <w:sz w:val="20"/>
                <w:szCs w:val="20"/>
              </w:rPr>
              <w:t>126 380</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5AEBFCEE" w14:textId="77777777" w:rsidR="00F93A7E" w:rsidRPr="00336B75" w:rsidRDefault="00F93A7E" w:rsidP="00190991">
            <w:pPr>
              <w:spacing w:after="0"/>
              <w:jc w:val="right"/>
              <w:rPr>
                <w:rFonts w:cstheme="minorHAnsi"/>
                <w:b/>
                <w:bCs/>
                <w:color w:val="000000" w:themeColor="text1"/>
                <w:sz w:val="20"/>
                <w:szCs w:val="20"/>
              </w:rPr>
            </w:pPr>
            <w:r w:rsidRPr="00336B75">
              <w:rPr>
                <w:rFonts w:cstheme="minorHAnsi"/>
                <w:b/>
                <w:bCs/>
                <w:color w:val="000000" w:themeColor="text1"/>
                <w:sz w:val="20"/>
                <w:szCs w:val="20"/>
              </w:rPr>
              <w:t>115 238</w:t>
            </w:r>
          </w:p>
        </w:tc>
        <w:tc>
          <w:tcPr>
            <w:tcW w:w="754" w:type="dxa"/>
            <w:tcBorders>
              <w:top w:val="single" w:sz="4" w:space="0" w:color="auto"/>
              <w:left w:val="single" w:sz="4" w:space="0" w:color="auto"/>
              <w:bottom w:val="single" w:sz="4" w:space="0" w:color="auto"/>
              <w:right w:val="single" w:sz="4" w:space="0" w:color="auto"/>
            </w:tcBorders>
            <w:shd w:val="pct12" w:color="auto" w:fill="auto"/>
            <w:vAlign w:val="center"/>
          </w:tcPr>
          <w:p w14:paraId="2A530FA1" w14:textId="77777777" w:rsidR="00F93A7E" w:rsidRPr="00B36A89" w:rsidRDefault="00F93A7E" w:rsidP="00190991">
            <w:pPr>
              <w:spacing w:after="0"/>
              <w:jc w:val="right"/>
              <w:rPr>
                <w:rFonts w:cstheme="minorHAnsi"/>
                <w:b/>
                <w:bCs/>
                <w:color w:val="000000" w:themeColor="text1"/>
                <w:sz w:val="20"/>
                <w:szCs w:val="20"/>
              </w:rPr>
            </w:pPr>
            <w:r w:rsidRPr="00B36A89">
              <w:rPr>
                <w:rFonts w:cstheme="minorHAnsi"/>
                <w:b/>
                <w:bCs/>
                <w:color w:val="000000" w:themeColor="text1"/>
                <w:sz w:val="20"/>
                <w:szCs w:val="20"/>
              </w:rPr>
              <w:t>103,9</w:t>
            </w:r>
          </w:p>
        </w:tc>
      </w:tr>
      <w:tr w:rsidR="00F93A7E" w:rsidRPr="00473066" w14:paraId="06F180BD" w14:textId="77777777" w:rsidTr="00190991">
        <w:trPr>
          <w:trHeight w:val="388"/>
          <w:tblHeader/>
        </w:trPr>
        <w:tc>
          <w:tcPr>
            <w:tcW w:w="2619" w:type="dxa"/>
            <w:tcBorders>
              <w:top w:val="single" w:sz="4" w:space="0" w:color="auto"/>
              <w:left w:val="single" w:sz="4" w:space="0" w:color="auto"/>
              <w:bottom w:val="nil"/>
              <w:right w:val="single" w:sz="4" w:space="0" w:color="auto"/>
            </w:tcBorders>
            <w:vAlign w:val="center"/>
          </w:tcPr>
          <w:p w14:paraId="2E0E7951" w14:textId="77777777" w:rsidR="00F93A7E" w:rsidRPr="00B975F3" w:rsidRDefault="00F93A7E" w:rsidP="00190991">
            <w:pPr>
              <w:pStyle w:val="Zkladntext"/>
              <w:spacing w:after="0"/>
              <w:rPr>
                <w:rFonts w:cstheme="minorHAnsi"/>
                <w:b/>
                <w:bCs/>
                <w:color w:val="2E74B5"/>
                <w:sz w:val="20"/>
                <w:szCs w:val="20"/>
              </w:rPr>
            </w:pPr>
            <w:r w:rsidRPr="00B975F3">
              <w:rPr>
                <w:rFonts w:cstheme="minorHAnsi"/>
                <w:b/>
                <w:bCs/>
                <w:color w:val="2E74B5"/>
                <w:sz w:val="20"/>
                <w:szCs w:val="20"/>
              </w:rPr>
              <w:t xml:space="preserve">Běžné výdaje </w:t>
            </w:r>
            <w:r w:rsidRPr="00B975F3">
              <w:rPr>
                <w:rFonts w:cstheme="minorHAnsi"/>
                <w:bCs/>
                <w:color w:val="2E74B5"/>
                <w:sz w:val="20"/>
                <w:szCs w:val="20"/>
              </w:rPr>
              <w:t>(v tom:)</w:t>
            </w:r>
          </w:p>
        </w:tc>
        <w:tc>
          <w:tcPr>
            <w:tcW w:w="1125" w:type="dxa"/>
            <w:tcBorders>
              <w:top w:val="single" w:sz="4" w:space="0" w:color="auto"/>
              <w:left w:val="single" w:sz="4" w:space="0" w:color="auto"/>
              <w:bottom w:val="nil"/>
              <w:right w:val="single" w:sz="4" w:space="0" w:color="auto"/>
            </w:tcBorders>
            <w:vAlign w:val="center"/>
          </w:tcPr>
          <w:p w14:paraId="7C50E347" w14:textId="77777777" w:rsidR="00F93A7E" w:rsidRPr="00B975F3" w:rsidRDefault="00F93A7E" w:rsidP="00190991">
            <w:pPr>
              <w:spacing w:after="0"/>
              <w:jc w:val="right"/>
              <w:rPr>
                <w:rFonts w:cstheme="minorHAnsi"/>
                <w:b/>
                <w:bCs/>
                <w:color w:val="2E74B5"/>
                <w:sz w:val="20"/>
                <w:szCs w:val="20"/>
              </w:rPr>
            </w:pPr>
            <w:r w:rsidRPr="00B975F3">
              <w:rPr>
                <w:rFonts w:cstheme="minorHAnsi"/>
                <w:b/>
                <w:bCs/>
                <w:color w:val="2E74B5"/>
                <w:sz w:val="20"/>
                <w:szCs w:val="20"/>
              </w:rPr>
              <w:t>110 623</w:t>
            </w:r>
          </w:p>
        </w:tc>
        <w:tc>
          <w:tcPr>
            <w:tcW w:w="1125" w:type="dxa"/>
            <w:tcBorders>
              <w:top w:val="single" w:sz="4" w:space="0" w:color="auto"/>
              <w:left w:val="single" w:sz="4" w:space="0" w:color="auto"/>
              <w:bottom w:val="nil"/>
              <w:right w:val="single" w:sz="4" w:space="0" w:color="auto"/>
            </w:tcBorders>
            <w:vAlign w:val="center"/>
          </w:tcPr>
          <w:p w14:paraId="462C063D" w14:textId="77777777" w:rsidR="00F93A7E" w:rsidRPr="00B975F3" w:rsidRDefault="00F93A7E" w:rsidP="00190991">
            <w:pPr>
              <w:spacing w:after="0"/>
              <w:jc w:val="right"/>
              <w:rPr>
                <w:rFonts w:cstheme="minorHAnsi"/>
                <w:b/>
                <w:bCs/>
                <w:color w:val="2E74B5"/>
                <w:sz w:val="20"/>
                <w:szCs w:val="20"/>
              </w:rPr>
            </w:pPr>
            <w:r w:rsidRPr="00B975F3">
              <w:rPr>
                <w:rFonts w:cstheme="minorHAnsi"/>
                <w:b/>
                <w:bCs/>
                <w:color w:val="2E74B5"/>
                <w:sz w:val="20"/>
                <w:szCs w:val="20"/>
              </w:rPr>
              <w:t>107 840</w:t>
            </w:r>
          </w:p>
        </w:tc>
        <w:tc>
          <w:tcPr>
            <w:tcW w:w="1152" w:type="dxa"/>
            <w:tcBorders>
              <w:top w:val="single" w:sz="4" w:space="0" w:color="auto"/>
              <w:left w:val="single" w:sz="4" w:space="0" w:color="auto"/>
              <w:bottom w:val="nil"/>
              <w:right w:val="single" w:sz="4" w:space="0" w:color="auto"/>
            </w:tcBorders>
            <w:vAlign w:val="center"/>
          </w:tcPr>
          <w:p w14:paraId="21F83E49" w14:textId="77777777" w:rsidR="00F93A7E" w:rsidRPr="00B975F3" w:rsidRDefault="00F93A7E" w:rsidP="00190991">
            <w:pPr>
              <w:spacing w:after="0"/>
              <w:jc w:val="right"/>
              <w:rPr>
                <w:rFonts w:cstheme="minorHAnsi"/>
                <w:b/>
                <w:bCs/>
                <w:color w:val="2E74B5"/>
                <w:sz w:val="20"/>
                <w:szCs w:val="20"/>
              </w:rPr>
            </w:pPr>
            <w:r w:rsidRPr="00B975F3">
              <w:rPr>
                <w:rFonts w:cstheme="minorHAnsi"/>
                <w:b/>
                <w:bCs/>
                <w:color w:val="2E74B5"/>
                <w:sz w:val="20"/>
                <w:szCs w:val="20"/>
              </w:rPr>
              <w:t>113 475</w:t>
            </w:r>
          </w:p>
        </w:tc>
        <w:tc>
          <w:tcPr>
            <w:tcW w:w="1134" w:type="dxa"/>
            <w:tcBorders>
              <w:top w:val="single" w:sz="4" w:space="0" w:color="auto"/>
              <w:left w:val="single" w:sz="4" w:space="0" w:color="auto"/>
              <w:bottom w:val="nil"/>
              <w:right w:val="single" w:sz="4" w:space="0" w:color="auto"/>
            </w:tcBorders>
            <w:vAlign w:val="center"/>
          </w:tcPr>
          <w:p w14:paraId="4B7A2E1E" w14:textId="77777777" w:rsidR="00F93A7E" w:rsidRPr="00B975F3" w:rsidRDefault="00F93A7E" w:rsidP="00190991">
            <w:pPr>
              <w:spacing w:after="0"/>
              <w:jc w:val="right"/>
              <w:rPr>
                <w:rFonts w:cstheme="minorHAnsi"/>
                <w:b/>
                <w:bCs/>
                <w:color w:val="2E74B5"/>
                <w:sz w:val="20"/>
                <w:szCs w:val="20"/>
              </w:rPr>
            </w:pPr>
            <w:r w:rsidRPr="00B975F3">
              <w:rPr>
                <w:rFonts w:cstheme="minorHAnsi"/>
                <w:b/>
                <w:bCs/>
                <w:color w:val="2E74B5"/>
                <w:sz w:val="20"/>
                <w:szCs w:val="20"/>
              </w:rPr>
              <w:t>114 205</w:t>
            </w:r>
          </w:p>
        </w:tc>
        <w:tc>
          <w:tcPr>
            <w:tcW w:w="1125" w:type="dxa"/>
            <w:tcBorders>
              <w:top w:val="single" w:sz="4" w:space="0" w:color="auto"/>
              <w:left w:val="single" w:sz="4" w:space="0" w:color="auto"/>
              <w:bottom w:val="nil"/>
              <w:right w:val="single" w:sz="4" w:space="0" w:color="auto"/>
            </w:tcBorders>
            <w:vAlign w:val="center"/>
          </w:tcPr>
          <w:p w14:paraId="29480633" w14:textId="77777777" w:rsidR="00F93A7E" w:rsidRPr="00B975F3" w:rsidRDefault="00F93A7E" w:rsidP="00190991">
            <w:pPr>
              <w:spacing w:after="0"/>
              <w:jc w:val="right"/>
              <w:rPr>
                <w:rFonts w:cstheme="minorHAnsi"/>
                <w:b/>
                <w:bCs/>
                <w:color w:val="2E74B5"/>
                <w:sz w:val="20"/>
                <w:szCs w:val="20"/>
              </w:rPr>
            </w:pPr>
            <w:r w:rsidRPr="00B975F3">
              <w:rPr>
                <w:rFonts w:cstheme="minorHAnsi"/>
                <w:b/>
                <w:bCs/>
                <w:color w:val="2E74B5"/>
                <w:sz w:val="20"/>
                <w:szCs w:val="20"/>
              </w:rPr>
              <w:t>111 168</w:t>
            </w:r>
          </w:p>
        </w:tc>
        <w:tc>
          <w:tcPr>
            <w:tcW w:w="754" w:type="dxa"/>
            <w:tcBorders>
              <w:top w:val="single" w:sz="4" w:space="0" w:color="auto"/>
              <w:left w:val="single" w:sz="4" w:space="0" w:color="auto"/>
              <w:bottom w:val="nil"/>
              <w:right w:val="single" w:sz="4" w:space="0" w:color="auto"/>
            </w:tcBorders>
            <w:vAlign w:val="center"/>
          </w:tcPr>
          <w:p w14:paraId="4B228913" w14:textId="77777777" w:rsidR="00F93A7E" w:rsidRPr="00B975F3" w:rsidRDefault="00F93A7E" w:rsidP="00190991">
            <w:pPr>
              <w:spacing w:after="0"/>
              <w:jc w:val="right"/>
              <w:rPr>
                <w:rFonts w:cstheme="minorHAnsi"/>
                <w:b/>
                <w:bCs/>
                <w:color w:val="2E74B5"/>
                <w:sz w:val="20"/>
                <w:szCs w:val="20"/>
              </w:rPr>
            </w:pPr>
            <w:r w:rsidRPr="00B975F3">
              <w:rPr>
                <w:rFonts w:cstheme="minorHAnsi"/>
                <w:b/>
                <w:bCs/>
                <w:color w:val="2E74B5"/>
                <w:sz w:val="20"/>
                <w:szCs w:val="20"/>
              </w:rPr>
              <w:t>100,5</w:t>
            </w:r>
          </w:p>
        </w:tc>
      </w:tr>
      <w:tr w:rsidR="00F93A7E" w:rsidRPr="00473066" w14:paraId="7CE535A6" w14:textId="77777777" w:rsidTr="00190991">
        <w:trPr>
          <w:tblHeader/>
        </w:trPr>
        <w:tc>
          <w:tcPr>
            <w:tcW w:w="2619" w:type="dxa"/>
            <w:tcBorders>
              <w:top w:val="nil"/>
              <w:left w:val="single" w:sz="4" w:space="0" w:color="auto"/>
              <w:bottom w:val="nil"/>
              <w:right w:val="single" w:sz="4" w:space="0" w:color="auto"/>
            </w:tcBorders>
            <w:vAlign w:val="center"/>
          </w:tcPr>
          <w:p w14:paraId="79E4762C" w14:textId="77777777" w:rsidR="00F93A7E" w:rsidRPr="00C469F6" w:rsidRDefault="00F93A7E" w:rsidP="00190991">
            <w:pPr>
              <w:spacing w:after="0"/>
              <w:ind w:firstLine="4"/>
              <w:rPr>
                <w:rFonts w:cstheme="minorHAnsi"/>
                <w:color w:val="000000" w:themeColor="text1"/>
                <w:sz w:val="20"/>
                <w:szCs w:val="20"/>
              </w:rPr>
            </w:pPr>
            <w:r w:rsidRPr="00C469F6">
              <w:rPr>
                <w:rFonts w:cstheme="minorHAnsi"/>
                <w:color w:val="000000" w:themeColor="text1"/>
                <w:sz w:val="20"/>
                <w:szCs w:val="20"/>
              </w:rPr>
              <w:t xml:space="preserve">platy zaměstnanců a ostatní </w:t>
            </w:r>
          </w:p>
          <w:p w14:paraId="4C9679EF" w14:textId="77777777" w:rsidR="00F93A7E" w:rsidRPr="00C469F6" w:rsidRDefault="00F93A7E" w:rsidP="00190991">
            <w:pPr>
              <w:spacing w:after="0"/>
              <w:rPr>
                <w:rFonts w:cstheme="minorHAnsi"/>
                <w:color w:val="000000" w:themeColor="text1"/>
                <w:sz w:val="20"/>
                <w:szCs w:val="20"/>
              </w:rPr>
            </w:pPr>
            <w:r w:rsidRPr="00C469F6">
              <w:rPr>
                <w:rFonts w:cstheme="minorHAnsi"/>
                <w:color w:val="000000" w:themeColor="text1"/>
                <w:sz w:val="20"/>
                <w:szCs w:val="20"/>
              </w:rPr>
              <w:t>platby za provedenou práci</w:t>
            </w:r>
          </w:p>
        </w:tc>
        <w:tc>
          <w:tcPr>
            <w:tcW w:w="1125" w:type="dxa"/>
            <w:tcBorders>
              <w:top w:val="nil"/>
              <w:left w:val="single" w:sz="4" w:space="0" w:color="auto"/>
              <w:bottom w:val="nil"/>
              <w:right w:val="single" w:sz="4" w:space="0" w:color="auto"/>
            </w:tcBorders>
            <w:vAlign w:val="center"/>
          </w:tcPr>
          <w:p w14:paraId="43D09AB8" w14:textId="77777777" w:rsidR="00F93A7E" w:rsidRPr="00C469F6" w:rsidRDefault="00F93A7E" w:rsidP="00190991">
            <w:pPr>
              <w:spacing w:after="0"/>
              <w:jc w:val="right"/>
              <w:rPr>
                <w:rFonts w:cstheme="minorHAnsi"/>
                <w:color w:val="000000" w:themeColor="text1"/>
                <w:sz w:val="20"/>
                <w:szCs w:val="20"/>
              </w:rPr>
            </w:pPr>
            <w:r w:rsidRPr="00C469F6">
              <w:rPr>
                <w:rFonts w:cstheme="minorHAnsi"/>
                <w:color w:val="000000" w:themeColor="text1"/>
                <w:sz w:val="20"/>
                <w:szCs w:val="20"/>
              </w:rPr>
              <w:t xml:space="preserve">54 728 </w:t>
            </w:r>
          </w:p>
        </w:tc>
        <w:tc>
          <w:tcPr>
            <w:tcW w:w="1125" w:type="dxa"/>
            <w:tcBorders>
              <w:top w:val="nil"/>
              <w:left w:val="single" w:sz="4" w:space="0" w:color="auto"/>
              <w:bottom w:val="nil"/>
              <w:right w:val="single" w:sz="4" w:space="0" w:color="auto"/>
            </w:tcBorders>
            <w:vAlign w:val="center"/>
          </w:tcPr>
          <w:p w14:paraId="34CC56F7"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 xml:space="preserve">57 781 </w:t>
            </w:r>
          </w:p>
        </w:tc>
        <w:tc>
          <w:tcPr>
            <w:tcW w:w="1152" w:type="dxa"/>
            <w:tcBorders>
              <w:top w:val="nil"/>
              <w:left w:val="single" w:sz="4" w:space="0" w:color="auto"/>
              <w:bottom w:val="nil"/>
              <w:right w:val="single" w:sz="4" w:space="0" w:color="auto"/>
            </w:tcBorders>
            <w:vAlign w:val="center"/>
          </w:tcPr>
          <w:p w14:paraId="1E311E92"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 xml:space="preserve">57 781 </w:t>
            </w:r>
          </w:p>
        </w:tc>
        <w:tc>
          <w:tcPr>
            <w:tcW w:w="1134" w:type="dxa"/>
            <w:tcBorders>
              <w:top w:val="nil"/>
              <w:left w:val="single" w:sz="4" w:space="0" w:color="auto"/>
              <w:bottom w:val="nil"/>
              <w:right w:val="single" w:sz="4" w:space="0" w:color="auto"/>
            </w:tcBorders>
            <w:vAlign w:val="center"/>
          </w:tcPr>
          <w:p w14:paraId="5D6E7C89"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 xml:space="preserve">56 893 </w:t>
            </w:r>
          </w:p>
        </w:tc>
        <w:tc>
          <w:tcPr>
            <w:tcW w:w="1125" w:type="dxa"/>
            <w:tcBorders>
              <w:top w:val="nil"/>
              <w:left w:val="single" w:sz="4" w:space="0" w:color="auto"/>
              <w:bottom w:val="nil"/>
              <w:right w:val="single" w:sz="4" w:space="0" w:color="auto"/>
            </w:tcBorders>
            <w:vAlign w:val="center"/>
          </w:tcPr>
          <w:p w14:paraId="72AC8821"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 xml:space="preserve">56 862 </w:t>
            </w:r>
          </w:p>
        </w:tc>
        <w:tc>
          <w:tcPr>
            <w:tcW w:w="754" w:type="dxa"/>
            <w:tcBorders>
              <w:top w:val="nil"/>
              <w:left w:val="single" w:sz="4" w:space="0" w:color="auto"/>
              <w:bottom w:val="nil"/>
              <w:right w:val="single" w:sz="4" w:space="0" w:color="auto"/>
            </w:tcBorders>
            <w:vAlign w:val="center"/>
          </w:tcPr>
          <w:p w14:paraId="5FEF5D90" w14:textId="77777777" w:rsidR="00F93A7E" w:rsidRPr="00B36A89" w:rsidRDefault="00F93A7E" w:rsidP="00190991">
            <w:pPr>
              <w:spacing w:after="0"/>
              <w:jc w:val="right"/>
              <w:rPr>
                <w:rFonts w:cstheme="minorHAnsi"/>
                <w:color w:val="000000" w:themeColor="text1"/>
                <w:sz w:val="20"/>
                <w:szCs w:val="20"/>
              </w:rPr>
            </w:pPr>
            <w:r w:rsidRPr="00B36A89">
              <w:rPr>
                <w:rFonts w:cstheme="minorHAnsi"/>
                <w:color w:val="000000" w:themeColor="text1"/>
                <w:sz w:val="20"/>
                <w:szCs w:val="20"/>
              </w:rPr>
              <w:t>103,9</w:t>
            </w:r>
          </w:p>
        </w:tc>
      </w:tr>
      <w:tr w:rsidR="00F93A7E" w:rsidRPr="00473066" w14:paraId="4DD36F4D" w14:textId="77777777" w:rsidTr="00190991">
        <w:trPr>
          <w:tblHeader/>
        </w:trPr>
        <w:tc>
          <w:tcPr>
            <w:tcW w:w="2619" w:type="dxa"/>
            <w:tcBorders>
              <w:top w:val="nil"/>
              <w:left w:val="single" w:sz="4" w:space="0" w:color="auto"/>
              <w:bottom w:val="nil"/>
              <w:right w:val="single" w:sz="4" w:space="0" w:color="auto"/>
            </w:tcBorders>
            <w:vAlign w:val="center"/>
          </w:tcPr>
          <w:p w14:paraId="0048276E" w14:textId="77777777" w:rsidR="00F93A7E" w:rsidRPr="00C469F6" w:rsidRDefault="00F93A7E" w:rsidP="00190991">
            <w:pPr>
              <w:spacing w:after="0"/>
              <w:ind w:firstLine="4"/>
              <w:rPr>
                <w:rFonts w:cstheme="minorHAnsi"/>
                <w:color w:val="000000" w:themeColor="text1"/>
                <w:sz w:val="20"/>
                <w:szCs w:val="20"/>
              </w:rPr>
            </w:pPr>
            <w:proofErr w:type="spellStart"/>
            <w:r w:rsidRPr="00C469F6">
              <w:rPr>
                <w:rFonts w:cstheme="minorHAnsi"/>
                <w:color w:val="000000" w:themeColor="text1"/>
                <w:sz w:val="20"/>
                <w:szCs w:val="20"/>
              </w:rPr>
              <w:t>pov</w:t>
            </w:r>
            <w:proofErr w:type="spellEnd"/>
            <w:r w:rsidRPr="00C469F6">
              <w:rPr>
                <w:rFonts w:cstheme="minorHAnsi"/>
                <w:color w:val="000000" w:themeColor="text1"/>
                <w:sz w:val="20"/>
                <w:szCs w:val="20"/>
              </w:rPr>
              <w:t>. poj. placené zaměstnav.</w:t>
            </w:r>
          </w:p>
        </w:tc>
        <w:tc>
          <w:tcPr>
            <w:tcW w:w="1125" w:type="dxa"/>
            <w:tcBorders>
              <w:top w:val="nil"/>
              <w:left w:val="single" w:sz="4" w:space="0" w:color="auto"/>
              <w:bottom w:val="nil"/>
              <w:right w:val="single" w:sz="4" w:space="0" w:color="auto"/>
            </w:tcBorders>
            <w:vAlign w:val="center"/>
          </w:tcPr>
          <w:p w14:paraId="6B1D5FD4" w14:textId="77777777" w:rsidR="00F93A7E" w:rsidRPr="00C469F6" w:rsidRDefault="00F93A7E" w:rsidP="00190991">
            <w:pPr>
              <w:spacing w:after="0"/>
              <w:jc w:val="right"/>
              <w:rPr>
                <w:rFonts w:cstheme="minorHAnsi"/>
                <w:color w:val="000000" w:themeColor="text1"/>
                <w:sz w:val="20"/>
                <w:szCs w:val="20"/>
              </w:rPr>
            </w:pPr>
            <w:r w:rsidRPr="00C469F6">
              <w:rPr>
                <w:rFonts w:cstheme="minorHAnsi"/>
                <w:color w:val="000000" w:themeColor="text1"/>
                <w:sz w:val="20"/>
                <w:szCs w:val="20"/>
              </w:rPr>
              <w:t xml:space="preserve">18 422 </w:t>
            </w:r>
          </w:p>
        </w:tc>
        <w:tc>
          <w:tcPr>
            <w:tcW w:w="1125" w:type="dxa"/>
            <w:tcBorders>
              <w:top w:val="nil"/>
              <w:left w:val="single" w:sz="4" w:space="0" w:color="auto"/>
              <w:bottom w:val="nil"/>
              <w:right w:val="single" w:sz="4" w:space="0" w:color="auto"/>
            </w:tcBorders>
            <w:vAlign w:val="center"/>
          </w:tcPr>
          <w:p w14:paraId="60F2430C"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19 530</w:t>
            </w:r>
          </w:p>
        </w:tc>
        <w:tc>
          <w:tcPr>
            <w:tcW w:w="1152" w:type="dxa"/>
            <w:tcBorders>
              <w:top w:val="nil"/>
              <w:left w:val="single" w:sz="4" w:space="0" w:color="auto"/>
              <w:bottom w:val="nil"/>
              <w:right w:val="single" w:sz="4" w:space="0" w:color="auto"/>
            </w:tcBorders>
            <w:vAlign w:val="center"/>
          </w:tcPr>
          <w:p w14:paraId="49031553"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19 530</w:t>
            </w:r>
          </w:p>
        </w:tc>
        <w:tc>
          <w:tcPr>
            <w:tcW w:w="1134" w:type="dxa"/>
            <w:tcBorders>
              <w:top w:val="nil"/>
              <w:left w:val="single" w:sz="4" w:space="0" w:color="auto"/>
              <w:bottom w:val="nil"/>
              <w:right w:val="single" w:sz="4" w:space="0" w:color="auto"/>
            </w:tcBorders>
            <w:vAlign w:val="center"/>
          </w:tcPr>
          <w:p w14:paraId="1655F58F"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19 230</w:t>
            </w:r>
          </w:p>
        </w:tc>
        <w:tc>
          <w:tcPr>
            <w:tcW w:w="1125" w:type="dxa"/>
            <w:tcBorders>
              <w:top w:val="nil"/>
              <w:left w:val="single" w:sz="4" w:space="0" w:color="auto"/>
              <w:bottom w:val="nil"/>
              <w:right w:val="single" w:sz="4" w:space="0" w:color="auto"/>
            </w:tcBorders>
            <w:vAlign w:val="center"/>
          </w:tcPr>
          <w:p w14:paraId="7ABA31B5"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 xml:space="preserve">19 230 </w:t>
            </w:r>
          </w:p>
        </w:tc>
        <w:tc>
          <w:tcPr>
            <w:tcW w:w="754" w:type="dxa"/>
            <w:tcBorders>
              <w:top w:val="nil"/>
              <w:left w:val="single" w:sz="4" w:space="0" w:color="auto"/>
              <w:bottom w:val="nil"/>
              <w:right w:val="single" w:sz="4" w:space="0" w:color="auto"/>
            </w:tcBorders>
            <w:vAlign w:val="center"/>
          </w:tcPr>
          <w:p w14:paraId="5411E6E3" w14:textId="77777777" w:rsidR="00F93A7E" w:rsidRPr="00B36A89" w:rsidRDefault="00F93A7E" w:rsidP="00190991">
            <w:pPr>
              <w:spacing w:after="0"/>
              <w:jc w:val="right"/>
              <w:rPr>
                <w:rFonts w:cstheme="minorHAnsi"/>
                <w:color w:val="000000" w:themeColor="text1"/>
                <w:sz w:val="20"/>
                <w:szCs w:val="20"/>
              </w:rPr>
            </w:pPr>
            <w:r w:rsidRPr="00B36A89">
              <w:rPr>
                <w:rFonts w:cstheme="minorHAnsi"/>
                <w:color w:val="000000" w:themeColor="text1"/>
                <w:sz w:val="20"/>
                <w:szCs w:val="20"/>
              </w:rPr>
              <w:t>104,4</w:t>
            </w:r>
          </w:p>
        </w:tc>
      </w:tr>
      <w:tr w:rsidR="00F93A7E" w:rsidRPr="00473066" w14:paraId="2E51E999" w14:textId="77777777" w:rsidTr="00190991">
        <w:trPr>
          <w:tblHeader/>
        </w:trPr>
        <w:tc>
          <w:tcPr>
            <w:tcW w:w="2619" w:type="dxa"/>
            <w:tcBorders>
              <w:top w:val="nil"/>
              <w:left w:val="single" w:sz="4" w:space="0" w:color="auto"/>
              <w:bottom w:val="nil"/>
              <w:right w:val="single" w:sz="4" w:space="0" w:color="auto"/>
            </w:tcBorders>
            <w:vAlign w:val="center"/>
          </w:tcPr>
          <w:p w14:paraId="4361B8D6" w14:textId="77777777" w:rsidR="00F93A7E" w:rsidRPr="00C469F6" w:rsidRDefault="00F93A7E" w:rsidP="00190991">
            <w:pPr>
              <w:spacing w:after="0"/>
              <w:ind w:firstLine="4"/>
              <w:rPr>
                <w:rFonts w:cstheme="minorHAnsi"/>
                <w:color w:val="000000" w:themeColor="text1"/>
                <w:sz w:val="20"/>
                <w:szCs w:val="20"/>
              </w:rPr>
            </w:pPr>
            <w:r w:rsidRPr="00C469F6">
              <w:rPr>
                <w:rFonts w:cstheme="minorHAnsi"/>
                <w:color w:val="000000" w:themeColor="text1"/>
                <w:sz w:val="20"/>
                <w:szCs w:val="20"/>
              </w:rPr>
              <w:t>základní příděl FKSP</w:t>
            </w:r>
          </w:p>
        </w:tc>
        <w:tc>
          <w:tcPr>
            <w:tcW w:w="1125" w:type="dxa"/>
            <w:tcBorders>
              <w:top w:val="nil"/>
              <w:left w:val="single" w:sz="4" w:space="0" w:color="auto"/>
              <w:bottom w:val="nil"/>
              <w:right w:val="single" w:sz="4" w:space="0" w:color="auto"/>
            </w:tcBorders>
            <w:vAlign w:val="center"/>
          </w:tcPr>
          <w:p w14:paraId="16FCB7BF" w14:textId="77777777" w:rsidR="00F93A7E" w:rsidRPr="00C469F6" w:rsidRDefault="00F93A7E" w:rsidP="00190991">
            <w:pPr>
              <w:spacing w:after="0"/>
              <w:jc w:val="right"/>
              <w:rPr>
                <w:rFonts w:cstheme="minorHAnsi"/>
                <w:color w:val="000000" w:themeColor="text1"/>
                <w:sz w:val="20"/>
                <w:szCs w:val="20"/>
              </w:rPr>
            </w:pPr>
            <w:r w:rsidRPr="00C469F6">
              <w:rPr>
                <w:rFonts w:cstheme="minorHAnsi"/>
                <w:color w:val="000000" w:themeColor="text1"/>
                <w:sz w:val="20"/>
                <w:szCs w:val="20"/>
              </w:rPr>
              <w:t>1 108</w:t>
            </w:r>
          </w:p>
        </w:tc>
        <w:tc>
          <w:tcPr>
            <w:tcW w:w="1125" w:type="dxa"/>
            <w:tcBorders>
              <w:top w:val="nil"/>
              <w:left w:val="single" w:sz="4" w:space="0" w:color="auto"/>
              <w:bottom w:val="nil"/>
              <w:right w:val="single" w:sz="4" w:space="0" w:color="auto"/>
            </w:tcBorders>
            <w:vAlign w:val="center"/>
          </w:tcPr>
          <w:p w14:paraId="7821D13B"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1 153</w:t>
            </w:r>
          </w:p>
        </w:tc>
        <w:tc>
          <w:tcPr>
            <w:tcW w:w="1152" w:type="dxa"/>
            <w:tcBorders>
              <w:top w:val="nil"/>
              <w:left w:val="single" w:sz="4" w:space="0" w:color="auto"/>
              <w:bottom w:val="nil"/>
              <w:right w:val="single" w:sz="4" w:space="0" w:color="auto"/>
            </w:tcBorders>
            <w:vAlign w:val="center"/>
          </w:tcPr>
          <w:p w14:paraId="4464C323"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1 153</w:t>
            </w:r>
          </w:p>
        </w:tc>
        <w:tc>
          <w:tcPr>
            <w:tcW w:w="1134" w:type="dxa"/>
            <w:tcBorders>
              <w:top w:val="nil"/>
              <w:left w:val="single" w:sz="4" w:space="0" w:color="auto"/>
              <w:bottom w:val="nil"/>
              <w:right w:val="single" w:sz="4" w:space="0" w:color="auto"/>
            </w:tcBorders>
            <w:vAlign w:val="center"/>
          </w:tcPr>
          <w:p w14:paraId="689EF58C"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1 135</w:t>
            </w:r>
          </w:p>
        </w:tc>
        <w:tc>
          <w:tcPr>
            <w:tcW w:w="1125" w:type="dxa"/>
            <w:tcBorders>
              <w:top w:val="nil"/>
              <w:left w:val="single" w:sz="4" w:space="0" w:color="auto"/>
              <w:bottom w:val="nil"/>
              <w:right w:val="single" w:sz="4" w:space="0" w:color="auto"/>
            </w:tcBorders>
            <w:vAlign w:val="center"/>
          </w:tcPr>
          <w:p w14:paraId="353EE1EA"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1 135</w:t>
            </w:r>
          </w:p>
        </w:tc>
        <w:tc>
          <w:tcPr>
            <w:tcW w:w="754" w:type="dxa"/>
            <w:tcBorders>
              <w:top w:val="nil"/>
              <w:left w:val="single" w:sz="4" w:space="0" w:color="auto"/>
              <w:bottom w:val="nil"/>
              <w:right w:val="single" w:sz="4" w:space="0" w:color="auto"/>
            </w:tcBorders>
            <w:vAlign w:val="center"/>
          </w:tcPr>
          <w:p w14:paraId="486D909E" w14:textId="77777777" w:rsidR="00F93A7E" w:rsidRPr="00B36A89" w:rsidRDefault="00F93A7E" w:rsidP="00190991">
            <w:pPr>
              <w:spacing w:after="0"/>
              <w:jc w:val="right"/>
              <w:rPr>
                <w:rFonts w:cstheme="minorHAnsi"/>
                <w:color w:val="000000" w:themeColor="text1"/>
                <w:sz w:val="20"/>
                <w:szCs w:val="20"/>
              </w:rPr>
            </w:pPr>
            <w:r w:rsidRPr="00B36A89">
              <w:rPr>
                <w:rFonts w:cstheme="minorHAnsi"/>
                <w:color w:val="000000" w:themeColor="text1"/>
                <w:sz w:val="20"/>
                <w:szCs w:val="20"/>
              </w:rPr>
              <w:t>102,4</w:t>
            </w:r>
          </w:p>
        </w:tc>
      </w:tr>
      <w:tr w:rsidR="00F93A7E" w:rsidRPr="00473066" w14:paraId="2BDF3D7F" w14:textId="77777777" w:rsidTr="00190991">
        <w:trPr>
          <w:tblHeader/>
        </w:trPr>
        <w:tc>
          <w:tcPr>
            <w:tcW w:w="2619" w:type="dxa"/>
            <w:tcBorders>
              <w:top w:val="nil"/>
              <w:left w:val="single" w:sz="4" w:space="0" w:color="auto"/>
              <w:bottom w:val="nil"/>
              <w:right w:val="single" w:sz="4" w:space="0" w:color="auto"/>
            </w:tcBorders>
            <w:vAlign w:val="center"/>
          </w:tcPr>
          <w:p w14:paraId="177B5126" w14:textId="77777777" w:rsidR="00F93A7E" w:rsidRPr="00C469F6" w:rsidRDefault="00F93A7E" w:rsidP="00190991">
            <w:pPr>
              <w:spacing w:after="0"/>
              <w:ind w:firstLine="4"/>
              <w:rPr>
                <w:rFonts w:cstheme="minorHAnsi"/>
                <w:color w:val="000000" w:themeColor="text1"/>
                <w:sz w:val="20"/>
                <w:szCs w:val="20"/>
              </w:rPr>
            </w:pPr>
            <w:r w:rsidRPr="00C469F6">
              <w:rPr>
                <w:rFonts w:cstheme="minorHAnsi"/>
                <w:color w:val="000000" w:themeColor="text1"/>
                <w:sz w:val="20"/>
                <w:szCs w:val="20"/>
              </w:rPr>
              <w:t>ostatní neinvestiční výdaje</w:t>
            </w:r>
          </w:p>
        </w:tc>
        <w:tc>
          <w:tcPr>
            <w:tcW w:w="1125" w:type="dxa"/>
            <w:tcBorders>
              <w:top w:val="nil"/>
              <w:left w:val="single" w:sz="4" w:space="0" w:color="auto"/>
              <w:bottom w:val="nil"/>
              <w:right w:val="single" w:sz="4" w:space="0" w:color="auto"/>
            </w:tcBorders>
            <w:vAlign w:val="center"/>
          </w:tcPr>
          <w:p w14:paraId="70E4EBFA" w14:textId="77777777" w:rsidR="00F93A7E" w:rsidRPr="00C469F6" w:rsidRDefault="00F93A7E" w:rsidP="00190991">
            <w:pPr>
              <w:spacing w:after="0"/>
              <w:jc w:val="right"/>
              <w:rPr>
                <w:rFonts w:cstheme="minorHAnsi"/>
                <w:color w:val="000000" w:themeColor="text1"/>
                <w:sz w:val="20"/>
                <w:szCs w:val="20"/>
              </w:rPr>
            </w:pPr>
            <w:r w:rsidRPr="00C469F6">
              <w:rPr>
                <w:rFonts w:cstheme="minorHAnsi"/>
                <w:color w:val="000000" w:themeColor="text1"/>
                <w:sz w:val="20"/>
                <w:szCs w:val="20"/>
              </w:rPr>
              <w:t>36 365</w:t>
            </w:r>
          </w:p>
        </w:tc>
        <w:tc>
          <w:tcPr>
            <w:tcW w:w="1125" w:type="dxa"/>
            <w:tcBorders>
              <w:top w:val="nil"/>
              <w:left w:val="single" w:sz="4" w:space="0" w:color="auto"/>
              <w:bottom w:val="nil"/>
              <w:right w:val="single" w:sz="4" w:space="0" w:color="auto"/>
            </w:tcBorders>
            <w:vAlign w:val="center"/>
          </w:tcPr>
          <w:p w14:paraId="193DD979"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29 375</w:t>
            </w:r>
          </w:p>
        </w:tc>
        <w:tc>
          <w:tcPr>
            <w:tcW w:w="1152" w:type="dxa"/>
            <w:tcBorders>
              <w:top w:val="nil"/>
              <w:left w:val="single" w:sz="4" w:space="0" w:color="auto"/>
              <w:bottom w:val="nil"/>
              <w:right w:val="single" w:sz="4" w:space="0" w:color="auto"/>
            </w:tcBorders>
            <w:vAlign w:val="center"/>
          </w:tcPr>
          <w:p w14:paraId="74CCAFF9"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35 010</w:t>
            </w:r>
          </w:p>
        </w:tc>
        <w:tc>
          <w:tcPr>
            <w:tcW w:w="1134" w:type="dxa"/>
            <w:tcBorders>
              <w:top w:val="nil"/>
              <w:left w:val="single" w:sz="4" w:space="0" w:color="auto"/>
              <w:bottom w:val="nil"/>
              <w:right w:val="single" w:sz="4" w:space="0" w:color="auto"/>
            </w:tcBorders>
            <w:vAlign w:val="center"/>
          </w:tcPr>
          <w:p w14:paraId="6B87EC6C"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36 946</w:t>
            </w:r>
          </w:p>
        </w:tc>
        <w:tc>
          <w:tcPr>
            <w:tcW w:w="1125" w:type="dxa"/>
            <w:tcBorders>
              <w:top w:val="nil"/>
              <w:left w:val="single" w:sz="4" w:space="0" w:color="auto"/>
              <w:bottom w:val="nil"/>
              <w:right w:val="single" w:sz="4" w:space="0" w:color="auto"/>
            </w:tcBorders>
            <w:vAlign w:val="center"/>
          </w:tcPr>
          <w:p w14:paraId="5885ECEF"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33 941</w:t>
            </w:r>
          </w:p>
        </w:tc>
        <w:tc>
          <w:tcPr>
            <w:tcW w:w="754" w:type="dxa"/>
            <w:tcBorders>
              <w:top w:val="nil"/>
              <w:left w:val="single" w:sz="4" w:space="0" w:color="auto"/>
              <w:bottom w:val="nil"/>
              <w:right w:val="single" w:sz="4" w:space="0" w:color="auto"/>
            </w:tcBorders>
            <w:vAlign w:val="center"/>
          </w:tcPr>
          <w:p w14:paraId="24DF76DA" w14:textId="77777777" w:rsidR="00F93A7E" w:rsidRPr="00B36A89" w:rsidRDefault="00F93A7E" w:rsidP="00190991">
            <w:pPr>
              <w:spacing w:after="0"/>
              <w:jc w:val="right"/>
              <w:rPr>
                <w:rFonts w:cstheme="minorHAnsi"/>
                <w:color w:val="000000" w:themeColor="text1"/>
                <w:sz w:val="20"/>
                <w:szCs w:val="20"/>
              </w:rPr>
            </w:pPr>
            <w:r w:rsidRPr="00B36A89">
              <w:rPr>
                <w:rFonts w:cstheme="minorHAnsi"/>
                <w:color w:val="000000" w:themeColor="text1"/>
                <w:sz w:val="20"/>
                <w:szCs w:val="20"/>
              </w:rPr>
              <w:t>93,3</w:t>
            </w:r>
          </w:p>
        </w:tc>
      </w:tr>
      <w:tr w:rsidR="00F93A7E" w:rsidRPr="00473066" w14:paraId="5F0EA39C" w14:textId="77777777" w:rsidTr="00190991">
        <w:trPr>
          <w:tblHeader/>
        </w:trPr>
        <w:tc>
          <w:tcPr>
            <w:tcW w:w="2619" w:type="dxa"/>
            <w:tcBorders>
              <w:top w:val="nil"/>
              <w:left w:val="single" w:sz="4" w:space="0" w:color="auto"/>
              <w:bottom w:val="single" w:sz="4" w:space="0" w:color="auto"/>
              <w:right w:val="single" w:sz="4" w:space="0" w:color="auto"/>
            </w:tcBorders>
            <w:vAlign w:val="center"/>
          </w:tcPr>
          <w:p w14:paraId="2E4702BC" w14:textId="77777777" w:rsidR="00F93A7E" w:rsidRPr="00C469F6" w:rsidRDefault="00F93A7E" w:rsidP="00190991">
            <w:pPr>
              <w:spacing w:after="0"/>
              <w:ind w:firstLine="4"/>
              <w:rPr>
                <w:rFonts w:cstheme="minorHAnsi"/>
                <w:color w:val="000000" w:themeColor="text1"/>
                <w:sz w:val="20"/>
                <w:szCs w:val="20"/>
              </w:rPr>
            </w:pPr>
            <w:r w:rsidRPr="00C469F6">
              <w:rPr>
                <w:rFonts w:cstheme="minorHAnsi"/>
                <w:color w:val="000000" w:themeColor="text1"/>
                <w:sz w:val="20"/>
                <w:szCs w:val="20"/>
              </w:rPr>
              <w:t>z toho: RISPF</w:t>
            </w:r>
          </w:p>
        </w:tc>
        <w:tc>
          <w:tcPr>
            <w:tcW w:w="1125" w:type="dxa"/>
            <w:tcBorders>
              <w:top w:val="nil"/>
              <w:left w:val="single" w:sz="4" w:space="0" w:color="auto"/>
              <w:bottom w:val="single" w:sz="4" w:space="0" w:color="auto"/>
              <w:right w:val="single" w:sz="4" w:space="0" w:color="auto"/>
            </w:tcBorders>
            <w:vAlign w:val="center"/>
          </w:tcPr>
          <w:p w14:paraId="7540B8B7" w14:textId="77777777" w:rsidR="00F93A7E" w:rsidRPr="00C469F6" w:rsidRDefault="00F93A7E" w:rsidP="00190991">
            <w:pPr>
              <w:spacing w:after="0"/>
              <w:jc w:val="right"/>
              <w:rPr>
                <w:rFonts w:cstheme="minorHAnsi"/>
                <w:color w:val="000000" w:themeColor="text1"/>
                <w:sz w:val="20"/>
                <w:szCs w:val="20"/>
              </w:rPr>
            </w:pPr>
            <w:r w:rsidRPr="00C469F6">
              <w:rPr>
                <w:rFonts w:cstheme="minorHAnsi"/>
                <w:color w:val="000000" w:themeColor="text1"/>
                <w:sz w:val="20"/>
                <w:szCs w:val="20"/>
              </w:rPr>
              <w:t>0</w:t>
            </w:r>
          </w:p>
        </w:tc>
        <w:tc>
          <w:tcPr>
            <w:tcW w:w="1125" w:type="dxa"/>
            <w:tcBorders>
              <w:top w:val="nil"/>
              <w:left w:val="single" w:sz="4" w:space="0" w:color="auto"/>
              <w:bottom w:val="single" w:sz="4" w:space="0" w:color="auto"/>
              <w:right w:val="single" w:sz="4" w:space="0" w:color="auto"/>
            </w:tcBorders>
            <w:vAlign w:val="center"/>
          </w:tcPr>
          <w:p w14:paraId="4EFB3D30"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0</w:t>
            </w:r>
          </w:p>
        </w:tc>
        <w:tc>
          <w:tcPr>
            <w:tcW w:w="1152" w:type="dxa"/>
            <w:tcBorders>
              <w:top w:val="nil"/>
              <w:left w:val="single" w:sz="4" w:space="0" w:color="auto"/>
              <w:bottom w:val="single" w:sz="4" w:space="0" w:color="auto"/>
              <w:right w:val="single" w:sz="4" w:space="0" w:color="auto"/>
            </w:tcBorders>
            <w:vAlign w:val="center"/>
          </w:tcPr>
          <w:p w14:paraId="17674C42"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0</w:t>
            </w:r>
          </w:p>
        </w:tc>
        <w:tc>
          <w:tcPr>
            <w:tcW w:w="1134" w:type="dxa"/>
            <w:tcBorders>
              <w:top w:val="nil"/>
              <w:left w:val="single" w:sz="4" w:space="0" w:color="auto"/>
              <w:bottom w:val="single" w:sz="4" w:space="0" w:color="auto"/>
              <w:right w:val="single" w:sz="4" w:space="0" w:color="auto"/>
            </w:tcBorders>
            <w:vAlign w:val="center"/>
          </w:tcPr>
          <w:p w14:paraId="70E53014"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0</w:t>
            </w:r>
          </w:p>
        </w:tc>
        <w:tc>
          <w:tcPr>
            <w:tcW w:w="1125" w:type="dxa"/>
            <w:tcBorders>
              <w:top w:val="nil"/>
              <w:left w:val="single" w:sz="4" w:space="0" w:color="auto"/>
              <w:bottom w:val="single" w:sz="4" w:space="0" w:color="auto"/>
              <w:right w:val="single" w:sz="4" w:space="0" w:color="auto"/>
            </w:tcBorders>
            <w:vAlign w:val="center"/>
          </w:tcPr>
          <w:p w14:paraId="237260A2"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0</w:t>
            </w:r>
          </w:p>
        </w:tc>
        <w:tc>
          <w:tcPr>
            <w:tcW w:w="754" w:type="dxa"/>
            <w:tcBorders>
              <w:top w:val="nil"/>
              <w:left w:val="single" w:sz="4" w:space="0" w:color="auto"/>
              <w:bottom w:val="single" w:sz="4" w:space="0" w:color="auto"/>
              <w:right w:val="single" w:sz="4" w:space="0" w:color="auto"/>
            </w:tcBorders>
            <w:vAlign w:val="center"/>
          </w:tcPr>
          <w:p w14:paraId="75F1F9F2" w14:textId="77777777" w:rsidR="00F93A7E" w:rsidRPr="00B36A89" w:rsidRDefault="00F93A7E" w:rsidP="00190991">
            <w:pPr>
              <w:spacing w:after="0"/>
              <w:jc w:val="right"/>
              <w:rPr>
                <w:rFonts w:cstheme="minorHAnsi"/>
                <w:color w:val="000000" w:themeColor="text1"/>
                <w:sz w:val="20"/>
                <w:szCs w:val="20"/>
              </w:rPr>
            </w:pPr>
            <w:r w:rsidRPr="00B36A89">
              <w:rPr>
                <w:rFonts w:cstheme="minorHAnsi"/>
                <w:color w:val="000000" w:themeColor="text1"/>
                <w:sz w:val="20"/>
                <w:szCs w:val="20"/>
              </w:rPr>
              <w:t>x</w:t>
            </w:r>
          </w:p>
        </w:tc>
      </w:tr>
      <w:tr w:rsidR="00F93A7E" w:rsidRPr="00473066" w14:paraId="4FCCA00F" w14:textId="77777777" w:rsidTr="00190991">
        <w:trPr>
          <w:tblHeader/>
        </w:trPr>
        <w:tc>
          <w:tcPr>
            <w:tcW w:w="2619" w:type="dxa"/>
            <w:tcBorders>
              <w:top w:val="single" w:sz="4" w:space="0" w:color="auto"/>
              <w:left w:val="single" w:sz="4" w:space="0" w:color="auto"/>
              <w:bottom w:val="nil"/>
              <w:right w:val="single" w:sz="4" w:space="0" w:color="auto"/>
            </w:tcBorders>
            <w:vAlign w:val="center"/>
          </w:tcPr>
          <w:p w14:paraId="4FA78AB0" w14:textId="77777777" w:rsidR="00F93A7E" w:rsidRPr="00B975F3" w:rsidRDefault="00F93A7E" w:rsidP="00190991">
            <w:pPr>
              <w:spacing w:after="0"/>
              <w:rPr>
                <w:rFonts w:cstheme="minorHAnsi"/>
                <w:b/>
                <w:color w:val="2E74B5"/>
                <w:sz w:val="20"/>
                <w:szCs w:val="20"/>
              </w:rPr>
            </w:pPr>
            <w:r w:rsidRPr="00B975F3">
              <w:rPr>
                <w:rFonts w:cstheme="minorHAnsi"/>
                <w:b/>
                <w:color w:val="2E74B5"/>
                <w:sz w:val="20"/>
                <w:szCs w:val="20"/>
              </w:rPr>
              <w:t xml:space="preserve">Kapitálové výdaje </w:t>
            </w:r>
            <w:r w:rsidRPr="00B975F3">
              <w:rPr>
                <w:rFonts w:cstheme="minorHAnsi"/>
                <w:color w:val="2E74B5"/>
                <w:sz w:val="20"/>
                <w:szCs w:val="20"/>
              </w:rPr>
              <w:t>(v tom:)</w:t>
            </w:r>
          </w:p>
        </w:tc>
        <w:tc>
          <w:tcPr>
            <w:tcW w:w="1125" w:type="dxa"/>
            <w:tcBorders>
              <w:top w:val="single" w:sz="4" w:space="0" w:color="auto"/>
              <w:left w:val="single" w:sz="4" w:space="0" w:color="auto"/>
              <w:bottom w:val="nil"/>
              <w:right w:val="single" w:sz="4" w:space="0" w:color="auto"/>
            </w:tcBorders>
            <w:vAlign w:val="center"/>
          </w:tcPr>
          <w:p w14:paraId="698054CE" w14:textId="77777777" w:rsidR="00F93A7E" w:rsidRPr="00B975F3" w:rsidRDefault="00F93A7E" w:rsidP="00190991">
            <w:pPr>
              <w:spacing w:after="0"/>
              <w:jc w:val="right"/>
              <w:rPr>
                <w:rFonts w:cstheme="minorHAnsi"/>
                <w:b/>
                <w:color w:val="2E74B5"/>
                <w:sz w:val="20"/>
                <w:szCs w:val="20"/>
              </w:rPr>
            </w:pPr>
            <w:r w:rsidRPr="00B975F3">
              <w:rPr>
                <w:rFonts w:cstheme="minorHAnsi"/>
                <w:b/>
                <w:color w:val="2E74B5"/>
                <w:sz w:val="20"/>
                <w:szCs w:val="20"/>
              </w:rPr>
              <w:t>335</w:t>
            </w:r>
          </w:p>
        </w:tc>
        <w:tc>
          <w:tcPr>
            <w:tcW w:w="1125" w:type="dxa"/>
            <w:tcBorders>
              <w:top w:val="single" w:sz="4" w:space="0" w:color="auto"/>
              <w:left w:val="single" w:sz="4" w:space="0" w:color="auto"/>
              <w:bottom w:val="nil"/>
              <w:right w:val="single" w:sz="4" w:space="0" w:color="auto"/>
            </w:tcBorders>
            <w:vAlign w:val="center"/>
          </w:tcPr>
          <w:p w14:paraId="7B425EFD" w14:textId="77777777" w:rsidR="00F93A7E" w:rsidRPr="00B975F3" w:rsidRDefault="00F93A7E" w:rsidP="00190991">
            <w:pPr>
              <w:spacing w:after="0"/>
              <w:jc w:val="right"/>
              <w:rPr>
                <w:rFonts w:cstheme="minorHAnsi"/>
                <w:b/>
                <w:color w:val="2E74B5"/>
                <w:sz w:val="20"/>
                <w:szCs w:val="20"/>
              </w:rPr>
            </w:pPr>
            <w:r w:rsidRPr="00B975F3">
              <w:rPr>
                <w:rFonts w:cstheme="minorHAnsi"/>
                <w:b/>
                <w:color w:val="2E74B5"/>
                <w:sz w:val="20"/>
                <w:szCs w:val="20"/>
              </w:rPr>
              <w:t>800</w:t>
            </w:r>
          </w:p>
        </w:tc>
        <w:tc>
          <w:tcPr>
            <w:tcW w:w="1152" w:type="dxa"/>
            <w:tcBorders>
              <w:top w:val="single" w:sz="4" w:space="0" w:color="auto"/>
              <w:left w:val="single" w:sz="4" w:space="0" w:color="auto"/>
              <w:bottom w:val="nil"/>
              <w:right w:val="single" w:sz="4" w:space="0" w:color="auto"/>
            </w:tcBorders>
            <w:vAlign w:val="center"/>
          </w:tcPr>
          <w:p w14:paraId="3C430F4A" w14:textId="77777777" w:rsidR="00F93A7E" w:rsidRPr="00B975F3" w:rsidRDefault="00F93A7E" w:rsidP="00190991">
            <w:pPr>
              <w:spacing w:after="0"/>
              <w:jc w:val="right"/>
              <w:rPr>
                <w:rFonts w:cstheme="minorHAnsi"/>
                <w:b/>
                <w:color w:val="2E74B5"/>
                <w:sz w:val="20"/>
                <w:szCs w:val="20"/>
              </w:rPr>
            </w:pPr>
            <w:r w:rsidRPr="00B975F3">
              <w:rPr>
                <w:rFonts w:cstheme="minorHAnsi"/>
                <w:b/>
                <w:color w:val="2E74B5"/>
                <w:sz w:val="20"/>
                <w:szCs w:val="20"/>
              </w:rPr>
              <w:t>8 242</w:t>
            </w:r>
          </w:p>
        </w:tc>
        <w:tc>
          <w:tcPr>
            <w:tcW w:w="1134" w:type="dxa"/>
            <w:tcBorders>
              <w:top w:val="single" w:sz="4" w:space="0" w:color="auto"/>
              <w:left w:val="single" w:sz="4" w:space="0" w:color="auto"/>
              <w:bottom w:val="nil"/>
              <w:right w:val="single" w:sz="4" w:space="0" w:color="auto"/>
            </w:tcBorders>
            <w:vAlign w:val="center"/>
          </w:tcPr>
          <w:p w14:paraId="73AE5BA0" w14:textId="77777777" w:rsidR="00F93A7E" w:rsidRPr="00B975F3" w:rsidRDefault="00F93A7E" w:rsidP="00190991">
            <w:pPr>
              <w:spacing w:after="0"/>
              <w:jc w:val="right"/>
              <w:rPr>
                <w:rFonts w:cstheme="minorHAnsi"/>
                <w:b/>
                <w:color w:val="2E74B5"/>
                <w:sz w:val="20"/>
                <w:szCs w:val="20"/>
              </w:rPr>
            </w:pPr>
            <w:r w:rsidRPr="00B975F3">
              <w:rPr>
                <w:rFonts w:cstheme="minorHAnsi"/>
                <w:b/>
                <w:color w:val="2E74B5"/>
                <w:sz w:val="20"/>
                <w:szCs w:val="20"/>
              </w:rPr>
              <w:t>12 175</w:t>
            </w:r>
          </w:p>
        </w:tc>
        <w:tc>
          <w:tcPr>
            <w:tcW w:w="1125" w:type="dxa"/>
            <w:tcBorders>
              <w:top w:val="single" w:sz="4" w:space="0" w:color="auto"/>
              <w:left w:val="single" w:sz="4" w:space="0" w:color="auto"/>
              <w:bottom w:val="nil"/>
              <w:right w:val="single" w:sz="4" w:space="0" w:color="auto"/>
            </w:tcBorders>
            <w:vAlign w:val="center"/>
          </w:tcPr>
          <w:p w14:paraId="02FE0FDA" w14:textId="77777777" w:rsidR="00F93A7E" w:rsidRPr="00B975F3" w:rsidRDefault="00F93A7E" w:rsidP="00190991">
            <w:pPr>
              <w:spacing w:after="0"/>
              <w:ind w:hanging="201"/>
              <w:jc w:val="right"/>
              <w:rPr>
                <w:rFonts w:cstheme="minorHAnsi"/>
                <w:b/>
                <w:color w:val="2E74B5"/>
                <w:sz w:val="20"/>
                <w:szCs w:val="20"/>
              </w:rPr>
            </w:pPr>
            <w:r w:rsidRPr="00B975F3">
              <w:rPr>
                <w:rFonts w:cstheme="minorHAnsi"/>
                <w:b/>
                <w:color w:val="2E74B5"/>
                <w:sz w:val="20"/>
                <w:szCs w:val="20"/>
              </w:rPr>
              <w:t>4 069</w:t>
            </w:r>
          </w:p>
        </w:tc>
        <w:tc>
          <w:tcPr>
            <w:tcW w:w="754" w:type="dxa"/>
            <w:tcBorders>
              <w:top w:val="single" w:sz="4" w:space="0" w:color="auto"/>
              <w:left w:val="single" w:sz="4" w:space="0" w:color="auto"/>
              <w:bottom w:val="nil"/>
              <w:right w:val="single" w:sz="4" w:space="0" w:color="auto"/>
            </w:tcBorders>
            <w:vAlign w:val="center"/>
          </w:tcPr>
          <w:p w14:paraId="67B2C215" w14:textId="77777777" w:rsidR="00F93A7E" w:rsidRPr="00B975F3" w:rsidRDefault="00F93A7E" w:rsidP="00190991">
            <w:pPr>
              <w:spacing w:after="0"/>
              <w:jc w:val="right"/>
              <w:rPr>
                <w:rFonts w:cstheme="minorHAnsi"/>
                <w:b/>
                <w:color w:val="2E74B5"/>
                <w:sz w:val="20"/>
                <w:szCs w:val="20"/>
              </w:rPr>
            </w:pPr>
            <w:r w:rsidRPr="00B975F3">
              <w:rPr>
                <w:rFonts w:cstheme="minorHAnsi"/>
                <w:b/>
                <w:color w:val="2E74B5"/>
                <w:sz w:val="20"/>
                <w:szCs w:val="20"/>
              </w:rPr>
              <w:t>1 214,6</w:t>
            </w:r>
          </w:p>
        </w:tc>
      </w:tr>
      <w:tr w:rsidR="00F93A7E" w:rsidRPr="00473066" w14:paraId="38153C3F" w14:textId="77777777" w:rsidTr="00190991">
        <w:trPr>
          <w:tblHeader/>
        </w:trPr>
        <w:tc>
          <w:tcPr>
            <w:tcW w:w="2619" w:type="dxa"/>
            <w:tcBorders>
              <w:top w:val="nil"/>
              <w:left w:val="single" w:sz="4" w:space="0" w:color="auto"/>
              <w:bottom w:val="single" w:sz="4" w:space="0" w:color="auto"/>
              <w:right w:val="single" w:sz="4" w:space="0" w:color="auto"/>
            </w:tcBorders>
            <w:vAlign w:val="center"/>
          </w:tcPr>
          <w:p w14:paraId="782536AA" w14:textId="77777777" w:rsidR="00F93A7E" w:rsidRPr="00C469F6" w:rsidRDefault="00F93A7E" w:rsidP="00190991">
            <w:pPr>
              <w:spacing w:after="0"/>
              <w:ind w:hanging="6"/>
              <w:rPr>
                <w:rFonts w:cstheme="minorHAnsi"/>
                <w:color w:val="000000" w:themeColor="text1"/>
                <w:sz w:val="20"/>
                <w:szCs w:val="20"/>
              </w:rPr>
            </w:pPr>
            <w:r w:rsidRPr="00C469F6">
              <w:rPr>
                <w:rFonts w:cstheme="minorHAnsi"/>
                <w:color w:val="000000" w:themeColor="text1"/>
                <w:sz w:val="20"/>
                <w:szCs w:val="20"/>
              </w:rPr>
              <w:t>RISPF</w:t>
            </w:r>
          </w:p>
        </w:tc>
        <w:tc>
          <w:tcPr>
            <w:tcW w:w="1125" w:type="dxa"/>
            <w:tcBorders>
              <w:top w:val="nil"/>
              <w:left w:val="single" w:sz="4" w:space="0" w:color="auto"/>
              <w:bottom w:val="single" w:sz="4" w:space="0" w:color="auto"/>
              <w:right w:val="single" w:sz="4" w:space="0" w:color="auto"/>
            </w:tcBorders>
            <w:vAlign w:val="center"/>
          </w:tcPr>
          <w:p w14:paraId="46AF0215" w14:textId="77777777" w:rsidR="00F93A7E" w:rsidRPr="00C469F6" w:rsidRDefault="00F93A7E" w:rsidP="00190991">
            <w:pPr>
              <w:spacing w:after="0"/>
              <w:jc w:val="right"/>
              <w:rPr>
                <w:rFonts w:cstheme="minorHAnsi"/>
                <w:color w:val="000000" w:themeColor="text1"/>
                <w:sz w:val="20"/>
                <w:szCs w:val="20"/>
              </w:rPr>
            </w:pPr>
            <w:r w:rsidRPr="00C469F6">
              <w:rPr>
                <w:rFonts w:cstheme="minorHAnsi"/>
                <w:color w:val="000000" w:themeColor="text1"/>
                <w:sz w:val="20"/>
                <w:szCs w:val="20"/>
              </w:rPr>
              <w:t>335</w:t>
            </w:r>
          </w:p>
        </w:tc>
        <w:tc>
          <w:tcPr>
            <w:tcW w:w="1125" w:type="dxa"/>
            <w:tcBorders>
              <w:top w:val="nil"/>
              <w:left w:val="single" w:sz="4" w:space="0" w:color="auto"/>
              <w:bottom w:val="single" w:sz="4" w:space="0" w:color="auto"/>
              <w:right w:val="single" w:sz="4" w:space="0" w:color="auto"/>
            </w:tcBorders>
            <w:vAlign w:val="center"/>
          </w:tcPr>
          <w:p w14:paraId="42EFAFE1"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800</w:t>
            </w:r>
          </w:p>
        </w:tc>
        <w:tc>
          <w:tcPr>
            <w:tcW w:w="1152" w:type="dxa"/>
            <w:tcBorders>
              <w:top w:val="nil"/>
              <w:left w:val="single" w:sz="4" w:space="0" w:color="auto"/>
              <w:bottom w:val="single" w:sz="4" w:space="0" w:color="auto"/>
              <w:right w:val="single" w:sz="4" w:space="0" w:color="auto"/>
            </w:tcBorders>
            <w:vAlign w:val="center"/>
          </w:tcPr>
          <w:p w14:paraId="003B12D3"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8 242</w:t>
            </w:r>
          </w:p>
        </w:tc>
        <w:tc>
          <w:tcPr>
            <w:tcW w:w="1134" w:type="dxa"/>
            <w:tcBorders>
              <w:top w:val="nil"/>
              <w:left w:val="single" w:sz="4" w:space="0" w:color="auto"/>
              <w:bottom w:val="single" w:sz="4" w:space="0" w:color="auto"/>
              <w:right w:val="single" w:sz="4" w:space="0" w:color="auto"/>
            </w:tcBorders>
            <w:vAlign w:val="center"/>
          </w:tcPr>
          <w:p w14:paraId="754DD216"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12 175</w:t>
            </w:r>
          </w:p>
        </w:tc>
        <w:tc>
          <w:tcPr>
            <w:tcW w:w="1125" w:type="dxa"/>
            <w:tcBorders>
              <w:top w:val="nil"/>
              <w:left w:val="single" w:sz="4" w:space="0" w:color="auto"/>
              <w:bottom w:val="single" w:sz="4" w:space="0" w:color="auto"/>
              <w:right w:val="single" w:sz="4" w:space="0" w:color="auto"/>
            </w:tcBorders>
            <w:vAlign w:val="center"/>
          </w:tcPr>
          <w:p w14:paraId="458180FE" w14:textId="77777777" w:rsidR="00F93A7E" w:rsidRPr="00336B75" w:rsidRDefault="00F93A7E" w:rsidP="00190991">
            <w:pPr>
              <w:spacing w:after="0"/>
              <w:jc w:val="right"/>
              <w:rPr>
                <w:rFonts w:cstheme="minorHAnsi"/>
                <w:color w:val="000000" w:themeColor="text1"/>
                <w:sz w:val="20"/>
                <w:szCs w:val="20"/>
              </w:rPr>
            </w:pPr>
            <w:r w:rsidRPr="00336B75">
              <w:rPr>
                <w:rFonts w:cstheme="minorHAnsi"/>
                <w:color w:val="000000" w:themeColor="text1"/>
                <w:sz w:val="20"/>
                <w:szCs w:val="20"/>
              </w:rPr>
              <w:t>4 069</w:t>
            </w:r>
          </w:p>
        </w:tc>
        <w:tc>
          <w:tcPr>
            <w:tcW w:w="754" w:type="dxa"/>
            <w:tcBorders>
              <w:top w:val="nil"/>
              <w:left w:val="single" w:sz="4" w:space="0" w:color="auto"/>
              <w:bottom w:val="single" w:sz="4" w:space="0" w:color="auto"/>
              <w:right w:val="single" w:sz="4" w:space="0" w:color="auto"/>
            </w:tcBorders>
            <w:vAlign w:val="center"/>
          </w:tcPr>
          <w:p w14:paraId="143E60D3" w14:textId="77777777" w:rsidR="00F93A7E" w:rsidRPr="00B36A89" w:rsidRDefault="00F93A7E" w:rsidP="00190991">
            <w:pPr>
              <w:spacing w:after="0"/>
              <w:jc w:val="right"/>
              <w:rPr>
                <w:rFonts w:cstheme="minorHAnsi"/>
                <w:color w:val="000000" w:themeColor="text1"/>
                <w:sz w:val="20"/>
                <w:szCs w:val="20"/>
              </w:rPr>
            </w:pPr>
            <w:r w:rsidRPr="00B36A89">
              <w:rPr>
                <w:rFonts w:cstheme="minorHAnsi"/>
                <w:color w:val="000000" w:themeColor="text1"/>
                <w:sz w:val="20"/>
                <w:szCs w:val="20"/>
              </w:rPr>
              <w:t>1 214,6</w:t>
            </w:r>
          </w:p>
        </w:tc>
      </w:tr>
    </w:tbl>
    <w:p w14:paraId="21B4FC34" w14:textId="77777777" w:rsidR="00F93A7E" w:rsidRPr="00473066" w:rsidRDefault="00F93A7E" w:rsidP="00F93A7E">
      <w:pPr>
        <w:pStyle w:val="KOMtext"/>
        <w:rPr>
          <w:color w:val="FF0000"/>
        </w:rPr>
      </w:pPr>
      <w:r w:rsidRPr="00681744">
        <w:rPr>
          <w:color w:val="000000" w:themeColor="text1"/>
        </w:rPr>
        <w:t>Schválený rozpočet Drážního úřadu ve výši 108 640 tis. Kč</w:t>
      </w:r>
      <w:r>
        <w:rPr>
          <w:color w:val="000000" w:themeColor="text1"/>
        </w:rPr>
        <w:t xml:space="preserve"> byl v</w:t>
      </w:r>
      <w:r w:rsidRPr="00681744">
        <w:rPr>
          <w:color w:val="000000" w:themeColor="text1"/>
        </w:rPr>
        <w:t xml:space="preserve"> průběhu roku navýšen </w:t>
      </w:r>
      <w:r>
        <w:rPr>
          <w:color w:val="000000" w:themeColor="text1"/>
        </w:rPr>
        <w:br/>
      </w:r>
      <w:r w:rsidRPr="00681744">
        <w:rPr>
          <w:color w:val="000000" w:themeColor="text1"/>
        </w:rPr>
        <w:t>o 13 076 tis. Kč na částku 121 716 tis. Kč.</w:t>
      </w:r>
      <w:r>
        <w:rPr>
          <w:color w:val="000000" w:themeColor="text1"/>
        </w:rPr>
        <w:t xml:space="preserve"> Navýšení se týkalo zejména posílení prostředků na programové vybavení, na podporu a dohled nad bezpečností.</w:t>
      </w:r>
      <w:r w:rsidRPr="00681744">
        <w:rPr>
          <w:color w:val="000000" w:themeColor="text1"/>
        </w:rPr>
        <w:t xml:space="preserve"> Skutečné čerpání bylo ve výši 115 238 tis. Kč, tj. 94,7 % rozpočtu po změnách, a to včetně čerpání nároků z nespotřebovaných výdajů ve výši 5 760 tis. Kč a mimorozpočtových zdrojů z rezervního fondu ve výši 720 tis. Kč. </w:t>
      </w:r>
      <w:r w:rsidRPr="00385430">
        <w:rPr>
          <w:color w:val="000000" w:themeColor="text1"/>
        </w:rPr>
        <w:t>Prostředky byly v průběhu 1. až 3. čtvrtletí 202</w:t>
      </w:r>
      <w:r>
        <w:rPr>
          <w:color w:val="000000" w:themeColor="text1"/>
        </w:rPr>
        <w:t>3</w:t>
      </w:r>
      <w:r w:rsidRPr="00385430">
        <w:rPr>
          <w:color w:val="000000" w:themeColor="text1"/>
        </w:rPr>
        <w:t xml:space="preserve"> čerpané poměrně rovnoměrně, nejvyšší čerpání se uskutečnilo ve 4. čtvrtletí, podíl činil 36,2 %. Oproti </w:t>
      </w:r>
      <w:r>
        <w:rPr>
          <w:color w:val="000000" w:themeColor="text1"/>
        </w:rPr>
        <w:t xml:space="preserve">předchozímu </w:t>
      </w:r>
      <w:r w:rsidRPr="00385430">
        <w:rPr>
          <w:color w:val="000000" w:themeColor="text1"/>
        </w:rPr>
        <w:t xml:space="preserve">roku </w:t>
      </w:r>
      <w:r>
        <w:rPr>
          <w:color w:val="000000" w:themeColor="text1"/>
        </w:rPr>
        <w:t>d</w:t>
      </w:r>
      <w:r w:rsidRPr="00385430">
        <w:rPr>
          <w:color w:val="000000" w:themeColor="text1"/>
        </w:rPr>
        <w:t xml:space="preserve">ošlo ke zvýšení čerpaných výdajů o 4 279 tis. Kč, tj. o 3,9 %. </w:t>
      </w:r>
    </w:p>
    <w:p w14:paraId="373C1D06" w14:textId="77777777" w:rsidR="00F93A7E" w:rsidRPr="00F330B5" w:rsidRDefault="00F93A7E" w:rsidP="008A0E44">
      <w:pPr>
        <w:pStyle w:val="KOMnadp4"/>
      </w:pPr>
      <w:r w:rsidRPr="00F330B5">
        <w:t>Běžné výdaje</w:t>
      </w:r>
    </w:p>
    <w:p w14:paraId="1832499F" w14:textId="77777777" w:rsidR="00F93A7E" w:rsidRPr="00A57424" w:rsidRDefault="00F93A7E" w:rsidP="00F93A7E">
      <w:pPr>
        <w:pStyle w:val="KOMtext"/>
        <w:rPr>
          <w:color w:val="000000" w:themeColor="text1"/>
        </w:rPr>
      </w:pPr>
      <w:r w:rsidRPr="007B4774">
        <w:rPr>
          <w:color w:val="000000" w:themeColor="text1"/>
        </w:rPr>
        <w:t xml:space="preserve">Schválený rozpočet ve výši 107 840 tis. Kč byl v průběhu roku navýšen o 5 635 tis. Kč na částku 113 475 tis. Kč. </w:t>
      </w:r>
      <w:r w:rsidRPr="00A57424">
        <w:rPr>
          <w:color w:val="000000" w:themeColor="text1"/>
        </w:rPr>
        <w:t xml:space="preserve">Běžné výdaje byly čerpané ve výši 111 168 tis. Kč, tj. 98,0 % rozpočtu </w:t>
      </w:r>
      <w:r w:rsidRPr="00A57424">
        <w:rPr>
          <w:color w:val="000000" w:themeColor="text1"/>
        </w:rPr>
        <w:br/>
        <w:t xml:space="preserve">po změnách, a to včetně čerpání nároků z nespotřebovaných výdajů ve výši 1 827 tis. Kč </w:t>
      </w:r>
      <w:r>
        <w:rPr>
          <w:color w:val="000000" w:themeColor="text1"/>
        </w:rPr>
        <w:br/>
      </w:r>
      <w:r w:rsidRPr="00A57424">
        <w:rPr>
          <w:color w:val="000000" w:themeColor="text1"/>
        </w:rPr>
        <w:t xml:space="preserve">a mimorozpočtových zdrojů z rezervního fondu ve výši 720 tis. Kč. </w:t>
      </w:r>
    </w:p>
    <w:p w14:paraId="5C3F1574" w14:textId="7F8C2187" w:rsidR="00F93A7E" w:rsidRDefault="00F93A7E" w:rsidP="00F93A7E">
      <w:pPr>
        <w:pStyle w:val="KOMtext"/>
      </w:pPr>
      <w:r w:rsidRPr="00111FE0">
        <w:rPr>
          <w:color w:val="000000" w:themeColor="text1"/>
        </w:rPr>
        <w:lastRenderedPageBreak/>
        <w:t xml:space="preserve">Čerpání prostředků běžných výdajů tvořily zejména výdaje na platy zaměstnanců a ostatní platby za provedenou práci a s tím související povinné platby (pojistné a základní příděl FKSP), které se podílely na celkovém objemu čerpání běžných výdajů </w:t>
      </w:r>
      <w:r w:rsidRPr="00BA641A">
        <w:rPr>
          <w:color w:val="000000" w:themeColor="text1"/>
        </w:rPr>
        <w:t xml:space="preserve">69,5 % (tj. ve výši </w:t>
      </w:r>
      <w:r w:rsidRPr="00BA641A">
        <w:rPr>
          <w:color w:val="000000" w:themeColor="text1"/>
        </w:rPr>
        <w:br/>
        <w:t xml:space="preserve">77 227 tis. Kč). </w:t>
      </w:r>
      <w:r w:rsidRPr="002D18D0">
        <w:t>Z ostatních neinvestičních výdajů tvořily nejvyšší položku nájemné,</w:t>
      </w:r>
      <w:r w:rsidRPr="00473066">
        <w:rPr>
          <w:color w:val="FF0000"/>
        </w:rPr>
        <w:t xml:space="preserve"> </w:t>
      </w:r>
      <w:r w:rsidRPr="00BE7730">
        <w:t xml:space="preserve">nákup ostatních služeb </w:t>
      </w:r>
      <w:r w:rsidRPr="00D77C31">
        <w:t xml:space="preserve">(např. k zajištění provozu budovy, zajištění stravování zaměstnanců), </w:t>
      </w:r>
      <w:r w:rsidRPr="00BE7730">
        <w:t>zpracování dat a služby související s informačními a komunikačními technologiemi</w:t>
      </w:r>
      <w:r>
        <w:t xml:space="preserve"> </w:t>
      </w:r>
      <w:r w:rsidR="00832444">
        <w:br/>
      </w:r>
      <w:r>
        <w:t>(např. celoroční podpora SW RINF – registr infrastruktury, podpora GINIS, služby bezpečnostního dohledu využívající stávající systém SIEM)</w:t>
      </w:r>
      <w:r w:rsidRPr="00BE7730">
        <w:t xml:space="preserve">. </w:t>
      </w:r>
    </w:p>
    <w:p w14:paraId="7B26E1EC" w14:textId="77777777" w:rsidR="00F93A7E" w:rsidRPr="00C10CF4" w:rsidRDefault="00F93A7E" w:rsidP="008A0E44">
      <w:pPr>
        <w:pStyle w:val="KOMnadp4"/>
      </w:pPr>
      <w:r w:rsidRPr="00C10CF4">
        <w:t>Kapitálové výdaje</w:t>
      </w:r>
    </w:p>
    <w:p w14:paraId="1DB61253" w14:textId="77777777" w:rsidR="00F93A7E" w:rsidRPr="00AD0473" w:rsidRDefault="00F93A7E" w:rsidP="00F93A7E">
      <w:pPr>
        <w:pStyle w:val="KOMtext"/>
      </w:pPr>
      <w:r w:rsidRPr="00E130AB">
        <w:t xml:space="preserve">Schválený rozpočet ve výši 800 tis. Kč byl v průběhu roku navýšen o 7 442 tis. Kč na částku 8 242 tis. Kč. Drážní úřad čerpal kapitálové výdaje ve výši 4 069 tis. Kč, tj. 49,4 % rozpočtu po změnách, z toho nároky z nespotřebovaných výdajů ve výši 3 933 tis. Kč. </w:t>
      </w:r>
      <w:r w:rsidRPr="00AD0473">
        <w:t>Prostředky byly čerpány na programové vybavení a aktivní síťové prvky. Vyšší čerpání oproti roku 2022 bylo způsobeno realizací investičních akcí, které byly zahájeny již v předchozím roce.</w:t>
      </w:r>
    </w:p>
    <w:p w14:paraId="6CE9A9BB" w14:textId="03990437" w:rsidR="00F93A7E" w:rsidRPr="00AD0473" w:rsidRDefault="00F93A7E" w:rsidP="00F93A7E">
      <w:pPr>
        <w:pStyle w:val="KOMGrafy"/>
      </w:pPr>
      <w:bookmarkStart w:id="879" w:name="_Toc130477251"/>
      <w:bookmarkStart w:id="880" w:name="_Toc160457140"/>
      <w:r w:rsidRPr="00AD0473">
        <w:t xml:space="preserve">Graf č. </w:t>
      </w:r>
      <w:r w:rsidRPr="00AD0473">
        <w:rPr>
          <w:noProof/>
        </w:rPr>
        <w:fldChar w:fldCharType="begin"/>
      </w:r>
      <w:r w:rsidRPr="00AD0473">
        <w:rPr>
          <w:noProof/>
        </w:rPr>
        <w:instrText xml:space="preserve"> SEQ Graf_č. \* ARABIC </w:instrText>
      </w:r>
      <w:r w:rsidRPr="00AD0473">
        <w:rPr>
          <w:noProof/>
        </w:rPr>
        <w:fldChar w:fldCharType="separate"/>
      </w:r>
      <w:r w:rsidR="00013820">
        <w:rPr>
          <w:noProof/>
        </w:rPr>
        <w:t>23</w:t>
      </w:r>
      <w:r w:rsidRPr="00AD0473">
        <w:rPr>
          <w:noProof/>
        </w:rPr>
        <w:fldChar w:fldCharType="end"/>
      </w:r>
      <w:r w:rsidRPr="00AD0473">
        <w:t>: Srovnání skutečností v letech 2022 a 2023 u Drážního úřadu (v tis. Kč)</w:t>
      </w:r>
      <w:bookmarkEnd w:id="879"/>
      <w:bookmarkEnd w:id="880"/>
    </w:p>
    <w:p w14:paraId="5B2151E2" w14:textId="77777777" w:rsidR="00F93A7E" w:rsidRPr="00473066" w:rsidRDefault="00F93A7E" w:rsidP="00F93A7E">
      <w:pPr>
        <w:pStyle w:val="KOMtext"/>
        <w:rPr>
          <w:rFonts w:cstheme="minorHAnsi"/>
          <w:color w:val="FF0000"/>
        </w:rPr>
      </w:pPr>
      <w:r w:rsidRPr="00473066">
        <w:rPr>
          <w:noProof/>
          <w:color w:val="FF0000"/>
        </w:rPr>
        <w:drawing>
          <wp:inline distT="0" distB="0" distL="0" distR="0" wp14:anchorId="029BDCF2" wp14:editId="3077EABC">
            <wp:extent cx="5760000" cy="2160000"/>
            <wp:effectExtent l="0" t="0" r="12700" b="12065"/>
            <wp:docPr id="1704355602" name="Graf 170435560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52B372CC" w14:textId="77777777" w:rsidR="004F5E4F" w:rsidRPr="006B6D61" w:rsidRDefault="004F5E4F" w:rsidP="00E20BD6">
      <w:pPr>
        <w:pStyle w:val="KOMnadp3"/>
      </w:pPr>
      <w:bookmarkStart w:id="881" w:name="_Toc128660447"/>
      <w:bookmarkStart w:id="882" w:name="_Toc128660745"/>
      <w:bookmarkStart w:id="883" w:name="_Toc128660962"/>
      <w:bookmarkStart w:id="884" w:name="_Toc128661177"/>
      <w:bookmarkStart w:id="885" w:name="_Toc128661392"/>
      <w:bookmarkStart w:id="886" w:name="_Toc128666850"/>
      <w:bookmarkStart w:id="887" w:name="_Toc128667082"/>
      <w:bookmarkStart w:id="888" w:name="_Toc128670352"/>
      <w:bookmarkStart w:id="889" w:name="_Toc128397718"/>
      <w:bookmarkStart w:id="890" w:name="_Toc128397851"/>
      <w:bookmarkStart w:id="891" w:name="_Toc128398072"/>
      <w:bookmarkStart w:id="892" w:name="_Toc128398415"/>
      <w:bookmarkStart w:id="893" w:name="_Toc128398541"/>
      <w:bookmarkStart w:id="894" w:name="_Toc128398755"/>
      <w:bookmarkStart w:id="895" w:name="_Toc128400071"/>
      <w:bookmarkStart w:id="896" w:name="_Toc128401311"/>
      <w:bookmarkStart w:id="897" w:name="_Toc128401439"/>
      <w:bookmarkStart w:id="898" w:name="_Toc128401926"/>
      <w:bookmarkStart w:id="899" w:name="_Toc128400072"/>
      <w:bookmarkStart w:id="900" w:name="_Toc162269267"/>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r w:rsidRPr="006B6D61">
        <w:t>Drážní inspekce</w:t>
      </w:r>
      <w:bookmarkEnd w:id="899"/>
      <w:bookmarkEnd w:id="900"/>
    </w:p>
    <w:p w14:paraId="52DE2FE7" w14:textId="51469575" w:rsidR="00471C7F" w:rsidRPr="006B6D61" w:rsidRDefault="00471C7F" w:rsidP="003F0A7C">
      <w:pPr>
        <w:pStyle w:val="KOMtext"/>
      </w:pPr>
      <w:r w:rsidRPr="006B6D61">
        <w:t xml:space="preserve">Organizační složka státu Drážní inspekce vznikla jako správní úřad k 1. 1. 2003 podle zákona </w:t>
      </w:r>
      <w:r w:rsidR="00915C4B" w:rsidRPr="006B6D61">
        <w:br/>
      </w:r>
      <w:r w:rsidRPr="006B6D61">
        <w:t xml:space="preserve">č. 77/2002 Sb., o akciové společnosti České dráhy, státní organizaci Správa železniční dopravní cesty a o změně zákona č. 266/1994 Sb., o dráhách, ve znění pozdějších předpisů, a zákona </w:t>
      </w:r>
      <w:r w:rsidR="00915C4B" w:rsidRPr="006B6D61">
        <w:br/>
      </w:r>
      <w:r w:rsidRPr="006B6D61">
        <w:t xml:space="preserve">č. 77/1997 Sb., o státním podniku, ve znění pozdějších předpisů. </w:t>
      </w:r>
    </w:p>
    <w:p w14:paraId="7D96BD55" w14:textId="1D73120B" w:rsidR="00471C7F" w:rsidRPr="006B6D61" w:rsidRDefault="00471C7F" w:rsidP="003F0A7C">
      <w:pPr>
        <w:pStyle w:val="KOMtext"/>
      </w:pPr>
      <w:r w:rsidRPr="006B6D61">
        <w:t>Hlavní činností organizace je zjišťování příčin a okolností vzniku mimořádných událostí v drážní dopravě, a to na drahách železničních, tramvajových, trolejbusových, lanových a speciálních (metro) s cílem zabránit jejich opakování.</w:t>
      </w:r>
    </w:p>
    <w:tbl>
      <w:tblPr>
        <w:tblW w:w="9002" w:type="dxa"/>
        <w:tblInd w:w="70" w:type="dxa"/>
        <w:tblLayout w:type="fixed"/>
        <w:tblCellMar>
          <w:left w:w="0" w:type="dxa"/>
          <w:right w:w="0" w:type="dxa"/>
        </w:tblCellMar>
        <w:tblLook w:val="04A0" w:firstRow="1" w:lastRow="0" w:firstColumn="1" w:lastColumn="0" w:noHBand="0" w:noVBand="1"/>
      </w:tblPr>
      <w:tblGrid>
        <w:gridCol w:w="2178"/>
        <w:gridCol w:w="1116"/>
        <w:gridCol w:w="1164"/>
        <w:gridCol w:w="1264"/>
        <w:gridCol w:w="1064"/>
        <w:gridCol w:w="1141"/>
        <w:gridCol w:w="1075"/>
      </w:tblGrid>
      <w:tr w:rsidR="002F1BE7" w:rsidRPr="0044012B" w14:paraId="051C0C69" w14:textId="77777777" w:rsidTr="006B6D61">
        <w:trPr>
          <w:trHeight w:val="348"/>
          <w:tblHeader/>
        </w:trPr>
        <w:tc>
          <w:tcPr>
            <w:tcW w:w="9002" w:type="dxa"/>
            <w:gridSpan w:val="7"/>
            <w:tcBorders>
              <w:bottom w:val="single" w:sz="4" w:space="0" w:color="auto"/>
            </w:tcBorders>
            <w:shd w:val="clear" w:color="auto" w:fill="auto"/>
            <w:tcMar>
              <w:top w:w="0" w:type="dxa"/>
              <w:left w:w="70" w:type="dxa"/>
              <w:bottom w:w="0" w:type="dxa"/>
              <w:right w:w="70" w:type="dxa"/>
            </w:tcMar>
            <w:vAlign w:val="center"/>
          </w:tcPr>
          <w:p w14:paraId="1D37EA16" w14:textId="23DD2999" w:rsidR="00AD5023" w:rsidRPr="0077128B" w:rsidRDefault="00AD5023" w:rsidP="00BA4E5A">
            <w:pPr>
              <w:spacing w:after="0" w:line="252" w:lineRule="auto"/>
              <w:jc w:val="right"/>
              <w:rPr>
                <w:rFonts w:eastAsia="Calibri" w:cstheme="minorHAnsi"/>
                <w:color w:val="FF0000"/>
                <w:sz w:val="20"/>
                <w:szCs w:val="20"/>
              </w:rPr>
            </w:pPr>
            <w:r w:rsidRPr="006B6D61">
              <w:rPr>
                <w:rFonts w:eastAsia="Calibri" w:cstheme="minorHAnsi"/>
                <w:sz w:val="20"/>
                <w:szCs w:val="20"/>
              </w:rPr>
              <w:lastRenderedPageBreak/>
              <w:t>v tis. Kč</w:t>
            </w:r>
          </w:p>
        </w:tc>
      </w:tr>
      <w:tr w:rsidR="00A32897" w:rsidRPr="0044012B" w14:paraId="0E933D13" w14:textId="77777777" w:rsidTr="000056F5">
        <w:trPr>
          <w:trHeight w:val="348"/>
          <w:tblHeader/>
        </w:trPr>
        <w:tc>
          <w:tcPr>
            <w:tcW w:w="2178"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66AAD1BA" w14:textId="77777777" w:rsidR="003B280C" w:rsidRPr="006B6D61" w:rsidRDefault="003B280C" w:rsidP="00BA4E5A">
            <w:pPr>
              <w:spacing w:after="0" w:line="252" w:lineRule="auto"/>
              <w:jc w:val="center"/>
              <w:rPr>
                <w:rFonts w:eastAsia="Calibri" w:cstheme="minorHAnsi"/>
                <w:b/>
                <w:sz w:val="20"/>
                <w:szCs w:val="20"/>
              </w:rPr>
            </w:pPr>
            <w:r w:rsidRPr="006B6D61">
              <w:rPr>
                <w:rFonts w:eastAsia="Calibri" w:cstheme="minorHAnsi"/>
                <w:b/>
                <w:sz w:val="20"/>
                <w:szCs w:val="20"/>
              </w:rPr>
              <w:t>Ukazatel</w:t>
            </w:r>
          </w:p>
        </w:tc>
        <w:tc>
          <w:tcPr>
            <w:tcW w:w="1116"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423CA97B" w14:textId="77777777" w:rsidR="003B280C" w:rsidRPr="006B6D61" w:rsidRDefault="003B280C" w:rsidP="00284B05">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2C3EB684" w14:textId="28328D15" w:rsidR="003B280C" w:rsidRPr="006B6D61" w:rsidRDefault="003B280C" w:rsidP="00284B05">
            <w:pPr>
              <w:spacing w:after="0" w:line="252" w:lineRule="auto"/>
              <w:jc w:val="center"/>
              <w:rPr>
                <w:rFonts w:eastAsia="Calibri" w:cstheme="minorHAnsi"/>
                <w:b/>
                <w:sz w:val="20"/>
                <w:szCs w:val="20"/>
              </w:rPr>
            </w:pPr>
            <w:r w:rsidRPr="006B6D61">
              <w:rPr>
                <w:rFonts w:eastAsia="Calibri" w:cstheme="minorHAnsi"/>
                <w:b/>
                <w:sz w:val="20"/>
                <w:szCs w:val="20"/>
              </w:rPr>
              <w:t>202</w:t>
            </w:r>
            <w:r w:rsidR="004A26BA" w:rsidRPr="006B6D61">
              <w:rPr>
                <w:rFonts w:eastAsia="Calibri" w:cstheme="minorHAnsi"/>
                <w:b/>
                <w:sz w:val="20"/>
                <w:szCs w:val="20"/>
              </w:rPr>
              <w:t>2</w:t>
            </w:r>
          </w:p>
        </w:tc>
        <w:tc>
          <w:tcPr>
            <w:tcW w:w="3492"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CECAFD4" w14:textId="365B2D4E" w:rsidR="003B280C" w:rsidRPr="006B6D61" w:rsidRDefault="003B280C" w:rsidP="00BA4E5A">
            <w:pPr>
              <w:spacing w:after="0" w:line="252" w:lineRule="auto"/>
              <w:jc w:val="center"/>
              <w:rPr>
                <w:rFonts w:eastAsia="Calibri" w:cstheme="minorHAnsi"/>
                <w:b/>
                <w:sz w:val="20"/>
                <w:szCs w:val="20"/>
              </w:rPr>
            </w:pPr>
            <w:r w:rsidRPr="006B6D61">
              <w:rPr>
                <w:rFonts w:eastAsia="Calibri" w:cstheme="minorHAnsi"/>
                <w:b/>
                <w:sz w:val="20"/>
                <w:szCs w:val="20"/>
              </w:rPr>
              <w:t>Rozpočet 202</w:t>
            </w:r>
            <w:r w:rsidR="004A26BA" w:rsidRPr="006B6D61">
              <w:rPr>
                <w:rFonts w:eastAsia="Calibri" w:cstheme="minorHAnsi"/>
                <w:b/>
                <w:sz w:val="20"/>
                <w:szCs w:val="20"/>
              </w:rPr>
              <w:t>3</w:t>
            </w:r>
          </w:p>
        </w:tc>
        <w:tc>
          <w:tcPr>
            <w:tcW w:w="1141"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1F225BF7" w14:textId="77777777" w:rsidR="003B280C" w:rsidRPr="006B6D61" w:rsidRDefault="003B280C" w:rsidP="00284B05">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042EE7A1" w14:textId="62E5D889" w:rsidR="003B280C" w:rsidRPr="006B6D61" w:rsidRDefault="003B280C" w:rsidP="00284B05">
            <w:pPr>
              <w:spacing w:after="0" w:line="252" w:lineRule="auto"/>
              <w:jc w:val="center"/>
              <w:rPr>
                <w:rFonts w:eastAsia="Calibri" w:cstheme="minorHAnsi"/>
                <w:b/>
                <w:sz w:val="20"/>
                <w:szCs w:val="20"/>
              </w:rPr>
            </w:pPr>
            <w:r w:rsidRPr="006B6D61">
              <w:rPr>
                <w:rFonts w:eastAsia="Calibri" w:cstheme="minorHAnsi"/>
                <w:b/>
                <w:sz w:val="20"/>
                <w:szCs w:val="20"/>
              </w:rPr>
              <w:t>202</w:t>
            </w:r>
            <w:r w:rsidR="004A26BA" w:rsidRPr="006B6D61">
              <w:rPr>
                <w:rFonts w:eastAsia="Calibri" w:cstheme="minorHAnsi"/>
                <w:b/>
                <w:sz w:val="20"/>
                <w:szCs w:val="20"/>
              </w:rPr>
              <w:t>3</w:t>
            </w:r>
          </w:p>
        </w:tc>
        <w:tc>
          <w:tcPr>
            <w:tcW w:w="1075" w:type="dxa"/>
            <w:vMerge w:val="restart"/>
            <w:tcBorders>
              <w:top w:val="single" w:sz="4" w:space="0" w:color="auto"/>
              <w:left w:val="single" w:sz="4" w:space="0" w:color="auto"/>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1678B740" w14:textId="77777777" w:rsidR="003B280C" w:rsidRPr="006B6D61" w:rsidRDefault="003B280C" w:rsidP="00284B05">
            <w:pPr>
              <w:spacing w:after="0" w:line="252" w:lineRule="auto"/>
              <w:jc w:val="center"/>
              <w:rPr>
                <w:rFonts w:eastAsia="Calibri" w:cstheme="minorHAnsi"/>
                <w:b/>
                <w:sz w:val="20"/>
                <w:szCs w:val="20"/>
              </w:rPr>
            </w:pPr>
            <w:r w:rsidRPr="006B6D61">
              <w:rPr>
                <w:rFonts w:eastAsia="Calibri" w:cstheme="minorHAnsi"/>
                <w:b/>
                <w:sz w:val="20"/>
                <w:szCs w:val="20"/>
              </w:rPr>
              <w:t>Index</w:t>
            </w:r>
          </w:p>
          <w:p w14:paraId="301AC8B9" w14:textId="77777777" w:rsidR="003B280C" w:rsidRPr="006B6D61" w:rsidRDefault="003B280C" w:rsidP="00284B05">
            <w:pPr>
              <w:spacing w:after="0" w:line="252" w:lineRule="auto"/>
              <w:jc w:val="center"/>
              <w:rPr>
                <w:rFonts w:eastAsia="Calibri" w:cstheme="minorHAnsi"/>
                <w:b/>
                <w:sz w:val="20"/>
                <w:szCs w:val="20"/>
              </w:rPr>
            </w:pPr>
            <w:r w:rsidRPr="006B6D61">
              <w:rPr>
                <w:rFonts w:eastAsia="Calibri" w:cstheme="minorHAnsi"/>
                <w:b/>
                <w:sz w:val="20"/>
                <w:szCs w:val="20"/>
              </w:rPr>
              <w:t>(v %)</w:t>
            </w:r>
          </w:p>
        </w:tc>
      </w:tr>
      <w:tr w:rsidR="00A32897" w:rsidRPr="0044012B" w14:paraId="4DB3AD67" w14:textId="77777777" w:rsidTr="000056F5">
        <w:trPr>
          <w:trHeight w:val="554"/>
          <w:tblHeader/>
        </w:trPr>
        <w:tc>
          <w:tcPr>
            <w:tcW w:w="2178" w:type="dxa"/>
            <w:vMerge/>
            <w:tcBorders>
              <w:top w:val="single" w:sz="8" w:space="0" w:color="auto"/>
              <w:left w:val="single" w:sz="4" w:space="0" w:color="auto"/>
              <w:bottom w:val="single" w:sz="4" w:space="0" w:color="auto"/>
              <w:right w:val="single" w:sz="4" w:space="0" w:color="auto"/>
            </w:tcBorders>
            <w:vAlign w:val="center"/>
            <w:hideMark/>
          </w:tcPr>
          <w:p w14:paraId="419AA98A" w14:textId="77777777" w:rsidR="003B280C" w:rsidRPr="002F1BE7" w:rsidRDefault="003B280C" w:rsidP="00284B05">
            <w:pPr>
              <w:spacing w:after="0" w:line="240" w:lineRule="auto"/>
              <w:rPr>
                <w:rFonts w:eastAsia="Calibri" w:cstheme="minorHAnsi"/>
                <w:color w:val="FF0000"/>
                <w:sz w:val="20"/>
                <w:szCs w:val="20"/>
              </w:rPr>
            </w:pPr>
          </w:p>
        </w:tc>
        <w:tc>
          <w:tcPr>
            <w:tcW w:w="1116" w:type="dxa"/>
            <w:vMerge/>
            <w:tcBorders>
              <w:top w:val="single" w:sz="8" w:space="0" w:color="auto"/>
              <w:left w:val="single" w:sz="4" w:space="0" w:color="auto"/>
              <w:bottom w:val="single" w:sz="4" w:space="0" w:color="auto"/>
              <w:right w:val="single" w:sz="4" w:space="0" w:color="auto"/>
            </w:tcBorders>
            <w:vAlign w:val="center"/>
            <w:hideMark/>
          </w:tcPr>
          <w:p w14:paraId="6566F057" w14:textId="77777777" w:rsidR="003B280C" w:rsidRPr="002F1BE7" w:rsidRDefault="003B280C" w:rsidP="00284B05">
            <w:pPr>
              <w:spacing w:after="0" w:line="240" w:lineRule="auto"/>
              <w:rPr>
                <w:rFonts w:eastAsia="Calibri" w:cstheme="minorHAnsi"/>
                <w:color w:val="FF0000"/>
                <w:sz w:val="20"/>
                <w:szCs w:val="20"/>
              </w:rPr>
            </w:pP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391F384F" w14:textId="77777777" w:rsidR="003B280C" w:rsidRPr="006B6D61" w:rsidRDefault="003B280C" w:rsidP="00BA4E5A">
            <w:pPr>
              <w:spacing w:after="0" w:line="252" w:lineRule="auto"/>
              <w:jc w:val="center"/>
              <w:rPr>
                <w:rFonts w:eastAsia="Calibri" w:cstheme="minorHAnsi"/>
                <w:b/>
                <w:sz w:val="20"/>
                <w:szCs w:val="20"/>
              </w:rPr>
            </w:pPr>
            <w:r w:rsidRPr="006B6D61">
              <w:rPr>
                <w:rFonts w:eastAsia="Calibri" w:cstheme="minorHAnsi"/>
                <w:b/>
                <w:sz w:val="20"/>
                <w:szCs w:val="20"/>
              </w:rPr>
              <w:t>schválený</w:t>
            </w:r>
          </w:p>
        </w:tc>
        <w:tc>
          <w:tcPr>
            <w:tcW w:w="12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DC00E74" w14:textId="77777777" w:rsidR="003B280C" w:rsidRPr="006B6D61" w:rsidRDefault="003B280C" w:rsidP="00BA4E5A">
            <w:pPr>
              <w:spacing w:after="0" w:line="252" w:lineRule="auto"/>
              <w:jc w:val="center"/>
              <w:rPr>
                <w:rFonts w:eastAsia="Calibri" w:cstheme="minorHAnsi"/>
                <w:b/>
                <w:sz w:val="20"/>
                <w:szCs w:val="20"/>
              </w:rPr>
            </w:pPr>
            <w:r w:rsidRPr="006B6D61">
              <w:rPr>
                <w:rFonts w:eastAsia="Calibri" w:cstheme="minorHAnsi"/>
                <w:b/>
                <w:sz w:val="20"/>
                <w:szCs w:val="20"/>
              </w:rPr>
              <w:t>po změnách</w:t>
            </w:r>
          </w:p>
        </w:tc>
        <w:tc>
          <w:tcPr>
            <w:tcW w:w="10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4BF77D96" w14:textId="77777777" w:rsidR="003B280C" w:rsidRPr="006B6D61" w:rsidRDefault="003B280C" w:rsidP="00BA4E5A">
            <w:pPr>
              <w:spacing w:after="0" w:line="252" w:lineRule="auto"/>
              <w:jc w:val="center"/>
              <w:rPr>
                <w:rFonts w:eastAsia="Calibri" w:cstheme="minorHAnsi"/>
                <w:b/>
                <w:sz w:val="20"/>
                <w:szCs w:val="20"/>
              </w:rPr>
            </w:pPr>
            <w:r w:rsidRPr="006B6D61">
              <w:rPr>
                <w:rFonts w:eastAsia="Calibri" w:cstheme="minorHAnsi"/>
                <w:b/>
                <w:sz w:val="20"/>
                <w:szCs w:val="20"/>
              </w:rPr>
              <w:t>konečný</w:t>
            </w:r>
          </w:p>
        </w:tc>
        <w:tc>
          <w:tcPr>
            <w:tcW w:w="1141" w:type="dxa"/>
            <w:vMerge/>
            <w:tcBorders>
              <w:top w:val="single" w:sz="8" w:space="0" w:color="auto"/>
              <w:left w:val="single" w:sz="4" w:space="0" w:color="auto"/>
              <w:bottom w:val="single" w:sz="4" w:space="0" w:color="auto"/>
              <w:right w:val="single" w:sz="4" w:space="0" w:color="auto"/>
            </w:tcBorders>
            <w:vAlign w:val="center"/>
            <w:hideMark/>
          </w:tcPr>
          <w:p w14:paraId="7099D0A9" w14:textId="77777777" w:rsidR="003B280C" w:rsidRPr="002F1BE7" w:rsidRDefault="003B280C" w:rsidP="00284B05">
            <w:pPr>
              <w:spacing w:after="0" w:line="240" w:lineRule="auto"/>
              <w:rPr>
                <w:rFonts w:eastAsia="Calibri" w:cstheme="minorHAnsi"/>
                <w:color w:val="FF0000"/>
                <w:sz w:val="20"/>
                <w:szCs w:val="20"/>
              </w:rPr>
            </w:pPr>
          </w:p>
        </w:tc>
        <w:tc>
          <w:tcPr>
            <w:tcW w:w="1075" w:type="dxa"/>
            <w:vMerge/>
            <w:tcBorders>
              <w:top w:val="single" w:sz="8" w:space="0" w:color="auto"/>
              <w:left w:val="single" w:sz="4" w:space="0" w:color="auto"/>
              <w:bottom w:val="single" w:sz="4" w:space="0" w:color="auto"/>
              <w:right w:val="single" w:sz="8" w:space="0" w:color="auto"/>
            </w:tcBorders>
            <w:vAlign w:val="center"/>
            <w:hideMark/>
          </w:tcPr>
          <w:p w14:paraId="57E6D62F" w14:textId="77777777" w:rsidR="003B280C" w:rsidRPr="002F1BE7" w:rsidRDefault="003B280C" w:rsidP="00284B05">
            <w:pPr>
              <w:spacing w:after="0" w:line="240" w:lineRule="auto"/>
              <w:rPr>
                <w:rFonts w:eastAsia="Calibri" w:cstheme="minorHAnsi"/>
                <w:color w:val="FF0000"/>
                <w:sz w:val="20"/>
                <w:szCs w:val="20"/>
              </w:rPr>
            </w:pPr>
          </w:p>
        </w:tc>
      </w:tr>
      <w:tr w:rsidR="002F1BE7" w:rsidRPr="0044012B" w14:paraId="1FC7CC7C" w14:textId="77777777" w:rsidTr="006B6D61">
        <w:trPr>
          <w:trHeight w:val="82"/>
          <w:tblHeader/>
        </w:trPr>
        <w:tc>
          <w:tcPr>
            <w:tcW w:w="217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01102A94"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a</w:t>
            </w:r>
          </w:p>
        </w:tc>
        <w:tc>
          <w:tcPr>
            <w:tcW w:w="111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643E214B"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1</w:t>
            </w:r>
          </w:p>
        </w:tc>
        <w:tc>
          <w:tcPr>
            <w:tcW w:w="116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3E90168F"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2</w:t>
            </w:r>
          </w:p>
        </w:tc>
        <w:tc>
          <w:tcPr>
            <w:tcW w:w="126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38BE48DC"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3</w:t>
            </w:r>
          </w:p>
        </w:tc>
        <w:tc>
          <w:tcPr>
            <w:tcW w:w="106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76FE02C0"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4</w:t>
            </w:r>
          </w:p>
        </w:tc>
        <w:tc>
          <w:tcPr>
            <w:tcW w:w="114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09BC6FFF"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5</w:t>
            </w:r>
          </w:p>
        </w:tc>
        <w:tc>
          <w:tcPr>
            <w:tcW w:w="1075" w:type="dxa"/>
            <w:tcBorders>
              <w:top w:val="single" w:sz="4" w:space="0" w:color="auto"/>
              <w:left w:val="single" w:sz="4" w:space="0" w:color="auto"/>
              <w:bottom w:val="single" w:sz="4" w:space="0" w:color="auto"/>
              <w:right w:val="single" w:sz="8" w:space="0" w:color="auto"/>
            </w:tcBorders>
            <w:tcMar>
              <w:top w:w="0" w:type="dxa"/>
              <w:left w:w="70" w:type="dxa"/>
              <w:bottom w:w="0" w:type="dxa"/>
              <w:right w:w="70" w:type="dxa"/>
            </w:tcMar>
            <w:hideMark/>
          </w:tcPr>
          <w:p w14:paraId="1D214103" w14:textId="77777777" w:rsidR="003B280C" w:rsidRPr="006B6D61" w:rsidRDefault="003B280C" w:rsidP="00284B05">
            <w:pPr>
              <w:spacing w:after="0" w:line="252" w:lineRule="auto"/>
              <w:jc w:val="center"/>
              <w:rPr>
                <w:rFonts w:eastAsia="Calibri" w:cstheme="minorHAnsi"/>
                <w:sz w:val="20"/>
                <w:szCs w:val="20"/>
              </w:rPr>
            </w:pPr>
            <w:r w:rsidRPr="006B6D61">
              <w:rPr>
                <w:rFonts w:eastAsia="Calibri" w:cstheme="minorHAnsi"/>
                <w:sz w:val="20"/>
                <w:szCs w:val="20"/>
              </w:rPr>
              <w:t>5/1</w:t>
            </w:r>
          </w:p>
        </w:tc>
      </w:tr>
      <w:tr w:rsidR="002B781F" w:rsidRPr="0044012B" w14:paraId="5746ECA2" w14:textId="77777777" w:rsidTr="006B6D61">
        <w:trPr>
          <w:trHeight w:val="320"/>
          <w:tblHeader/>
        </w:trPr>
        <w:tc>
          <w:tcPr>
            <w:tcW w:w="217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hideMark/>
          </w:tcPr>
          <w:p w14:paraId="4EFC73F5" w14:textId="77777777" w:rsidR="003B280C" w:rsidRPr="0077128B" w:rsidRDefault="003B280C" w:rsidP="00284B05">
            <w:pPr>
              <w:spacing w:before="40" w:after="40" w:line="252" w:lineRule="auto"/>
              <w:jc w:val="both"/>
              <w:rPr>
                <w:rFonts w:eastAsia="Calibri" w:cstheme="minorHAnsi"/>
                <w:b/>
                <w:bCs/>
                <w:color w:val="FF0000"/>
                <w:sz w:val="20"/>
                <w:szCs w:val="20"/>
              </w:rPr>
            </w:pPr>
            <w:r w:rsidRPr="006B6D61">
              <w:rPr>
                <w:rFonts w:eastAsia="Calibri" w:cstheme="minorHAnsi"/>
                <w:b/>
                <w:sz w:val="20"/>
                <w:szCs w:val="20"/>
              </w:rPr>
              <w:t>Výdaje celkem (v tom:)</w:t>
            </w:r>
          </w:p>
        </w:tc>
        <w:tc>
          <w:tcPr>
            <w:tcW w:w="11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45F95FB6" w14:textId="699067BB" w:rsidR="003B280C" w:rsidRPr="002F1BE7" w:rsidRDefault="0028446B"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4</w:t>
            </w:r>
            <w:r w:rsidR="003F5C9A" w:rsidRPr="006B6D61">
              <w:rPr>
                <w:rFonts w:eastAsia="Calibri" w:cstheme="minorHAnsi"/>
                <w:b/>
                <w:bCs/>
                <w:sz w:val="20"/>
                <w:szCs w:val="20"/>
              </w:rPr>
              <w:t>0 936</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0AD99D91" w14:textId="63526B09" w:rsidR="003B280C" w:rsidRPr="002F1BE7" w:rsidRDefault="001E34FF"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4</w:t>
            </w:r>
            <w:r w:rsidR="00660652" w:rsidRPr="006B6D61">
              <w:rPr>
                <w:rFonts w:eastAsia="Calibri" w:cstheme="minorHAnsi"/>
                <w:b/>
                <w:bCs/>
                <w:sz w:val="20"/>
                <w:szCs w:val="20"/>
              </w:rPr>
              <w:t>1 472</w:t>
            </w:r>
          </w:p>
        </w:tc>
        <w:tc>
          <w:tcPr>
            <w:tcW w:w="12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597E6BFC" w14:textId="6BE134F3" w:rsidR="003B280C" w:rsidRPr="002F1BE7" w:rsidRDefault="00660652"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41 472</w:t>
            </w:r>
          </w:p>
        </w:tc>
        <w:tc>
          <w:tcPr>
            <w:tcW w:w="10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hideMark/>
          </w:tcPr>
          <w:p w14:paraId="6201981C" w14:textId="39B931B5" w:rsidR="003B280C" w:rsidRPr="002F1BE7" w:rsidRDefault="00424088"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47 270</w:t>
            </w:r>
          </w:p>
        </w:tc>
        <w:tc>
          <w:tcPr>
            <w:tcW w:w="114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23543C9" w14:textId="10B4C818" w:rsidR="003B280C" w:rsidRPr="002F1BE7" w:rsidRDefault="00424088"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45 617</w:t>
            </w:r>
          </w:p>
        </w:tc>
        <w:tc>
          <w:tcPr>
            <w:tcW w:w="1075" w:type="dxa"/>
            <w:tcBorders>
              <w:top w:val="single" w:sz="4" w:space="0" w:color="auto"/>
              <w:left w:val="single" w:sz="4" w:space="0" w:color="auto"/>
              <w:bottom w:val="single" w:sz="4" w:space="0" w:color="auto"/>
              <w:right w:val="single" w:sz="8" w:space="0" w:color="auto"/>
            </w:tcBorders>
            <w:shd w:val="clear" w:color="auto" w:fill="D9D9D9" w:themeFill="background1" w:themeFillShade="D9"/>
            <w:tcMar>
              <w:top w:w="0" w:type="dxa"/>
              <w:left w:w="70" w:type="dxa"/>
              <w:bottom w:w="0" w:type="dxa"/>
              <w:right w:w="70" w:type="dxa"/>
            </w:tcMar>
            <w:vAlign w:val="center"/>
            <w:hideMark/>
          </w:tcPr>
          <w:p w14:paraId="00765927" w14:textId="026D044F" w:rsidR="003B280C" w:rsidRPr="002F1BE7" w:rsidRDefault="00526E91"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111,4</w:t>
            </w:r>
          </w:p>
        </w:tc>
      </w:tr>
      <w:tr w:rsidR="002F1BE7" w:rsidRPr="0044012B" w14:paraId="4F176573" w14:textId="77777777" w:rsidTr="006B6D61">
        <w:trPr>
          <w:trHeight w:val="320"/>
          <w:tblHeader/>
        </w:trPr>
        <w:tc>
          <w:tcPr>
            <w:tcW w:w="2178" w:type="dxa"/>
            <w:tcBorders>
              <w:top w:val="single" w:sz="4" w:space="0" w:color="auto"/>
              <w:left w:val="single" w:sz="4" w:space="0" w:color="auto"/>
              <w:bottom w:val="nil"/>
              <w:right w:val="single" w:sz="4" w:space="0" w:color="auto"/>
            </w:tcBorders>
            <w:tcMar>
              <w:top w:w="0" w:type="dxa"/>
              <w:left w:w="70" w:type="dxa"/>
              <w:bottom w:w="0" w:type="dxa"/>
              <w:right w:w="70" w:type="dxa"/>
            </w:tcMar>
            <w:hideMark/>
          </w:tcPr>
          <w:p w14:paraId="7071F964" w14:textId="563D6BD3" w:rsidR="003B280C" w:rsidRPr="006B6D61" w:rsidRDefault="003B280C" w:rsidP="00BA4E5A">
            <w:pPr>
              <w:spacing w:before="81" w:after="0" w:line="252" w:lineRule="auto"/>
              <w:jc w:val="both"/>
              <w:rPr>
                <w:rFonts w:eastAsia="Calibri" w:cstheme="minorHAnsi"/>
                <w:sz w:val="20"/>
                <w:szCs w:val="20"/>
              </w:rPr>
            </w:pPr>
            <w:r w:rsidRPr="006B6D61">
              <w:rPr>
                <w:rFonts w:eastAsia="Calibri" w:cstheme="minorHAnsi"/>
                <w:b/>
                <w:sz w:val="20"/>
                <w:szCs w:val="20"/>
              </w:rPr>
              <w:t>Běžné výdaje</w:t>
            </w:r>
            <w:r w:rsidR="00811EC1" w:rsidRPr="006B6D61">
              <w:rPr>
                <w:rFonts w:eastAsia="Calibri" w:cstheme="minorHAnsi"/>
                <w:sz w:val="20"/>
                <w:szCs w:val="20"/>
              </w:rPr>
              <w:t xml:space="preserve"> (</w:t>
            </w:r>
            <w:r w:rsidRPr="006B6D61">
              <w:rPr>
                <w:rFonts w:eastAsia="Calibri" w:cstheme="minorHAnsi"/>
                <w:sz w:val="20"/>
                <w:szCs w:val="20"/>
              </w:rPr>
              <w:t>v tom:</w:t>
            </w:r>
            <w:r w:rsidR="00811EC1" w:rsidRPr="006B6D61">
              <w:rPr>
                <w:rFonts w:eastAsia="Calibri" w:cstheme="minorHAnsi"/>
                <w:sz w:val="20"/>
                <w:szCs w:val="20"/>
              </w:rPr>
              <w:t>)</w:t>
            </w:r>
          </w:p>
        </w:tc>
        <w:tc>
          <w:tcPr>
            <w:tcW w:w="1116"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5F79737A" w14:textId="2B4AF808" w:rsidR="003B280C" w:rsidRPr="0077128B" w:rsidRDefault="00042422">
            <w:pPr>
              <w:spacing w:after="0" w:line="252" w:lineRule="auto"/>
              <w:jc w:val="right"/>
              <w:rPr>
                <w:rFonts w:eastAsia="Calibri" w:cstheme="minorHAnsi"/>
                <w:b/>
                <w:bCs/>
                <w:color w:val="FF0000"/>
                <w:sz w:val="20"/>
                <w:szCs w:val="20"/>
              </w:rPr>
            </w:pPr>
            <w:r w:rsidRPr="006B6D61">
              <w:rPr>
                <w:rFonts w:cstheme="minorHAnsi"/>
                <w:b/>
                <w:sz w:val="20"/>
                <w:szCs w:val="20"/>
              </w:rPr>
              <w:t>39 839</w:t>
            </w:r>
          </w:p>
        </w:tc>
        <w:tc>
          <w:tcPr>
            <w:tcW w:w="116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514FFCCA" w14:textId="761A20A0" w:rsidR="003B280C" w:rsidRPr="006B6D61" w:rsidRDefault="00D57DA2" w:rsidP="00284B05">
            <w:pPr>
              <w:spacing w:after="0" w:line="252" w:lineRule="auto"/>
              <w:jc w:val="right"/>
              <w:rPr>
                <w:rFonts w:eastAsia="Calibri" w:cstheme="minorHAnsi"/>
                <w:b/>
                <w:sz w:val="20"/>
                <w:szCs w:val="20"/>
              </w:rPr>
            </w:pPr>
            <w:r w:rsidRPr="006B6D61">
              <w:rPr>
                <w:b/>
                <w:sz w:val="20"/>
                <w:szCs w:val="20"/>
              </w:rPr>
              <w:t>41 472</w:t>
            </w:r>
          </w:p>
        </w:tc>
        <w:tc>
          <w:tcPr>
            <w:tcW w:w="126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04A1B9B0" w14:textId="6362832C" w:rsidR="003B280C" w:rsidRPr="006B6D61" w:rsidRDefault="00D57DA2" w:rsidP="00284B05">
            <w:pPr>
              <w:spacing w:after="0" w:line="252" w:lineRule="auto"/>
              <w:jc w:val="right"/>
              <w:rPr>
                <w:rFonts w:eastAsia="Calibri" w:cstheme="minorHAnsi"/>
                <w:b/>
                <w:sz w:val="20"/>
                <w:szCs w:val="20"/>
              </w:rPr>
            </w:pPr>
            <w:r w:rsidRPr="006B6D61">
              <w:rPr>
                <w:b/>
                <w:sz w:val="20"/>
                <w:szCs w:val="20"/>
              </w:rPr>
              <w:t>41 472</w:t>
            </w:r>
          </w:p>
        </w:tc>
        <w:tc>
          <w:tcPr>
            <w:tcW w:w="106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4B5D426B" w14:textId="57E3AC5A" w:rsidR="003B280C" w:rsidRPr="006B6D61" w:rsidRDefault="00284B05" w:rsidP="00284B05">
            <w:pPr>
              <w:spacing w:after="0" w:line="252" w:lineRule="auto"/>
              <w:jc w:val="right"/>
              <w:rPr>
                <w:rFonts w:eastAsia="Calibri" w:cstheme="minorHAnsi"/>
                <w:b/>
                <w:sz w:val="20"/>
                <w:szCs w:val="20"/>
              </w:rPr>
            </w:pPr>
            <w:r w:rsidRPr="006B6D61">
              <w:rPr>
                <w:rFonts w:eastAsia="Calibri" w:cstheme="minorHAnsi"/>
                <w:b/>
                <w:bCs/>
                <w:sz w:val="20"/>
                <w:szCs w:val="20"/>
              </w:rPr>
              <w:t>4</w:t>
            </w:r>
            <w:r w:rsidR="0017343E" w:rsidRPr="006B6D61">
              <w:rPr>
                <w:rFonts w:eastAsia="Calibri" w:cstheme="minorHAnsi"/>
                <w:b/>
                <w:bCs/>
                <w:sz w:val="20"/>
                <w:szCs w:val="20"/>
              </w:rPr>
              <w:t>5 826</w:t>
            </w:r>
          </w:p>
        </w:tc>
        <w:tc>
          <w:tcPr>
            <w:tcW w:w="1141"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53C9E686" w14:textId="5457E45E" w:rsidR="003B280C" w:rsidRPr="0077128B" w:rsidRDefault="006D53F1" w:rsidP="00284B05">
            <w:pPr>
              <w:spacing w:after="0" w:line="252" w:lineRule="auto"/>
              <w:jc w:val="right"/>
              <w:rPr>
                <w:rFonts w:eastAsia="Calibri" w:cstheme="minorHAnsi"/>
                <w:b/>
                <w:bCs/>
                <w:color w:val="FF0000"/>
                <w:sz w:val="20"/>
                <w:szCs w:val="20"/>
              </w:rPr>
            </w:pPr>
            <w:r w:rsidRPr="006B6D61">
              <w:rPr>
                <w:rFonts w:eastAsia="Calibri" w:cstheme="minorHAnsi"/>
                <w:b/>
                <w:bCs/>
                <w:sz w:val="20"/>
                <w:szCs w:val="20"/>
              </w:rPr>
              <w:t>44 173</w:t>
            </w:r>
          </w:p>
        </w:tc>
        <w:tc>
          <w:tcPr>
            <w:tcW w:w="1075" w:type="dxa"/>
            <w:tcBorders>
              <w:top w:val="single" w:sz="4" w:space="0" w:color="auto"/>
              <w:left w:val="single" w:sz="4" w:space="0" w:color="auto"/>
              <w:bottom w:val="nil"/>
              <w:right w:val="single" w:sz="8" w:space="0" w:color="auto"/>
            </w:tcBorders>
            <w:tcMar>
              <w:top w:w="0" w:type="dxa"/>
              <w:left w:w="70" w:type="dxa"/>
              <w:bottom w:w="0" w:type="dxa"/>
              <w:right w:w="70" w:type="dxa"/>
            </w:tcMar>
            <w:vAlign w:val="center"/>
          </w:tcPr>
          <w:p w14:paraId="039D92DA" w14:textId="4AE0C4A9" w:rsidR="003B280C" w:rsidRPr="0077128B" w:rsidRDefault="000056F5" w:rsidP="00284B05">
            <w:pPr>
              <w:spacing w:after="0" w:line="252" w:lineRule="auto"/>
              <w:jc w:val="right"/>
              <w:rPr>
                <w:rFonts w:eastAsia="Calibri" w:cstheme="minorHAnsi"/>
                <w:b/>
                <w:color w:val="FF0000"/>
                <w:sz w:val="20"/>
                <w:szCs w:val="20"/>
              </w:rPr>
            </w:pPr>
            <w:r w:rsidRPr="006B6D61">
              <w:rPr>
                <w:b/>
                <w:sz w:val="20"/>
                <w:szCs w:val="20"/>
              </w:rPr>
              <w:t>110,</w:t>
            </w:r>
            <w:r w:rsidR="003C4A19">
              <w:rPr>
                <w:b/>
                <w:sz w:val="20"/>
                <w:szCs w:val="20"/>
              </w:rPr>
              <w:t>9</w:t>
            </w:r>
          </w:p>
        </w:tc>
      </w:tr>
      <w:tr w:rsidR="002F1BE7" w:rsidRPr="0044012B" w14:paraId="0C4BDF09"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4F9BC5B7" w14:textId="77777777" w:rsidR="003B280C" w:rsidRPr="006B6D61" w:rsidRDefault="003B280C" w:rsidP="003F0A7C">
            <w:pPr>
              <w:spacing w:after="0" w:line="252" w:lineRule="auto"/>
              <w:rPr>
                <w:rFonts w:eastAsia="Calibri" w:cstheme="minorHAnsi"/>
                <w:sz w:val="20"/>
                <w:szCs w:val="20"/>
              </w:rPr>
            </w:pPr>
            <w:r w:rsidRPr="006B6D61">
              <w:rPr>
                <w:rFonts w:cstheme="minorHAnsi"/>
                <w:sz w:val="20"/>
                <w:szCs w:val="20"/>
              </w:rPr>
              <w:t>platy zaměstnanců a ostatní platby za provedenou práci</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25FCEEA0" w14:textId="2BE5716B" w:rsidR="003B280C" w:rsidRPr="002F1BE7" w:rsidRDefault="00042422">
            <w:pPr>
              <w:spacing w:after="0" w:line="252" w:lineRule="auto"/>
              <w:jc w:val="right"/>
              <w:rPr>
                <w:rFonts w:eastAsia="Calibri" w:cstheme="minorHAnsi"/>
                <w:color w:val="FF0000"/>
                <w:sz w:val="20"/>
                <w:szCs w:val="20"/>
              </w:rPr>
            </w:pPr>
            <w:r w:rsidRPr="006B6D61">
              <w:rPr>
                <w:rFonts w:cstheme="minorHAnsi"/>
                <w:sz w:val="20"/>
                <w:szCs w:val="20"/>
              </w:rPr>
              <w:t>23 519</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735B2E3D" w14:textId="1C3CF089" w:rsidR="003B280C" w:rsidRPr="006B6D61" w:rsidRDefault="0074284F" w:rsidP="00284B05">
            <w:pPr>
              <w:spacing w:after="0" w:line="252" w:lineRule="auto"/>
              <w:jc w:val="right"/>
              <w:rPr>
                <w:rFonts w:eastAsia="Calibri" w:cstheme="minorHAnsi"/>
                <w:sz w:val="20"/>
                <w:szCs w:val="20"/>
              </w:rPr>
            </w:pPr>
            <w:r w:rsidRPr="006B6D61">
              <w:rPr>
                <w:sz w:val="20"/>
                <w:szCs w:val="20"/>
              </w:rPr>
              <w:t xml:space="preserve">23 </w:t>
            </w:r>
            <w:r w:rsidR="00D57DA2" w:rsidRPr="006B6D61">
              <w:rPr>
                <w:sz w:val="20"/>
                <w:szCs w:val="20"/>
              </w:rPr>
              <w:t>562</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0C09CA42" w14:textId="2276AD92" w:rsidR="003B280C" w:rsidRPr="006B6D61" w:rsidRDefault="0074284F" w:rsidP="00284B05">
            <w:pPr>
              <w:spacing w:after="0" w:line="252" w:lineRule="auto"/>
              <w:jc w:val="right"/>
              <w:rPr>
                <w:rFonts w:eastAsia="Calibri" w:cstheme="minorHAnsi"/>
                <w:sz w:val="20"/>
                <w:szCs w:val="20"/>
              </w:rPr>
            </w:pPr>
            <w:r w:rsidRPr="006B6D61">
              <w:rPr>
                <w:rFonts w:eastAsia="Calibri" w:cstheme="minorHAnsi"/>
                <w:sz w:val="20"/>
                <w:szCs w:val="20"/>
              </w:rPr>
              <w:t>2</w:t>
            </w:r>
            <w:r w:rsidR="00D57DA2" w:rsidRPr="006B6D61">
              <w:rPr>
                <w:rFonts w:eastAsia="Calibri" w:cstheme="minorHAnsi"/>
                <w:sz w:val="20"/>
                <w:szCs w:val="20"/>
              </w:rPr>
              <w:t>3 562</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6EA0EF42" w14:textId="3DED8C63" w:rsidR="003B280C" w:rsidRPr="006B6D61" w:rsidRDefault="0074284F" w:rsidP="00284B05">
            <w:pPr>
              <w:spacing w:after="0" w:line="252" w:lineRule="auto"/>
              <w:jc w:val="right"/>
              <w:rPr>
                <w:rFonts w:eastAsia="Calibri" w:cstheme="minorHAnsi"/>
                <w:sz w:val="20"/>
                <w:szCs w:val="20"/>
              </w:rPr>
            </w:pPr>
            <w:r w:rsidRPr="006B6D61">
              <w:rPr>
                <w:rFonts w:eastAsia="Calibri" w:cstheme="minorHAnsi"/>
                <w:sz w:val="20"/>
                <w:szCs w:val="20"/>
              </w:rPr>
              <w:t xml:space="preserve">23 </w:t>
            </w:r>
            <w:r w:rsidR="00EF2CBC" w:rsidRPr="006B6D61">
              <w:rPr>
                <w:rFonts w:eastAsia="Calibri" w:cstheme="minorHAnsi"/>
                <w:sz w:val="20"/>
                <w:szCs w:val="20"/>
              </w:rPr>
              <w:t>469</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2F07BA67" w14:textId="5D2F7D57" w:rsidR="003B280C" w:rsidRPr="002F1BE7" w:rsidRDefault="0074284F" w:rsidP="00284B05">
            <w:pPr>
              <w:spacing w:after="0" w:line="252" w:lineRule="auto"/>
              <w:jc w:val="right"/>
              <w:rPr>
                <w:rFonts w:eastAsia="Calibri" w:cstheme="minorHAnsi"/>
                <w:color w:val="FF0000"/>
                <w:sz w:val="20"/>
                <w:szCs w:val="20"/>
              </w:rPr>
            </w:pPr>
            <w:r w:rsidRPr="006B6D61">
              <w:rPr>
                <w:rFonts w:eastAsia="Calibri" w:cstheme="minorHAnsi"/>
                <w:sz w:val="20"/>
                <w:szCs w:val="20"/>
              </w:rPr>
              <w:t xml:space="preserve">23 </w:t>
            </w:r>
            <w:r w:rsidR="00F12F99" w:rsidRPr="006B6D61">
              <w:rPr>
                <w:rFonts w:eastAsia="Calibri" w:cstheme="minorHAnsi"/>
                <w:sz w:val="20"/>
                <w:szCs w:val="20"/>
              </w:rPr>
              <w:t>465</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5686CBF8" w14:textId="4BFC92B8" w:rsidR="003B280C" w:rsidRPr="002F1BE7" w:rsidRDefault="00076557" w:rsidP="00284B05">
            <w:pPr>
              <w:spacing w:after="0" w:line="252" w:lineRule="auto"/>
              <w:jc w:val="right"/>
              <w:rPr>
                <w:rFonts w:eastAsia="Calibri" w:cstheme="minorHAnsi"/>
                <w:color w:val="FF0000"/>
                <w:sz w:val="20"/>
                <w:szCs w:val="20"/>
              </w:rPr>
            </w:pPr>
            <w:r w:rsidRPr="006B6D61">
              <w:rPr>
                <w:sz w:val="20"/>
                <w:szCs w:val="20"/>
              </w:rPr>
              <w:t>9</w:t>
            </w:r>
            <w:r w:rsidR="000056F5" w:rsidRPr="006B6D61">
              <w:rPr>
                <w:sz w:val="20"/>
                <w:szCs w:val="20"/>
              </w:rPr>
              <w:t>9,</w:t>
            </w:r>
            <w:r w:rsidR="003C4A19">
              <w:rPr>
                <w:sz w:val="20"/>
                <w:szCs w:val="20"/>
              </w:rPr>
              <w:t>8</w:t>
            </w:r>
          </w:p>
        </w:tc>
      </w:tr>
      <w:tr w:rsidR="002F1BE7" w:rsidRPr="0044012B" w14:paraId="02EE4367" w14:textId="77777777" w:rsidTr="006B6D61">
        <w:trPr>
          <w:trHeight w:val="23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55B80BFF"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10B12A87" w14:textId="06E30CAB" w:rsidR="003B280C" w:rsidRPr="002F1BE7" w:rsidRDefault="007F504F" w:rsidP="00284B05">
            <w:pPr>
              <w:spacing w:after="0" w:line="252" w:lineRule="auto"/>
              <w:jc w:val="right"/>
              <w:rPr>
                <w:rFonts w:eastAsia="Calibri" w:cstheme="minorHAnsi"/>
                <w:i/>
                <w:color w:val="FF0000"/>
                <w:sz w:val="20"/>
                <w:szCs w:val="20"/>
              </w:rPr>
            </w:pPr>
            <w:r w:rsidRPr="006B6D61">
              <w:rPr>
                <w:rFonts w:cstheme="minorHAnsi"/>
                <w:i/>
                <w:sz w:val="20"/>
                <w:szCs w:val="20"/>
              </w:rPr>
              <w:t>1 478</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77B93E4D" w14:textId="485E8848"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18981832" w14:textId="6D9EFCDB"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1DE4F255" w14:textId="07576170" w:rsidR="003B280C" w:rsidRPr="002F1BE7" w:rsidRDefault="00D333EB" w:rsidP="00284B05">
            <w:pPr>
              <w:spacing w:after="0" w:line="252" w:lineRule="auto"/>
              <w:jc w:val="right"/>
              <w:rPr>
                <w:rFonts w:eastAsia="Calibri" w:cstheme="minorHAnsi"/>
                <w:i/>
                <w:color w:val="FF0000"/>
                <w:sz w:val="20"/>
                <w:szCs w:val="20"/>
              </w:rPr>
            </w:pPr>
            <w:r w:rsidRPr="006B6D61">
              <w:rPr>
                <w:rFonts w:eastAsia="Calibri" w:cstheme="minorHAnsi"/>
                <w:i/>
                <w:sz w:val="20"/>
                <w:szCs w:val="20"/>
              </w:rPr>
              <w:t>430</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73317B3F" w14:textId="3E41AD2D" w:rsidR="003B280C" w:rsidRPr="006B6D61" w:rsidRDefault="000673B0" w:rsidP="00284B05">
            <w:pPr>
              <w:spacing w:after="0" w:line="252" w:lineRule="auto"/>
              <w:jc w:val="right"/>
              <w:rPr>
                <w:rFonts w:eastAsia="Calibri" w:cstheme="minorHAnsi"/>
                <w:i/>
                <w:sz w:val="20"/>
                <w:szCs w:val="20"/>
              </w:rPr>
            </w:pPr>
            <w:r w:rsidRPr="006B6D61">
              <w:rPr>
                <w:rFonts w:eastAsia="Calibri" w:cstheme="minorHAnsi"/>
                <w:i/>
                <w:sz w:val="20"/>
                <w:szCs w:val="20"/>
              </w:rPr>
              <w:t>430</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4C520DF5" w14:textId="789D669E" w:rsidR="003B280C" w:rsidRPr="002F1BE7" w:rsidRDefault="000056F5" w:rsidP="00284B05">
            <w:pPr>
              <w:spacing w:after="0" w:line="252" w:lineRule="auto"/>
              <w:jc w:val="right"/>
              <w:rPr>
                <w:rFonts w:eastAsia="Calibri" w:cstheme="minorHAnsi"/>
                <w:i/>
                <w:color w:val="FF0000"/>
                <w:sz w:val="20"/>
                <w:szCs w:val="20"/>
              </w:rPr>
            </w:pPr>
            <w:r w:rsidRPr="006B6D61">
              <w:rPr>
                <w:i/>
                <w:sz w:val="20"/>
                <w:szCs w:val="20"/>
              </w:rPr>
              <w:t>29,</w:t>
            </w:r>
            <w:r w:rsidR="003C4A19">
              <w:rPr>
                <w:i/>
                <w:sz w:val="20"/>
                <w:szCs w:val="20"/>
              </w:rPr>
              <w:t>1</w:t>
            </w:r>
          </w:p>
        </w:tc>
      </w:tr>
      <w:tr w:rsidR="002F1BE7" w:rsidRPr="0044012B" w14:paraId="0037258D"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099C8044"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v tom: ze SR</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53F16CDF" w14:textId="6C0A890D" w:rsidR="003B280C" w:rsidRPr="002F1BE7" w:rsidRDefault="007F504F" w:rsidP="00284B05">
            <w:pPr>
              <w:spacing w:after="0" w:line="252" w:lineRule="auto"/>
              <w:jc w:val="right"/>
              <w:rPr>
                <w:rFonts w:eastAsia="Calibri" w:cstheme="minorHAnsi"/>
                <w:i/>
                <w:color w:val="FF0000"/>
                <w:sz w:val="20"/>
                <w:szCs w:val="20"/>
              </w:rPr>
            </w:pPr>
            <w:r w:rsidRPr="006B6D61">
              <w:rPr>
                <w:rFonts w:cstheme="minorHAnsi"/>
                <w:i/>
                <w:sz w:val="20"/>
                <w:szCs w:val="20"/>
              </w:rPr>
              <w:t>283</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6FEA925F" w14:textId="6B38A4D1"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14FE4299" w14:textId="7717D1BF"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794D9343" w14:textId="67D674E9" w:rsidR="003B280C" w:rsidRPr="006B6D61" w:rsidRDefault="00A6261E" w:rsidP="00284B05">
            <w:pPr>
              <w:spacing w:after="0" w:line="252" w:lineRule="auto"/>
              <w:jc w:val="right"/>
              <w:rPr>
                <w:rFonts w:eastAsia="Calibri" w:cstheme="minorHAnsi"/>
                <w:i/>
                <w:sz w:val="20"/>
                <w:szCs w:val="20"/>
              </w:rPr>
            </w:pPr>
            <w:r w:rsidRPr="006B6D61">
              <w:rPr>
                <w:rFonts w:eastAsia="Calibri" w:cstheme="minorHAnsi"/>
                <w:i/>
                <w:sz w:val="20"/>
                <w:szCs w:val="20"/>
              </w:rPr>
              <w:t>82</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30176D92" w14:textId="294FF779" w:rsidR="003B280C" w:rsidRPr="006B6D61" w:rsidRDefault="000673B0" w:rsidP="00284B05">
            <w:pPr>
              <w:spacing w:after="0" w:line="252" w:lineRule="auto"/>
              <w:jc w:val="right"/>
              <w:rPr>
                <w:rFonts w:eastAsia="Calibri" w:cstheme="minorHAnsi"/>
                <w:i/>
                <w:sz w:val="20"/>
                <w:szCs w:val="20"/>
              </w:rPr>
            </w:pPr>
            <w:r w:rsidRPr="006B6D61">
              <w:rPr>
                <w:rFonts w:eastAsia="Calibri" w:cstheme="minorHAnsi"/>
                <w:i/>
                <w:sz w:val="20"/>
                <w:szCs w:val="20"/>
              </w:rPr>
              <w:t>82</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0DD35A2D" w14:textId="7BD594DA" w:rsidR="003B280C" w:rsidRPr="0077128B" w:rsidRDefault="00C3623E" w:rsidP="00284B05">
            <w:pPr>
              <w:spacing w:after="0" w:line="252" w:lineRule="auto"/>
              <w:jc w:val="right"/>
              <w:rPr>
                <w:rFonts w:eastAsia="Calibri" w:cstheme="minorHAnsi"/>
                <w:i/>
                <w:color w:val="FF0000"/>
                <w:sz w:val="20"/>
                <w:szCs w:val="20"/>
              </w:rPr>
            </w:pPr>
            <w:r w:rsidRPr="006B6D61">
              <w:rPr>
                <w:i/>
                <w:sz w:val="20"/>
                <w:szCs w:val="20"/>
              </w:rPr>
              <w:t>29,0</w:t>
            </w:r>
          </w:p>
        </w:tc>
      </w:tr>
      <w:tr w:rsidR="002F1BE7" w:rsidRPr="0044012B" w14:paraId="1BF8FEE2"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5EA84459" w14:textId="38C7AF8B" w:rsidR="003B280C" w:rsidRPr="006B6D61" w:rsidRDefault="00EA3686" w:rsidP="00D3010F">
            <w:pPr>
              <w:spacing w:after="0" w:line="252" w:lineRule="auto"/>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3B280C" w:rsidRPr="006B6D61">
              <w:rPr>
                <w:rFonts w:cstheme="minorHAnsi"/>
                <w:i/>
                <w:sz w:val="20"/>
                <w:szCs w:val="20"/>
              </w:rPr>
              <w:t>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7852F807" w14:textId="4BBC5C5E" w:rsidR="003B280C" w:rsidRPr="002F1BE7" w:rsidRDefault="007D0567" w:rsidP="00284B05">
            <w:pPr>
              <w:spacing w:after="0" w:line="252" w:lineRule="auto"/>
              <w:jc w:val="right"/>
              <w:rPr>
                <w:rFonts w:eastAsia="Calibri" w:cstheme="minorHAnsi"/>
                <w:i/>
                <w:color w:val="FF0000"/>
                <w:sz w:val="20"/>
                <w:szCs w:val="20"/>
              </w:rPr>
            </w:pPr>
            <w:r w:rsidRPr="006B6D61">
              <w:rPr>
                <w:rFonts w:cstheme="minorHAnsi"/>
                <w:i/>
                <w:sz w:val="20"/>
                <w:szCs w:val="20"/>
              </w:rPr>
              <w:t>1 195</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220209C6" w14:textId="14304EA7"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433DB3B1" w14:textId="1C46219B"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31236112" w14:textId="4983EEFB" w:rsidR="003B280C" w:rsidRPr="006B6D61" w:rsidRDefault="00A6261E" w:rsidP="00284B05">
            <w:pPr>
              <w:spacing w:after="0" w:line="252" w:lineRule="auto"/>
              <w:jc w:val="right"/>
              <w:rPr>
                <w:rFonts w:eastAsia="Calibri" w:cstheme="minorHAnsi"/>
                <w:i/>
                <w:sz w:val="20"/>
                <w:szCs w:val="20"/>
              </w:rPr>
            </w:pPr>
            <w:r w:rsidRPr="006B6D61">
              <w:rPr>
                <w:rFonts w:eastAsia="Calibri" w:cstheme="minorHAnsi"/>
                <w:i/>
                <w:sz w:val="20"/>
                <w:szCs w:val="20"/>
              </w:rPr>
              <w:t>348</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354FCC3A" w14:textId="6573EB72" w:rsidR="003B280C" w:rsidRPr="006B6D61" w:rsidRDefault="000673B0" w:rsidP="00284B05">
            <w:pPr>
              <w:spacing w:after="0" w:line="252" w:lineRule="auto"/>
              <w:jc w:val="right"/>
              <w:rPr>
                <w:rFonts w:eastAsia="Calibri" w:cstheme="minorHAnsi"/>
                <w:i/>
                <w:sz w:val="20"/>
                <w:szCs w:val="20"/>
              </w:rPr>
            </w:pPr>
            <w:r w:rsidRPr="006B6D61">
              <w:rPr>
                <w:rFonts w:eastAsia="Calibri" w:cstheme="minorHAnsi"/>
                <w:i/>
                <w:sz w:val="20"/>
                <w:szCs w:val="20"/>
              </w:rPr>
              <w:t>348</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515A9AFF" w14:textId="2B1C7392" w:rsidR="003B280C" w:rsidRPr="002F1BE7" w:rsidRDefault="00C3623E" w:rsidP="00284B05">
            <w:pPr>
              <w:spacing w:after="0" w:line="252" w:lineRule="auto"/>
              <w:jc w:val="right"/>
              <w:rPr>
                <w:rFonts w:eastAsia="Calibri" w:cstheme="minorHAnsi"/>
                <w:i/>
                <w:color w:val="FF0000"/>
                <w:sz w:val="20"/>
                <w:szCs w:val="20"/>
              </w:rPr>
            </w:pPr>
            <w:r w:rsidRPr="006B6D61">
              <w:rPr>
                <w:i/>
                <w:sz w:val="20"/>
                <w:szCs w:val="20"/>
              </w:rPr>
              <w:t>29,1</w:t>
            </w:r>
          </w:p>
        </w:tc>
      </w:tr>
      <w:tr w:rsidR="002F1BE7" w:rsidRPr="0044012B" w14:paraId="30BB2CDB"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3A56DA33" w14:textId="77777777" w:rsidR="003B280C" w:rsidRPr="006B6D61" w:rsidRDefault="003B280C" w:rsidP="003F0A7C">
            <w:pPr>
              <w:spacing w:after="0" w:line="252" w:lineRule="auto"/>
              <w:rPr>
                <w:rFonts w:eastAsia="Calibri" w:cstheme="minorHAnsi"/>
                <w:sz w:val="20"/>
                <w:szCs w:val="20"/>
              </w:rPr>
            </w:pPr>
            <w:r w:rsidRPr="006B6D61">
              <w:rPr>
                <w:rFonts w:cstheme="minorHAnsi"/>
                <w:sz w:val="20"/>
                <w:szCs w:val="20"/>
              </w:rPr>
              <w:t>povinné pojistné placené zaměstnavatelem</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30FDB5EA" w14:textId="7D8A64E1" w:rsidR="003B280C" w:rsidRPr="002F1BE7" w:rsidRDefault="00A80156" w:rsidP="00284B05">
            <w:pPr>
              <w:spacing w:after="0" w:line="252" w:lineRule="auto"/>
              <w:jc w:val="right"/>
              <w:rPr>
                <w:rFonts w:eastAsia="Calibri" w:cstheme="minorHAnsi"/>
                <w:color w:val="FF0000"/>
                <w:sz w:val="20"/>
                <w:szCs w:val="20"/>
              </w:rPr>
            </w:pPr>
            <w:r w:rsidRPr="006B6D61">
              <w:rPr>
                <w:rFonts w:cstheme="minorHAnsi"/>
                <w:sz w:val="20"/>
                <w:szCs w:val="20"/>
              </w:rPr>
              <w:t xml:space="preserve">7 </w:t>
            </w:r>
            <w:r w:rsidR="00896D4D" w:rsidRPr="006B6D61">
              <w:rPr>
                <w:rFonts w:cstheme="minorHAnsi"/>
                <w:sz w:val="20"/>
                <w:szCs w:val="20"/>
              </w:rPr>
              <w:t>939</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10388E41" w14:textId="414CF876" w:rsidR="003B280C" w:rsidRPr="006B6D61" w:rsidRDefault="0074284F" w:rsidP="00284B05">
            <w:pPr>
              <w:spacing w:after="0" w:line="252" w:lineRule="auto"/>
              <w:jc w:val="right"/>
              <w:rPr>
                <w:rFonts w:eastAsia="Calibri" w:cstheme="minorHAnsi"/>
                <w:sz w:val="20"/>
                <w:szCs w:val="20"/>
              </w:rPr>
            </w:pPr>
            <w:r w:rsidRPr="006B6D61">
              <w:rPr>
                <w:rFonts w:eastAsia="Calibri" w:cstheme="minorHAnsi"/>
                <w:sz w:val="20"/>
                <w:szCs w:val="20"/>
              </w:rPr>
              <w:t>7 9</w:t>
            </w:r>
            <w:r w:rsidR="00D57DA2" w:rsidRPr="006B6D61">
              <w:rPr>
                <w:rFonts w:eastAsia="Calibri" w:cstheme="minorHAnsi"/>
                <w:sz w:val="20"/>
                <w:szCs w:val="20"/>
              </w:rPr>
              <w:t>64</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64B60896" w14:textId="40E48FEC" w:rsidR="003B280C" w:rsidRPr="006B6D61" w:rsidRDefault="00D57DA2" w:rsidP="00284B05">
            <w:pPr>
              <w:spacing w:after="0" w:line="252" w:lineRule="auto"/>
              <w:jc w:val="right"/>
              <w:rPr>
                <w:rFonts w:eastAsia="Calibri" w:cstheme="minorHAnsi"/>
                <w:sz w:val="20"/>
                <w:szCs w:val="20"/>
              </w:rPr>
            </w:pPr>
            <w:r w:rsidRPr="006B6D61">
              <w:rPr>
                <w:rFonts w:eastAsia="Calibri" w:cstheme="minorHAnsi"/>
                <w:sz w:val="20"/>
                <w:szCs w:val="20"/>
              </w:rPr>
              <w:t>7 964</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36744C71" w14:textId="1B722E66" w:rsidR="003B280C" w:rsidRPr="002F1BE7" w:rsidRDefault="00ED6491" w:rsidP="00284B05">
            <w:pPr>
              <w:spacing w:after="0" w:line="252" w:lineRule="auto"/>
              <w:jc w:val="right"/>
              <w:rPr>
                <w:rFonts w:eastAsia="Calibri" w:cstheme="minorHAnsi"/>
                <w:color w:val="FF0000"/>
                <w:sz w:val="20"/>
                <w:szCs w:val="20"/>
              </w:rPr>
            </w:pPr>
            <w:r w:rsidRPr="006B6D61">
              <w:rPr>
                <w:rFonts w:eastAsia="Calibri" w:cstheme="minorHAnsi"/>
                <w:sz w:val="20"/>
                <w:szCs w:val="20"/>
              </w:rPr>
              <w:t>7 933</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26A55EBF" w14:textId="066AB47B" w:rsidR="003B280C" w:rsidRPr="0077128B" w:rsidRDefault="0074284F" w:rsidP="00284B05">
            <w:pPr>
              <w:spacing w:after="0" w:line="252" w:lineRule="auto"/>
              <w:jc w:val="right"/>
              <w:rPr>
                <w:rFonts w:eastAsia="Calibri" w:cstheme="minorHAnsi"/>
                <w:color w:val="FF0000"/>
                <w:sz w:val="20"/>
                <w:szCs w:val="20"/>
              </w:rPr>
            </w:pPr>
            <w:r w:rsidRPr="006B6D61">
              <w:rPr>
                <w:rFonts w:eastAsia="Calibri" w:cstheme="minorHAnsi"/>
                <w:sz w:val="20"/>
                <w:szCs w:val="20"/>
              </w:rPr>
              <w:t>7 9</w:t>
            </w:r>
            <w:r w:rsidR="00907E74" w:rsidRPr="006B6D61">
              <w:rPr>
                <w:rFonts w:eastAsia="Calibri" w:cstheme="minorHAnsi"/>
                <w:sz w:val="20"/>
                <w:szCs w:val="20"/>
              </w:rPr>
              <w:t>33</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31309B1B" w14:textId="469A99B7" w:rsidR="003B280C" w:rsidRPr="002F1BE7" w:rsidRDefault="003B280C" w:rsidP="00284B05">
            <w:pPr>
              <w:spacing w:after="0" w:line="252" w:lineRule="auto"/>
              <w:jc w:val="right"/>
              <w:rPr>
                <w:rFonts w:eastAsia="Calibri" w:cstheme="minorHAnsi"/>
                <w:color w:val="FF0000"/>
                <w:sz w:val="20"/>
                <w:szCs w:val="20"/>
              </w:rPr>
            </w:pPr>
            <w:r w:rsidRPr="006B6D61">
              <w:rPr>
                <w:sz w:val="20"/>
                <w:szCs w:val="20"/>
              </w:rPr>
              <w:t>9</w:t>
            </w:r>
            <w:r w:rsidR="00076557" w:rsidRPr="006B6D61">
              <w:rPr>
                <w:sz w:val="20"/>
                <w:szCs w:val="20"/>
              </w:rPr>
              <w:t>9,</w:t>
            </w:r>
            <w:r w:rsidR="00C3623E" w:rsidRPr="006B6D61">
              <w:rPr>
                <w:sz w:val="20"/>
                <w:szCs w:val="20"/>
              </w:rPr>
              <w:t>9</w:t>
            </w:r>
          </w:p>
        </w:tc>
      </w:tr>
      <w:tr w:rsidR="002F1BE7" w:rsidRPr="0044012B" w14:paraId="0D9E0E26"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17B4A36E"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07EE6C96" w14:textId="3407E2D0" w:rsidR="003B280C" w:rsidRPr="002F1BE7" w:rsidRDefault="006A3C62">
            <w:pPr>
              <w:spacing w:after="0" w:line="252" w:lineRule="auto"/>
              <w:jc w:val="right"/>
              <w:rPr>
                <w:rFonts w:eastAsia="Calibri" w:cstheme="minorHAnsi"/>
                <w:i/>
                <w:color w:val="FF0000"/>
                <w:sz w:val="20"/>
                <w:szCs w:val="20"/>
              </w:rPr>
            </w:pPr>
            <w:r w:rsidRPr="006B6D61">
              <w:rPr>
                <w:rFonts w:cstheme="minorHAnsi"/>
                <w:i/>
                <w:sz w:val="20"/>
                <w:szCs w:val="20"/>
              </w:rPr>
              <w:t>480</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60C85DC1" w14:textId="2D951D88" w:rsidR="003B280C" w:rsidRPr="006B6D61" w:rsidRDefault="005E350F">
            <w:pPr>
              <w:spacing w:after="0" w:line="252" w:lineRule="auto"/>
              <w:jc w:val="right"/>
              <w:rPr>
                <w:rFonts w:eastAsia="Calibri" w:cstheme="minorHAnsi"/>
                <w:i/>
                <w:sz w:val="20"/>
                <w:szCs w:val="20"/>
              </w:rPr>
            </w:pPr>
            <w:r w:rsidRPr="006B6D61">
              <w:rPr>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01C195DA" w14:textId="4C9AA753"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7A9E6C69" w14:textId="6411E87A" w:rsidR="003B280C" w:rsidRPr="002F1BE7" w:rsidRDefault="00EB0FEE" w:rsidP="00284B05">
            <w:pPr>
              <w:spacing w:after="0" w:line="252" w:lineRule="auto"/>
              <w:jc w:val="right"/>
              <w:rPr>
                <w:rFonts w:eastAsia="Calibri" w:cstheme="minorHAnsi"/>
                <w:i/>
                <w:color w:val="FF0000"/>
                <w:sz w:val="20"/>
                <w:szCs w:val="20"/>
              </w:rPr>
            </w:pPr>
            <w:r w:rsidRPr="006B6D61">
              <w:rPr>
                <w:rFonts w:eastAsia="Calibri" w:cstheme="minorHAnsi"/>
                <w:i/>
                <w:sz w:val="20"/>
                <w:szCs w:val="20"/>
              </w:rPr>
              <w:t>145</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2AB1FC66" w14:textId="1E107B8C" w:rsidR="003B280C" w:rsidRPr="002F1BE7" w:rsidRDefault="000E7933" w:rsidP="00284B05">
            <w:pPr>
              <w:spacing w:after="0" w:line="252" w:lineRule="auto"/>
              <w:jc w:val="right"/>
              <w:rPr>
                <w:rFonts w:eastAsia="Calibri" w:cstheme="minorHAnsi"/>
                <w:i/>
                <w:color w:val="FF0000"/>
                <w:sz w:val="20"/>
                <w:szCs w:val="20"/>
              </w:rPr>
            </w:pPr>
            <w:r w:rsidRPr="006B6D61">
              <w:rPr>
                <w:rFonts w:eastAsia="Calibri" w:cstheme="minorHAnsi"/>
                <w:i/>
                <w:sz w:val="20"/>
                <w:szCs w:val="20"/>
              </w:rPr>
              <w:t>145</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092C9007" w14:textId="79605A8F" w:rsidR="003B280C" w:rsidRPr="006B6D61" w:rsidRDefault="00CF47D9" w:rsidP="00284B05">
            <w:pPr>
              <w:spacing w:after="0" w:line="252" w:lineRule="auto"/>
              <w:jc w:val="right"/>
              <w:rPr>
                <w:rFonts w:eastAsia="Calibri" w:cstheme="minorHAnsi"/>
                <w:i/>
                <w:sz w:val="20"/>
                <w:szCs w:val="20"/>
              </w:rPr>
            </w:pPr>
            <w:r w:rsidRPr="006B6D61">
              <w:rPr>
                <w:i/>
                <w:sz w:val="20"/>
                <w:szCs w:val="20"/>
              </w:rPr>
              <w:t>30,2</w:t>
            </w:r>
          </w:p>
        </w:tc>
      </w:tr>
      <w:tr w:rsidR="002F1BE7" w:rsidRPr="0044012B" w14:paraId="61E3B5C9"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039184BA"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v tom: ze SR</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009D7A8A" w14:textId="007F22B4" w:rsidR="003B280C" w:rsidRPr="006B6D61" w:rsidRDefault="006A3C62" w:rsidP="00284B05">
            <w:pPr>
              <w:spacing w:after="0" w:line="252" w:lineRule="auto"/>
              <w:jc w:val="right"/>
              <w:rPr>
                <w:rFonts w:eastAsia="Calibri" w:cstheme="minorHAnsi"/>
                <w:i/>
                <w:sz w:val="20"/>
                <w:szCs w:val="20"/>
              </w:rPr>
            </w:pPr>
            <w:r w:rsidRPr="006B6D61">
              <w:rPr>
                <w:rFonts w:cstheme="minorHAnsi"/>
                <w:i/>
                <w:sz w:val="20"/>
                <w:szCs w:val="20"/>
              </w:rPr>
              <w:t>92</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34729EA1" w14:textId="28630585"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2C3C5D8F" w14:textId="79D786A5"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22DDF87A" w14:textId="5C5570A6" w:rsidR="003B280C" w:rsidRPr="0077128B" w:rsidRDefault="008619A1" w:rsidP="00284B05">
            <w:pPr>
              <w:spacing w:after="0" w:line="252" w:lineRule="auto"/>
              <w:jc w:val="right"/>
              <w:rPr>
                <w:rFonts w:eastAsia="Calibri" w:cstheme="minorHAnsi"/>
                <w:i/>
                <w:color w:val="FF0000"/>
                <w:sz w:val="20"/>
                <w:szCs w:val="20"/>
              </w:rPr>
            </w:pPr>
            <w:r w:rsidRPr="006B6D61">
              <w:rPr>
                <w:rFonts w:eastAsia="Calibri" w:cstheme="minorHAnsi"/>
                <w:i/>
                <w:sz w:val="20"/>
                <w:szCs w:val="20"/>
              </w:rPr>
              <w:t>28</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38922106" w14:textId="54CF668C" w:rsidR="003B280C" w:rsidRPr="006B6D61" w:rsidRDefault="000E7933" w:rsidP="00284B05">
            <w:pPr>
              <w:spacing w:after="0" w:line="252" w:lineRule="auto"/>
              <w:jc w:val="right"/>
              <w:rPr>
                <w:rFonts w:eastAsia="Calibri" w:cstheme="minorHAnsi"/>
                <w:i/>
                <w:sz w:val="20"/>
                <w:szCs w:val="20"/>
              </w:rPr>
            </w:pPr>
            <w:r w:rsidRPr="006B6D61">
              <w:rPr>
                <w:rFonts w:eastAsia="Calibri" w:cstheme="minorHAnsi"/>
                <w:i/>
                <w:sz w:val="20"/>
                <w:szCs w:val="20"/>
              </w:rPr>
              <w:t>28</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5909A3F4" w14:textId="339DE552" w:rsidR="003B280C" w:rsidRPr="006B6D61" w:rsidRDefault="00CF47D9">
            <w:pPr>
              <w:spacing w:after="0" w:line="252" w:lineRule="auto"/>
              <w:jc w:val="right"/>
              <w:rPr>
                <w:rFonts w:eastAsia="Calibri" w:cstheme="minorHAnsi"/>
                <w:i/>
                <w:sz w:val="20"/>
                <w:szCs w:val="20"/>
              </w:rPr>
            </w:pPr>
            <w:r w:rsidRPr="006B6D61">
              <w:rPr>
                <w:i/>
                <w:sz w:val="20"/>
                <w:szCs w:val="20"/>
              </w:rPr>
              <w:t>30,4</w:t>
            </w:r>
          </w:p>
        </w:tc>
      </w:tr>
      <w:tr w:rsidR="002F1BE7" w:rsidRPr="0044012B" w14:paraId="6825FE65"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77C1BA4E" w14:textId="5FA64767" w:rsidR="003B280C" w:rsidRPr="006B6D61" w:rsidRDefault="00EA3686" w:rsidP="00D3010F">
            <w:pPr>
              <w:spacing w:after="0" w:line="252" w:lineRule="auto"/>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3B280C" w:rsidRPr="006B6D61">
              <w:rPr>
                <w:rFonts w:cstheme="minorHAnsi"/>
                <w:i/>
                <w:sz w:val="20"/>
                <w:szCs w:val="20"/>
              </w:rPr>
              <w:t>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5E153DD1" w14:textId="4B735A2C" w:rsidR="003B280C" w:rsidRPr="006B6D61" w:rsidRDefault="006A3C62" w:rsidP="00284B05">
            <w:pPr>
              <w:spacing w:after="0" w:line="252" w:lineRule="auto"/>
              <w:jc w:val="right"/>
              <w:rPr>
                <w:rFonts w:eastAsia="Calibri" w:cstheme="minorHAnsi"/>
                <w:i/>
                <w:sz w:val="20"/>
                <w:szCs w:val="20"/>
              </w:rPr>
            </w:pPr>
            <w:r w:rsidRPr="006B6D61">
              <w:rPr>
                <w:rFonts w:cstheme="minorHAnsi"/>
                <w:i/>
                <w:sz w:val="20"/>
                <w:szCs w:val="20"/>
              </w:rPr>
              <w:t>388</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6FF161F3" w14:textId="23572C98"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1A479E1E" w14:textId="62567831" w:rsidR="003B280C" w:rsidRPr="006B6D61" w:rsidRDefault="005E350F"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48899BAC" w14:textId="2A4DD9C0" w:rsidR="003B280C" w:rsidRPr="0077128B" w:rsidRDefault="00705D05" w:rsidP="00284B05">
            <w:pPr>
              <w:spacing w:after="0" w:line="252" w:lineRule="auto"/>
              <w:jc w:val="right"/>
              <w:rPr>
                <w:rFonts w:eastAsia="Calibri" w:cstheme="minorHAnsi"/>
                <w:i/>
                <w:color w:val="FF0000"/>
                <w:sz w:val="20"/>
                <w:szCs w:val="20"/>
              </w:rPr>
            </w:pPr>
            <w:r w:rsidRPr="006B6D61">
              <w:rPr>
                <w:rFonts w:eastAsia="Calibri" w:cstheme="minorHAnsi"/>
                <w:i/>
                <w:sz w:val="20"/>
                <w:szCs w:val="20"/>
              </w:rPr>
              <w:t>118</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6225E6DB" w14:textId="07A76E73" w:rsidR="003B280C" w:rsidRPr="006B6D61" w:rsidRDefault="000E7933" w:rsidP="00284B05">
            <w:pPr>
              <w:spacing w:after="0" w:line="252" w:lineRule="auto"/>
              <w:jc w:val="right"/>
              <w:rPr>
                <w:rFonts w:eastAsia="Calibri" w:cstheme="minorHAnsi"/>
                <w:i/>
                <w:sz w:val="20"/>
                <w:szCs w:val="20"/>
              </w:rPr>
            </w:pPr>
            <w:r w:rsidRPr="006B6D61">
              <w:rPr>
                <w:rFonts w:eastAsia="Calibri" w:cstheme="minorHAnsi"/>
                <w:i/>
                <w:sz w:val="20"/>
                <w:szCs w:val="20"/>
              </w:rPr>
              <w:t>118</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63164370" w14:textId="3D44E122" w:rsidR="003B280C" w:rsidRPr="006B6D61" w:rsidRDefault="00CF47D9" w:rsidP="00284B05">
            <w:pPr>
              <w:spacing w:after="0" w:line="252" w:lineRule="auto"/>
              <w:jc w:val="right"/>
              <w:rPr>
                <w:rFonts w:eastAsia="Calibri" w:cstheme="minorHAnsi"/>
                <w:i/>
                <w:sz w:val="20"/>
                <w:szCs w:val="20"/>
              </w:rPr>
            </w:pPr>
            <w:r w:rsidRPr="006B6D61">
              <w:rPr>
                <w:i/>
                <w:sz w:val="20"/>
                <w:szCs w:val="20"/>
              </w:rPr>
              <w:t>30,4</w:t>
            </w:r>
          </w:p>
        </w:tc>
      </w:tr>
      <w:tr w:rsidR="002F1BE7" w:rsidRPr="0044012B" w14:paraId="479FAA6D"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149D5950" w14:textId="77777777" w:rsidR="003B280C" w:rsidRPr="006B6D61" w:rsidRDefault="003B280C" w:rsidP="003F0A7C">
            <w:pPr>
              <w:spacing w:after="0" w:line="252" w:lineRule="auto"/>
              <w:rPr>
                <w:rFonts w:eastAsia="Calibri" w:cstheme="minorHAnsi"/>
                <w:sz w:val="20"/>
                <w:szCs w:val="20"/>
              </w:rPr>
            </w:pPr>
            <w:r w:rsidRPr="006B6D61">
              <w:rPr>
                <w:rFonts w:cstheme="minorHAnsi"/>
                <w:sz w:val="20"/>
                <w:szCs w:val="20"/>
              </w:rPr>
              <w:t>základní příděl FKSP</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737805C3" w14:textId="167DA767" w:rsidR="003B280C" w:rsidRPr="002F1BE7" w:rsidRDefault="00A80156" w:rsidP="00284B05">
            <w:pPr>
              <w:spacing w:after="0" w:line="252" w:lineRule="auto"/>
              <w:jc w:val="right"/>
              <w:rPr>
                <w:rFonts w:eastAsia="Calibri" w:cstheme="minorHAnsi"/>
                <w:color w:val="FF0000"/>
                <w:sz w:val="20"/>
                <w:szCs w:val="20"/>
              </w:rPr>
            </w:pPr>
            <w:r w:rsidRPr="006B6D61">
              <w:rPr>
                <w:rFonts w:eastAsia="Calibri" w:cstheme="minorHAnsi"/>
                <w:sz w:val="20"/>
                <w:szCs w:val="20"/>
              </w:rPr>
              <w:t>47</w:t>
            </w:r>
            <w:r w:rsidR="00F70E34" w:rsidRPr="006B6D61">
              <w:rPr>
                <w:rFonts w:eastAsia="Calibri" w:cstheme="minorHAnsi"/>
                <w:sz w:val="20"/>
                <w:szCs w:val="20"/>
              </w:rPr>
              <w:t>1</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5E81F06A" w14:textId="6D8BC9EC" w:rsidR="003B280C" w:rsidRPr="006B6D61" w:rsidRDefault="00474FFE" w:rsidP="00284B05">
            <w:pPr>
              <w:spacing w:after="0" w:line="252" w:lineRule="auto"/>
              <w:jc w:val="right"/>
              <w:rPr>
                <w:rFonts w:eastAsia="Calibri" w:cstheme="minorHAnsi"/>
                <w:sz w:val="20"/>
                <w:szCs w:val="20"/>
              </w:rPr>
            </w:pPr>
            <w:r w:rsidRPr="006B6D61">
              <w:rPr>
                <w:rFonts w:eastAsia="Calibri" w:cstheme="minorHAnsi"/>
                <w:sz w:val="20"/>
                <w:szCs w:val="20"/>
              </w:rPr>
              <w:t>471</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39F105F9" w14:textId="26CE42B8" w:rsidR="003B280C" w:rsidRPr="006B6D61" w:rsidRDefault="00474FFE" w:rsidP="00284B05">
            <w:pPr>
              <w:spacing w:after="0" w:line="252" w:lineRule="auto"/>
              <w:jc w:val="right"/>
              <w:rPr>
                <w:rFonts w:eastAsia="Calibri" w:cstheme="minorHAnsi"/>
                <w:sz w:val="20"/>
                <w:szCs w:val="20"/>
              </w:rPr>
            </w:pPr>
            <w:r w:rsidRPr="006B6D61">
              <w:rPr>
                <w:rFonts w:eastAsia="Calibri" w:cstheme="minorHAnsi"/>
                <w:sz w:val="20"/>
                <w:szCs w:val="20"/>
              </w:rPr>
              <w:t>471</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6E7EF7C6" w14:textId="51E25A8B" w:rsidR="003B280C" w:rsidRPr="006B6D61" w:rsidRDefault="001E391C" w:rsidP="00284B05">
            <w:pPr>
              <w:spacing w:after="0" w:line="252" w:lineRule="auto"/>
              <w:jc w:val="right"/>
              <w:rPr>
                <w:rFonts w:eastAsia="Calibri" w:cstheme="minorHAnsi"/>
                <w:sz w:val="20"/>
                <w:szCs w:val="20"/>
              </w:rPr>
            </w:pPr>
            <w:r w:rsidRPr="006B6D61">
              <w:rPr>
                <w:rFonts w:eastAsia="Calibri" w:cstheme="minorHAnsi"/>
                <w:sz w:val="20"/>
                <w:szCs w:val="20"/>
              </w:rPr>
              <w:t>472</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17F44A5D" w14:textId="73B86E32" w:rsidR="003B280C" w:rsidRPr="006B6D61" w:rsidRDefault="000E7933" w:rsidP="00284B05">
            <w:pPr>
              <w:spacing w:after="0" w:line="252" w:lineRule="auto"/>
              <w:jc w:val="right"/>
              <w:rPr>
                <w:rFonts w:eastAsia="Calibri" w:cstheme="minorHAnsi"/>
                <w:sz w:val="20"/>
                <w:szCs w:val="20"/>
              </w:rPr>
            </w:pPr>
            <w:r w:rsidRPr="006B6D61">
              <w:rPr>
                <w:sz w:val="20"/>
                <w:szCs w:val="20"/>
              </w:rPr>
              <w:t>472</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11D586C3" w14:textId="05685CFE" w:rsidR="003B280C" w:rsidRPr="006B6D61" w:rsidRDefault="002D6AAD" w:rsidP="00284B05">
            <w:pPr>
              <w:spacing w:after="0" w:line="252" w:lineRule="auto"/>
              <w:jc w:val="right"/>
              <w:rPr>
                <w:rFonts w:eastAsia="Calibri" w:cstheme="minorHAnsi"/>
                <w:sz w:val="20"/>
                <w:szCs w:val="20"/>
              </w:rPr>
            </w:pPr>
            <w:r w:rsidRPr="006B6D61">
              <w:rPr>
                <w:sz w:val="20"/>
                <w:szCs w:val="20"/>
              </w:rPr>
              <w:t>100,2</w:t>
            </w:r>
          </w:p>
        </w:tc>
      </w:tr>
      <w:tr w:rsidR="002F1BE7" w:rsidRPr="0044012B" w14:paraId="7D1391C9"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5359EB4B"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3BA471F7" w14:textId="0FC43440" w:rsidR="003B280C" w:rsidRPr="006B6D61" w:rsidRDefault="00F70E34" w:rsidP="00284B05">
            <w:pPr>
              <w:spacing w:after="0" w:line="252" w:lineRule="auto"/>
              <w:jc w:val="right"/>
              <w:rPr>
                <w:rFonts w:eastAsia="Calibri" w:cstheme="minorHAnsi"/>
                <w:i/>
                <w:sz w:val="20"/>
                <w:szCs w:val="20"/>
              </w:rPr>
            </w:pPr>
            <w:r w:rsidRPr="006B6D61">
              <w:rPr>
                <w:rFonts w:cstheme="minorHAnsi"/>
                <w:i/>
                <w:sz w:val="20"/>
                <w:szCs w:val="20"/>
              </w:rPr>
              <w:t>28</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2EB4E2C7" w14:textId="751522A9" w:rsidR="003B280C" w:rsidRPr="006B6D61" w:rsidRDefault="00474FFE"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6C6CC229" w14:textId="46DF9C10" w:rsidR="003B280C" w:rsidRPr="006B6D61" w:rsidRDefault="00474FFE"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23617EE1" w14:textId="0B72F698" w:rsidR="003B280C" w:rsidRPr="0077128B" w:rsidRDefault="00070E98" w:rsidP="00284B05">
            <w:pPr>
              <w:spacing w:after="0" w:line="252" w:lineRule="auto"/>
              <w:jc w:val="right"/>
              <w:rPr>
                <w:rFonts w:eastAsia="Calibri" w:cstheme="minorHAnsi"/>
                <w:i/>
                <w:color w:val="FF0000"/>
                <w:sz w:val="20"/>
                <w:szCs w:val="20"/>
              </w:rPr>
            </w:pPr>
            <w:r w:rsidRPr="006B6D61">
              <w:rPr>
                <w:rFonts w:eastAsia="Calibri" w:cstheme="minorHAnsi"/>
                <w:i/>
                <w:sz w:val="20"/>
                <w:szCs w:val="20"/>
              </w:rPr>
              <w:t>9</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6E4D4B70" w14:textId="546AE475" w:rsidR="003B280C" w:rsidRPr="006B6D61" w:rsidRDefault="000E7933" w:rsidP="00284B05">
            <w:pPr>
              <w:spacing w:after="0" w:line="252" w:lineRule="auto"/>
              <w:jc w:val="right"/>
              <w:rPr>
                <w:rFonts w:eastAsia="Calibri" w:cstheme="minorHAnsi"/>
                <w:i/>
                <w:sz w:val="20"/>
                <w:szCs w:val="20"/>
              </w:rPr>
            </w:pPr>
            <w:r w:rsidRPr="006B6D61">
              <w:rPr>
                <w:rFonts w:eastAsia="Calibri" w:cstheme="minorHAnsi"/>
                <w:i/>
                <w:sz w:val="20"/>
                <w:szCs w:val="20"/>
              </w:rPr>
              <w:t>9</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2653EF64" w14:textId="23CB4209" w:rsidR="003B280C" w:rsidRPr="006B6D61" w:rsidRDefault="002D6AAD" w:rsidP="00284B05">
            <w:pPr>
              <w:spacing w:after="0" w:line="252" w:lineRule="auto"/>
              <w:jc w:val="right"/>
              <w:rPr>
                <w:rFonts w:eastAsia="Calibri" w:cstheme="minorHAnsi"/>
                <w:i/>
                <w:sz w:val="20"/>
                <w:szCs w:val="20"/>
              </w:rPr>
            </w:pPr>
            <w:r w:rsidRPr="006B6D61">
              <w:rPr>
                <w:i/>
                <w:sz w:val="20"/>
                <w:szCs w:val="20"/>
              </w:rPr>
              <w:t>30,3</w:t>
            </w:r>
          </w:p>
        </w:tc>
      </w:tr>
      <w:tr w:rsidR="002F1BE7" w:rsidRPr="0044012B" w14:paraId="406F22C3"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72CCD0A4" w14:textId="77777777" w:rsidR="003B280C" w:rsidRPr="006B6D61" w:rsidRDefault="003B280C" w:rsidP="00D3010F">
            <w:pPr>
              <w:spacing w:after="0" w:line="252" w:lineRule="auto"/>
              <w:rPr>
                <w:rFonts w:eastAsia="Calibri" w:cstheme="minorHAnsi"/>
                <w:i/>
                <w:sz w:val="20"/>
                <w:szCs w:val="20"/>
              </w:rPr>
            </w:pPr>
            <w:r w:rsidRPr="006B6D61">
              <w:rPr>
                <w:rFonts w:cstheme="minorHAnsi"/>
                <w:i/>
                <w:sz w:val="20"/>
                <w:szCs w:val="20"/>
              </w:rPr>
              <w:t>v tom: ze SR</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366D10E6" w14:textId="47B10B77" w:rsidR="003B280C" w:rsidRPr="006B6D61" w:rsidRDefault="00556EA6" w:rsidP="00284B05">
            <w:pPr>
              <w:spacing w:after="0" w:line="252" w:lineRule="auto"/>
              <w:jc w:val="right"/>
              <w:rPr>
                <w:rFonts w:eastAsia="Calibri" w:cstheme="minorHAnsi"/>
                <w:i/>
                <w:sz w:val="20"/>
                <w:szCs w:val="20"/>
              </w:rPr>
            </w:pPr>
            <w:r w:rsidRPr="006B6D61">
              <w:rPr>
                <w:rFonts w:cstheme="minorHAnsi"/>
                <w:i/>
                <w:sz w:val="20"/>
                <w:szCs w:val="20"/>
              </w:rPr>
              <w:t>5</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112E21FF" w14:textId="6E11B6E9" w:rsidR="003B280C" w:rsidRPr="006B6D61" w:rsidRDefault="00474FFE"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31DAF054" w14:textId="38A2EAF4" w:rsidR="003B280C" w:rsidRPr="006B6D61" w:rsidRDefault="00474FFE"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3742A54D" w14:textId="5D1C521A" w:rsidR="003B280C" w:rsidRPr="006B6D61" w:rsidRDefault="00C56469" w:rsidP="00284B05">
            <w:pPr>
              <w:spacing w:after="0" w:line="252" w:lineRule="auto"/>
              <w:jc w:val="right"/>
              <w:rPr>
                <w:rFonts w:eastAsia="Calibri" w:cstheme="minorHAnsi"/>
                <w:i/>
                <w:sz w:val="20"/>
                <w:szCs w:val="20"/>
              </w:rPr>
            </w:pPr>
            <w:r w:rsidRPr="006B6D61">
              <w:rPr>
                <w:rFonts w:eastAsia="Calibri" w:cstheme="minorHAnsi"/>
                <w:i/>
                <w:sz w:val="20"/>
                <w:szCs w:val="20"/>
              </w:rPr>
              <w:t>2</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12CC4C33" w14:textId="2286A9E1" w:rsidR="003B280C" w:rsidRPr="006B6D61" w:rsidRDefault="000E7933" w:rsidP="00284B05">
            <w:pPr>
              <w:spacing w:after="0" w:line="252" w:lineRule="auto"/>
              <w:jc w:val="right"/>
              <w:rPr>
                <w:rFonts w:eastAsia="Calibri" w:cstheme="minorHAnsi"/>
                <w:i/>
                <w:sz w:val="20"/>
                <w:szCs w:val="20"/>
              </w:rPr>
            </w:pPr>
            <w:r w:rsidRPr="006B6D61">
              <w:rPr>
                <w:rFonts w:eastAsia="Calibri" w:cstheme="minorHAnsi"/>
                <w:i/>
                <w:sz w:val="20"/>
                <w:szCs w:val="20"/>
              </w:rPr>
              <w:t>2</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4293F01B" w14:textId="232FEEF0" w:rsidR="003B280C" w:rsidRPr="006B6D61" w:rsidRDefault="002D6AAD" w:rsidP="00284B05">
            <w:pPr>
              <w:spacing w:after="0" w:line="252" w:lineRule="auto"/>
              <w:jc w:val="right"/>
              <w:rPr>
                <w:rFonts w:eastAsia="Calibri" w:cstheme="minorHAnsi"/>
                <w:i/>
                <w:sz w:val="20"/>
                <w:szCs w:val="20"/>
              </w:rPr>
            </w:pPr>
            <w:r w:rsidRPr="006B6D61">
              <w:rPr>
                <w:i/>
                <w:sz w:val="20"/>
                <w:szCs w:val="20"/>
              </w:rPr>
              <w:t>29,6</w:t>
            </w:r>
          </w:p>
        </w:tc>
      </w:tr>
      <w:tr w:rsidR="002F1BE7" w:rsidRPr="0044012B" w14:paraId="6947AE98"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02955C59" w14:textId="090E2771" w:rsidR="003B280C" w:rsidRPr="006B6D61" w:rsidRDefault="00EA3686" w:rsidP="00D3010F">
            <w:pPr>
              <w:spacing w:after="0" w:line="252" w:lineRule="auto"/>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3B280C" w:rsidRPr="006B6D61">
              <w:rPr>
                <w:rFonts w:cstheme="minorHAnsi"/>
                <w:i/>
                <w:sz w:val="20"/>
                <w:szCs w:val="20"/>
              </w:rPr>
              <w:t>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37047D14" w14:textId="00EE2AA2" w:rsidR="003B280C" w:rsidRPr="006B6D61" w:rsidRDefault="00556EA6" w:rsidP="00284B05">
            <w:pPr>
              <w:spacing w:after="0" w:line="252" w:lineRule="auto"/>
              <w:jc w:val="right"/>
              <w:rPr>
                <w:rFonts w:eastAsia="Calibri" w:cstheme="minorHAnsi"/>
                <w:i/>
                <w:sz w:val="20"/>
                <w:szCs w:val="20"/>
              </w:rPr>
            </w:pPr>
            <w:r w:rsidRPr="006B6D61">
              <w:rPr>
                <w:rFonts w:cstheme="minorHAnsi"/>
                <w:i/>
                <w:sz w:val="20"/>
                <w:szCs w:val="20"/>
              </w:rPr>
              <w:t>23</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423F2B54" w14:textId="4BE63A3B" w:rsidR="003B280C" w:rsidRPr="006B6D61" w:rsidRDefault="00474FFE"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0C6E15CD" w14:textId="5A54B7CF" w:rsidR="003B280C" w:rsidRPr="006B6D61" w:rsidRDefault="00474FFE"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76471C9B" w14:textId="7F1C6559" w:rsidR="003B280C" w:rsidRPr="006B6D61" w:rsidRDefault="00C56469" w:rsidP="00284B05">
            <w:pPr>
              <w:spacing w:after="0" w:line="252" w:lineRule="auto"/>
              <w:jc w:val="right"/>
              <w:rPr>
                <w:rFonts w:eastAsia="Calibri" w:cstheme="minorHAnsi"/>
                <w:i/>
                <w:sz w:val="20"/>
                <w:szCs w:val="20"/>
              </w:rPr>
            </w:pPr>
            <w:r w:rsidRPr="006B6D61">
              <w:rPr>
                <w:rFonts w:eastAsia="Calibri" w:cstheme="minorHAnsi"/>
                <w:i/>
                <w:sz w:val="20"/>
                <w:szCs w:val="20"/>
              </w:rPr>
              <w:t>7</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21215CEC" w14:textId="7F690FC6" w:rsidR="003B280C" w:rsidRPr="006B6D61" w:rsidRDefault="000E7933" w:rsidP="00284B05">
            <w:pPr>
              <w:spacing w:after="0" w:line="252" w:lineRule="auto"/>
              <w:jc w:val="right"/>
              <w:rPr>
                <w:rFonts w:eastAsia="Calibri" w:cstheme="minorHAnsi"/>
                <w:i/>
                <w:sz w:val="20"/>
                <w:szCs w:val="20"/>
              </w:rPr>
            </w:pPr>
            <w:r w:rsidRPr="006B6D61">
              <w:rPr>
                <w:rFonts w:eastAsia="Calibri" w:cstheme="minorHAnsi"/>
                <w:i/>
                <w:sz w:val="20"/>
                <w:szCs w:val="20"/>
              </w:rPr>
              <w:t>7</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17F691E5" w14:textId="7C8F1649" w:rsidR="003B280C" w:rsidRPr="006B6D61" w:rsidRDefault="002D6AAD" w:rsidP="00284B05">
            <w:pPr>
              <w:spacing w:after="0" w:line="252" w:lineRule="auto"/>
              <w:jc w:val="right"/>
              <w:rPr>
                <w:rFonts w:eastAsia="Calibri" w:cstheme="minorHAnsi"/>
                <w:i/>
                <w:sz w:val="20"/>
                <w:szCs w:val="20"/>
              </w:rPr>
            </w:pPr>
            <w:r w:rsidRPr="006B6D61">
              <w:rPr>
                <w:i/>
                <w:sz w:val="20"/>
                <w:szCs w:val="20"/>
              </w:rPr>
              <w:t>30,6</w:t>
            </w:r>
          </w:p>
        </w:tc>
      </w:tr>
      <w:tr w:rsidR="002F1BE7" w:rsidRPr="0044012B" w14:paraId="22E26526"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7E01E418" w14:textId="77777777" w:rsidR="003B280C" w:rsidRPr="006B6D61" w:rsidRDefault="003B280C" w:rsidP="003F0A7C">
            <w:pPr>
              <w:spacing w:after="0" w:line="252" w:lineRule="auto"/>
              <w:rPr>
                <w:rFonts w:eastAsia="Calibri" w:cstheme="minorHAnsi"/>
                <w:sz w:val="20"/>
                <w:szCs w:val="20"/>
              </w:rPr>
            </w:pPr>
            <w:r w:rsidRPr="006B6D61">
              <w:rPr>
                <w:rFonts w:cstheme="minorHAnsi"/>
                <w:sz w:val="20"/>
                <w:szCs w:val="20"/>
              </w:rPr>
              <w:t>ostatní neinvestiční výdaje</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2998559F" w14:textId="1856FC5D" w:rsidR="003B280C" w:rsidRPr="002F1BE7" w:rsidRDefault="00556EA6" w:rsidP="00284B05">
            <w:pPr>
              <w:spacing w:after="0" w:line="252" w:lineRule="auto"/>
              <w:jc w:val="right"/>
              <w:rPr>
                <w:rFonts w:eastAsia="Calibri" w:cstheme="minorHAnsi"/>
                <w:color w:val="FF0000"/>
                <w:sz w:val="20"/>
                <w:szCs w:val="20"/>
              </w:rPr>
            </w:pPr>
            <w:r w:rsidRPr="006B6D61">
              <w:rPr>
                <w:rFonts w:cstheme="minorHAnsi"/>
                <w:sz w:val="20"/>
                <w:szCs w:val="20"/>
              </w:rPr>
              <w:t>7 910</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541973A0" w14:textId="5C1C296A" w:rsidR="003B280C" w:rsidRPr="006B6D61" w:rsidRDefault="00E42050" w:rsidP="00284B05">
            <w:pPr>
              <w:spacing w:after="0" w:line="252" w:lineRule="auto"/>
              <w:jc w:val="right"/>
              <w:rPr>
                <w:rFonts w:eastAsia="Calibri" w:cstheme="minorHAnsi"/>
                <w:sz w:val="20"/>
                <w:szCs w:val="20"/>
              </w:rPr>
            </w:pPr>
            <w:r w:rsidRPr="006B6D61">
              <w:rPr>
                <w:rFonts w:eastAsia="Calibri" w:cstheme="minorHAnsi"/>
                <w:sz w:val="20"/>
                <w:szCs w:val="20"/>
              </w:rPr>
              <w:t>9 476</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6F75AA2C" w14:textId="3F6DB919" w:rsidR="003B280C" w:rsidRPr="006B6D61" w:rsidRDefault="00E42050" w:rsidP="00284B05">
            <w:pPr>
              <w:spacing w:after="0" w:line="252" w:lineRule="auto"/>
              <w:jc w:val="right"/>
              <w:rPr>
                <w:rFonts w:eastAsia="Calibri" w:cstheme="minorHAnsi"/>
                <w:sz w:val="20"/>
                <w:szCs w:val="20"/>
              </w:rPr>
            </w:pPr>
            <w:r w:rsidRPr="006B6D61">
              <w:rPr>
                <w:rFonts w:eastAsia="Calibri" w:cstheme="minorHAnsi"/>
                <w:sz w:val="20"/>
                <w:szCs w:val="20"/>
              </w:rPr>
              <w:t>9 476</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100E4D27" w14:textId="6F62DC01" w:rsidR="003B280C" w:rsidRPr="002F1BE7" w:rsidRDefault="00FD41A5" w:rsidP="00284B05">
            <w:pPr>
              <w:spacing w:after="0" w:line="252" w:lineRule="auto"/>
              <w:jc w:val="right"/>
              <w:rPr>
                <w:rFonts w:eastAsia="Calibri" w:cstheme="minorHAnsi"/>
                <w:color w:val="FF0000"/>
                <w:sz w:val="20"/>
                <w:szCs w:val="20"/>
              </w:rPr>
            </w:pPr>
            <w:r w:rsidRPr="006B6D61">
              <w:rPr>
                <w:rFonts w:eastAsia="Calibri" w:cstheme="minorHAnsi"/>
                <w:sz w:val="20"/>
                <w:szCs w:val="20"/>
              </w:rPr>
              <w:t>13 952</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0FB28BB1" w14:textId="3E9F1018" w:rsidR="003B280C" w:rsidRPr="002F1BE7" w:rsidRDefault="0091085C" w:rsidP="00284B05">
            <w:pPr>
              <w:spacing w:after="0" w:line="252" w:lineRule="auto"/>
              <w:jc w:val="right"/>
              <w:rPr>
                <w:rFonts w:eastAsia="Calibri" w:cstheme="minorHAnsi"/>
                <w:color w:val="FF0000"/>
                <w:sz w:val="20"/>
                <w:szCs w:val="20"/>
              </w:rPr>
            </w:pPr>
            <w:r w:rsidRPr="006B6D61">
              <w:rPr>
                <w:rFonts w:eastAsia="Calibri" w:cstheme="minorHAnsi"/>
                <w:sz w:val="20"/>
                <w:szCs w:val="20"/>
              </w:rPr>
              <w:t>12 304</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4FA5B375" w14:textId="77393AC3" w:rsidR="003B280C" w:rsidRPr="006B6D61" w:rsidRDefault="002D6AAD" w:rsidP="00284B05">
            <w:pPr>
              <w:spacing w:after="0" w:line="252" w:lineRule="auto"/>
              <w:jc w:val="right"/>
              <w:rPr>
                <w:rFonts w:eastAsia="Calibri" w:cstheme="minorHAnsi"/>
                <w:sz w:val="20"/>
                <w:szCs w:val="20"/>
              </w:rPr>
            </w:pPr>
            <w:r w:rsidRPr="006B6D61">
              <w:rPr>
                <w:sz w:val="20"/>
                <w:szCs w:val="20"/>
              </w:rPr>
              <w:t>155,5</w:t>
            </w:r>
          </w:p>
        </w:tc>
      </w:tr>
      <w:tr w:rsidR="002F1BE7" w:rsidRPr="0044012B" w14:paraId="5A970017"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624F2DE2"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 xml:space="preserve">z toho: RISPF </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12A01118" w14:textId="77777777" w:rsidR="003B280C" w:rsidRPr="002F1BE7" w:rsidRDefault="003B280C" w:rsidP="00284B05">
            <w:pPr>
              <w:spacing w:after="0" w:line="252" w:lineRule="auto"/>
              <w:jc w:val="right"/>
              <w:rPr>
                <w:rFonts w:eastAsia="Calibri" w:cstheme="minorHAnsi"/>
                <w:color w:val="FF0000"/>
                <w:sz w:val="20"/>
                <w:szCs w:val="20"/>
              </w:rPr>
            </w:pPr>
            <w:r w:rsidRPr="006B6D61">
              <w:rPr>
                <w:rFonts w:cstheme="minorHAnsi"/>
                <w:sz w:val="20"/>
                <w:szCs w:val="20"/>
              </w:rPr>
              <w:t>0</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21BC7EF7" w14:textId="77777777" w:rsidR="003B280C" w:rsidRPr="006B6D61" w:rsidRDefault="003B280C" w:rsidP="00284B05">
            <w:pPr>
              <w:spacing w:after="0" w:line="252" w:lineRule="auto"/>
              <w:jc w:val="right"/>
              <w:rPr>
                <w:rFonts w:eastAsia="Calibri" w:cstheme="minorHAnsi"/>
                <w:sz w:val="20"/>
                <w:szCs w:val="20"/>
              </w:rPr>
            </w:pPr>
            <w:r w:rsidRPr="006B6D61">
              <w:rPr>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575F9AE0" w14:textId="77777777" w:rsidR="003B280C" w:rsidRPr="006B6D61" w:rsidRDefault="003B280C" w:rsidP="00284B05">
            <w:pPr>
              <w:spacing w:after="0" w:line="252" w:lineRule="auto"/>
              <w:jc w:val="right"/>
              <w:rPr>
                <w:rFonts w:eastAsia="Calibri" w:cstheme="minorHAnsi"/>
                <w:sz w:val="20"/>
                <w:szCs w:val="20"/>
              </w:rPr>
            </w:pPr>
            <w:r w:rsidRPr="006B6D61">
              <w:rPr>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09C578B7" w14:textId="77777777" w:rsidR="003B280C" w:rsidRPr="0077128B" w:rsidRDefault="003B280C" w:rsidP="00284B05">
            <w:pPr>
              <w:spacing w:after="0" w:line="252" w:lineRule="auto"/>
              <w:jc w:val="right"/>
              <w:rPr>
                <w:rFonts w:eastAsia="Calibri" w:cstheme="minorHAnsi"/>
                <w:color w:val="FF0000"/>
                <w:sz w:val="20"/>
                <w:szCs w:val="20"/>
              </w:rPr>
            </w:pPr>
            <w:r w:rsidRPr="006B6D61">
              <w:rPr>
                <w:rFonts w:eastAsia="Calibri" w:cstheme="minorHAnsi"/>
                <w:sz w:val="20"/>
                <w:szCs w:val="20"/>
              </w:rPr>
              <w:t>0</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77B4C930" w14:textId="77777777" w:rsidR="003B280C" w:rsidRPr="006B6D61" w:rsidRDefault="003B280C" w:rsidP="00284B05">
            <w:pPr>
              <w:spacing w:after="0" w:line="252" w:lineRule="auto"/>
              <w:jc w:val="right"/>
              <w:rPr>
                <w:rFonts w:eastAsia="Calibri" w:cstheme="minorHAnsi"/>
                <w:sz w:val="20"/>
                <w:szCs w:val="20"/>
              </w:rPr>
            </w:pPr>
            <w:r w:rsidRPr="006B6D61">
              <w:rPr>
                <w:sz w:val="20"/>
                <w:szCs w:val="20"/>
              </w:rPr>
              <w:t>0</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6D9725EE" w14:textId="77777777" w:rsidR="003B280C" w:rsidRPr="006B6D61" w:rsidRDefault="003B280C" w:rsidP="00284B05">
            <w:pPr>
              <w:spacing w:after="0" w:line="252" w:lineRule="auto"/>
              <w:jc w:val="right"/>
              <w:rPr>
                <w:rFonts w:eastAsia="Calibri" w:cstheme="minorHAnsi"/>
                <w:sz w:val="20"/>
                <w:szCs w:val="20"/>
              </w:rPr>
            </w:pPr>
            <w:r w:rsidRPr="006B6D61">
              <w:rPr>
                <w:sz w:val="20"/>
                <w:szCs w:val="20"/>
              </w:rPr>
              <w:t>X</w:t>
            </w:r>
          </w:p>
        </w:tc>
      </w:tr>
      <w:tr w:rsidR="002F1BE7" w:rsidRPr="0044012B" w14:paraId="777A2EC9"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6DEB4A18" w14:textId="77777777" w:rsidR="003B280C" w:rsidRPr="006B6D61" w:rsidRDefault="003B280C" w:rsidP="003F0A7C">
            <w:pPr>
              <w:spacing w:after="0" w:line="252" w:lineRule="auto"/>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76866F74" w14:textId="69904712" w:rsidR="003B280C" w:rsidRPr="006B6D61" w:rsidRDefault="00426BAB" w:rsidP="00284B05">
            <w:pPr>
              <w:spacing w:after="0" w:line="252" w:lineRule="auto"/>
              <w:jc w:val="right"/>
              <w:rPr>
                <w:rFonts w:eastAsia="Calibri" w:cstheme="minorHAnsi"/>
                <w:i/>
                <w:sz w:val="20"/>
                <w:szCs w:val="20"/>
              </w:rPr>
            </w:pPr>
            <w:r w:rsidRPr="006B6D61">
              <w:rPr>
                <w:rFonts w:cstheme="minorHAnsi"/>
                <w:i/>
                <w:sz w:val="20"/>
                <w:szCs w:val="20"/>
              </w:rPr>
              <w:t>1 158</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1E6EB558" w14:textId="737F0986" w:rsidR="003B280C" w:rsidRPr="006B6D61" w:rsidRDefault="00E42050"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182FC2B8" w14:textId="761B4EA9" w:rsidR="003B280C" w:rsidRPr="006B6D61" w:rsidRDefault="00E42050"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7B4DC6D6" w14:textId="56E3B2F9" w:rsidR="003B280C" w:rsidRPr="006B6D61" w:rsidRDefault="00774848" w:rsidP="00284B05">
            <w:pPr>
              <w:spacing w:after="0" w:line="252" w:lineRule="auto"/>
              <w:jc w:val="right"/>
              <w:rPr>
                <w:rFonts w:eastAsia="Calibri" w:cstheme="minorHAnsi"/>
                <w:i/>
                <w:sz w:val="20"/>
                <w:szCs w:val="20"/>
              </w:rPr>
            </w:pPr>
            <w:r w:rsidRPr="006B6D61">
              <w:rPr>
                <w:rFonts w:eastAsia="Calibri" w:cstheme="minorHAnsi"/>
                <w:i/>
                <w:sz w:val="20"/>
                <w:szCs w:val="20"/>
              </w:rPr>
              <w:t>312</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71D1F035" w14:textId="7855D0EC" w:rsidR="003B280C" w:rsidRPr="006B6D61" w:rsidRDefault="00877BF5" w:rsidP="00284B05">
            <w:pPr>
              <w:spacing w:after="0" w:line="252" w:lineRule="auto"/>
              <w:jc w:val="right"/>
              <w:rPr>
                <w:rFonts w:eastAsia="Calibri" w:cstheme="minorHAnsi"/>
                <w:i/>
                <w:sz w:val="20"/>
                <w:szCs w:val="20"/>
              </w:rPr>
            </w:pPr>
            <w:r w:rsidRPr="006B6D61">
              <w:rPr>
                <w:rFonts w:eastAsia="Calibri" w:cstheme="minorHAnsi"/>
                <w:i/>
                <w:sz w:val="20"/>
                <w:szCs w:val="20"/>
              </w:rPr>
              <w:t>312</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1DF913D2" w14:textId="0F3CDF1B" w:rsidR="003B280C" w:rsidRPr="006B6D61" w:rsidRDefault="002D6AAD" w:rsidP="00284B05">
            <w:pPr>
              <w:spacing w:after="0" w:line="252" w:lineRule="auto"/>
              <w:jc w:val="right"/>
              <w:rPr>
                <w:rFonts w:eastAsia="Calibri" w:cstheme="minorHAnsi"/>
                <w:i/>
                <w:sz w:val="20"/>
                <w:szCs w:val="20"/>
              </w:rPr>
            </w:pPr>
            <w:r w:rsidRPr="006B6D61">
              <w:rPr>
                <w:i/>
                <w:sz w:val="20"/>
                <w:szCs w:val="20"/>
              </w:rPr>
              <w:t>26,9</w:t>
            </w:r>
          </w:p>
        </w:tc>
      </w:tr>
      <w:tr w:rsidR="002F1BE7" w:rsidRPr="0044012B" w14:paraId="29F2A683"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2561CA82" w14:textId="77777777" w:rsidR="003B280C" w:rsidRPr="006B6D61" w:rsidRDefault="003B280C" w:rsidP="00D3010F">
            <w:pPr>
              <w:spacing w:after="0" w:line="252" w:lineRule="auto"/>
              <w:rPr>
                <w:rFonts w:eastAsia="Calibri" w:cstheme="minorHAnsi"/>
                <w:i/>
                <w:sz w:val="20"/>
                <w:szCs w:val="20"/>
              </w:rPr>
            </w:pPr>
            <w:r w:rsidRPr="006B6D61">
              <w:rPr>
                <w:rFonts w:cstheme="minorHAnsi"/>
                <w:i/>
                <w:sz w:val="20"/>
                <w:szCs w:val="20"/>
              </w:rPr>
              <w:t>v tom: ze SR</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33A2AFE0" w14:textId="2D47BB8B" w:rsidR="003B280C" w:rsidRPr="006B6D61" w:rsidRDefault="00426BAB" w:rsidP="00284B05">
            <w:pPr>
              <w:spacing w:after="0" w:line="252" w:lineRule="auto"/>
              <w:jc w:val="right"/>
              <w:rPr>
                <w:rFonts w:eastAsia="Calibri" w:cstheme="minorHAnsi"/>
                <w:i/>
                <w:sz w:val="20"/>
                <w:szCs w:val="20"/>
              </w:rPr>
            </w:pPr>
            <w:r w:rsidRPr="006B6D61">
              <w:rPr>
                <w:rFonts w:cstheme="minorHAnsi"/>
                <w:i/>
                <w:sz w:val="20"/>
                <w:szCs w:val="20"/>
              </w:rPr>
              <w:t>222</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0341E544" w14:textId="33F287D5" w:rsidR="003B280C" w:rsidRPr="006B6D61" w:rsidRDefault="00E42050"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120520B9" w14:textId="7A51C307" w:rsidR="003B280C" w:rsidRPr="006B6D61" w:rsidRDefault="00E42050"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69C50377" w14:textId="2DB3DCC7" w:rsidR="003B280C" w:rsidRPr="006B6D61" w:rsidRDefault="003E52FA" w:rsidP="00284B05">
            <w:pPr>
              <w:spacing w:after="0" w:line="252" w:lineRule="auto"/>
              <w:jc w:val="right"/>
              <w:rPr>
                <w:rFonts w:eastAsia="Calibri" w:cstheme="minorHAnsi"/>
                <w:i/>
                <w:sz w:val="20"/>
                <w:szCs w:val="20"/>
              </w:rPr>
            </w:pPr>
            <w:r w:rsidRPr="006B6D61">
              <w:rPr>
                <w:rFonts w:eastAsia="Calibri" w:cstheme="minorHAnsi"/>
                <w:i/>
                <w:sz w:val="20"/>
                <w:szCs w:val="20"/>
              </w:rPr>
              <w:t>60</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4622EE28" w14:textId="6829943C" w:rsidR="003B280C" w:rsidRPr="006B6D61" w:rsidRDefault="002C03F8" w:rsidP="00284B05">
            <w:pPr>
              <w:spacing w:after="0" w:line="252" w:lineRule="auto"/>
              <w:jc w:val="right"/>
              <w:rPr>
                <w:rFonts w:eastAsia="Calibri" w:cstheme="minorHAnsi"/>
                <w:i/>
                <w:sz w:val="20"/>
                <w:szCs w:val="20"/>
              </w:rPr>
            </w:pPr>
            <w:r w:rsidRPr="006B6D61">
              <w:rPr>
                <w:rFonts w:eastAsia="Calibri" w:cstheme="minorHAnsi"/>
                <w:i/>
                <w:sz w:val="20"/>
                <w:szCs w:val="20"/>
              </w:rPr>
              <w:t>60</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45174D06" w14:textId="18DE9742" w:rsidR="003B280C" w:rsidRPr="006B6D61" w:rsidRDefault="0042197A" w:rsidP="00284B05">
            <w:pPr>
              <w:spacing w:after="0" w:line="252" w:lineRule="auto"/>
              <w:jc w:val="right"/>
              <w:rPr>
                <w:rFonts w:eastAsia="Calibri" w:cstheme="minorHAnsi"/>
                <w:i/>
                <w:sz w:val="20"/>
                <w:szCs w:val="20"/>
              </w:rPr>
            </w:pPr>
            <w:r w:rsidRPr="006B6D61">
              <w:rPr>
                <w:i/>
                <w:sz w:val="20"/>
                <w:szCs w:val="20"/>
              </w:rPr>
              <w:t>27</w:t>
            </w:r>
            <w:r w:rsidR="002D6AAD" w:rsidRPr="006B6D61">
              <w:rPr>
                <w:i/>
                <w:sz w:val="20"/>
                <w:szCs w:val="20"/>
              </w:rPr>
              <w:t>,0</w:t>
            </w:r>
          </w:p>
        </w:tc>
      </w:tr>
      <w:tr w:rsidR="002F1BE7" w:rsidRPr="0044012B" w14:paraId="07E8A082" w14:textId="77777777" w:rsidTr="006B6D61">
        <w:trPr>
          <w:trHeight w:val="225"/>
          <w:tblHeader/>
        </w:trPr>
        <w:tc>
          <w:tcPr>
            <w:tcW w:w="2178" w:type="dxa"/>
            <w:tcBorders>
              <w:top w:val="nil"/>
              <w:left w:val="single" w:sz="4" w:space="0" w:color="auto"/>
              <w:bottom w:val="single" w:sz="4" w:space="0" w:color="auto"/>
              <w:right w:val="single" w:sz="4" w:space="0" w:color="auto"/>
            </w:tcBorders>
            <w:tcMar>
              <w:top w:w="0" w:type="dxa"/>
              <w:left w:w="70" w:type="dxa"/>
              <w:bottom w:w="0" w:type="dxa"/>
              <w:right w:w="70" w:type="dxa"/>
            </w:tcMar>
          </w:tcPr>
          <w:p w14:paraId="5CEAC66E" w14:textId="047F12B5" w:rsidR="003B280C" w:rsidRPr="006B6D61" w:rsidRDefault="00EA3686">
            <w:pPr>
              <w:spacing w:after="0" w:line="252" w:lineRule="auto"/>
              <w:ind w:firstLine="91"/>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003B280C" w:rsidRPr="006B6D61">
              <w:rPr>
                <w:rFonts w:cstheme="minorHAnsi"/>
                <w:i/>
                <w:sz w:val="20"/>
                <w:szCs w:val="20"/>
              </w:rPr>
              <w:t>z rozpočtu EU</w:t>
            </w:r>
          </w:p>
        </w:tc>
        <w:tc>
          <w:tcPr>
            <w:tcW w:w="1116"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35CB57CF" w14:textId="53137144" w:rsidR="003B280C" w:rsidRPr="006B6D61" w:rsidRDefault="00426BAB">
            <w:pPr>
              <w:spacing w:after="0" w:line="252" w:lineRule="auto"/>
              <w:jc w:val="right"/>
              <w:rPr>
                <w:rFonts w:eastAsia="Calibri" w:cstheme="minorHAnsi"/>
                <w:i/>
                <w:sz w:val="20"/>
                <w:szCs w:val="20"/>
              </w:rPr>
            </w:pPr>
            <w:r w:rsidRPr="006B6D61">
              <w:rPr>
                <w:rFonts w:cstheme="minorHAnsi"/>
                <w:i/>
                <w:sz w:val="20"/>
                <w:szCs w:val="20"/>
              </w:rPr>
              <w:t>936</w:t>
            </w:r>
          </w:p>
        </w:tc>
        <w:tc>
          <w:tcPr>
            <w:tcW w:w="116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54F45E9D" w14:textId="2BED2D59" w:rsidR="003B280C" w:rsidRPr="006B6D61" w:rsidRDefault="00E42050"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3DDE92A3" w14:textId="44F17B89" w:rsidR="003B280C" w:rsidRPr="006B6D61" w:rsidRDefault="00E42050" w:rsidP="00284B05">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1EAC5CBF" w14:textId="7F1D0631" w:rsidR="003B280C" w:rsidRPr="006B6D61" w:rsidRDefault="00C30E49" w:rsidP="00284B05">
            <w:pPr>
              <w:spacing w:after="0" w:line="252" w:lineRule="auto"/>
              <w:jc w:val="right"/>
              <w:rPr>
                <w:rFonts w:eastAsia="Calibri" w:cstheme="minorHAnsi"/>
                <w:i/>
                <w:sz w:val="20"/>
                <w:szCs w:val="20"/>
              </w:rPr>
            </w:pPr>
            <w:r w:rsidRPr="006B6D61">
              <w:rPr>
                <w:rFonts w:eastAsia="Calibri" w:cstheme="minorHAnsi"/>
                <w:i/>
                <w:sz w:val="20"/>
                <w:szCs w:val="20"/>
              </w:rPr>
              <w:t>252</w:t>
            </w:r>
          </w:p>
        </w:tc>
        <w:tc>
          <w:tcPr>
            <w:tcW w:w="1141"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556EC395" w14:textId="17837453" w:rsidR="003B280C" w:rsidRPr="006B6D61" w:rsidRDefault="002C03F8" w:rsidP="00284B05">
            <w:pPr>
              <w:spacing w:after="0" w:line="252" w:lineRule="auto"/>
              <w:jc w:val="right"/>
              <w:rPr>
                <w:rFonts w:eastAsia="Calibri" w:cstheme="minorHAnsi"/>
                <w:i/>
                <w:sz w:val="20"/>
                <w:szCs w:val="20"/>
              </w:rPr>
            </w:pPr>
            <w:r w:rsidRPr="006B6D61">
              <w:rPr>
                <w:rFonts w:eastAsia="Calibri" w:cstheme="minorHAnsi"/>
                <w:i/>
                <w:sz w:val="20"/>
                <w:szCs w:val="20"/>
              </w:rPr>
              <w:t>252</w:t>
            </w:r>
          </w:p>
        </w:tc>
        <w:tc>
          <w:tcPr>
            <w:tcW w:w="1075" w:type="dxa"/>
            <w:tcBorders>
              <w:top w:val="nil"/>
              <w:left w:val="single" w:sz="4" w:space="0" w:color="auto"/>
              <w:bottom w:val="single" w:sz="4" w:space="0" w:color="auto"/>
              <w:right w:val="single" w:sz="8" w:space="0" w:color="auto"/>
            </w:tcBorders>
            <w:tcMar>
              <w:top w:w="0" w:type="dxa"/>
              <w:left w:w="70" w:type="dxa"/>
              <w:bottom w:w="0" w:type="dxa"/>
              <w:right w:w="70" w:type="dxa"/>
            </w:tcMar>
            <w:vAlign w:val="center"/>
          </w:tcPr>
          <w:p w14:paraId="15520DD0" w14:textId="291244A2" w:rsidR="003B280C" w:rsidRPr="006B6D61" w:rsidRDefault="0042197A" w:rsidP="00284B05">
            <w:pPr>
              <w:spacing w:after="0" w:line="252" w:lineRule="auto"/>
              <w:jc w:val="right"/>
              <w:rPr>
                <w:rFonts w:eastAsia="Calibri" w:cstheme="minorHAnsi"/>
                <w:i/>
                <w:sz w:val="20"/>
                <w:szCs w:val="20"/>
              </w:rPr>
            </w:pPr>
            <w:r w:rsidRPr="006B6D61">
              <w:rPr>
                <w:i/>
                <w:sz w:val="20"/>
                <w:szCs w:val="20"/>
              </w:rPr>
              <w:t>2</w:t>
            </w:r>
            <w:r w:rsidR="002D6AAD" w:rsidRPr="006B6D61">
              <w:rPr>
                <w:i/>
                <w:sz w:val="20"/>
                <w:szCs w:val="20"/>
              </w:rPr>
              <w:t>6,9</w:t>
            </w:r>
          </w:p>
        </w:tc>
      </w:tr>
      <w:tr w:rsidR="002F1BE7" w:rsidRPr="0044012B" w14:paraId="7044D86D" w14:textId="77777777" w:rsidTr="006B6D61">
        <w:trPr>
          <w:trHeight w:val="314"/>
          <w:tblHeader/>
        </w:trPr>
        <w:tc>
          <w:tcPr>
            <w:tcW w:w="2178" w:type="dxa"/>
            <w:tcBorders>
              <w:top w:val="single" w:sz="4" w:space="0" w:color="auto"/>
              <w:left w:val="single" w:sz="4" w:space="0" w:color="auto"/>
              <w:bottom w:val="nil"/>
              <w:right w:val="single" w:sz="4" w:space="0" w:color="auto"/>
            </w:tcBorders>
            <w:tcMar>
              <w:top w:w="0" w:type="dxa"/>
              <w:left w:w="70" w:type="dxa"/>
              <w:bottom w:w="0" w:type="dxa"/>
              <w:right w:w="70" w:type="dxa"/>
            </w:tcMar>
            <w:hideMark/>
          </w:tcPr>
          <w:p w14:paraId="02625AB2" w14:textId="77777777" w:rsidR="003B280C" w:rsidRPr="006B6D61" w:rsidRDefault="003B280C" w:rsidP="00284B05">
            <w:pPr>
              <w:spacing w:before="40" w:after="40" w:line="252" w:lineRule="auto"/>
              <w:jc w:val="both"/>
              <w:rPr>
                <w:rFonts w:eastAsia="Calibri" w:cstheme="minorHAnsi"/>
                <w:b/>
                <w:sz w:val="20"/>
                <w:szCs w:val="20"/>
              </w:rPr>
            </w:pPr>
            <w:r w:rsidRPr="006B6D61">
              <w:rPr>
                <w:rFonts w:eastAsia="Calibri" w:cstheme="minorHAnsi"/>
                <w:b/>
                <w:sz w:val="20"/>
                <w:szCs w:val="20"/>
              </w:rPr>
              <w:t>Kapitálové výdaje</w:t>
            </w:r>
          </w:p>
        </w:tc>
        <w:tc>
          <w:tcPr>
            <w:tcW w:w="1116"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123E0C60" w14:textId="6F2F1BA8" w:rsidR="003B280C" w:rsidRPr="006B6D61" w:rsidRDefault="00844A57" w:rsidP="00284B05">
            <w:pPr>
              <w:spacing w:before="40" w:after="40" w:line="252" w:lineRule="auto"/>
              <w:jc w:val="right"/>
              <w:rPr>
                <w:rFonts w:eastAsia="Calibri" w:cstheme="minorHAnsi"/>
                <w:b/>
                <w:sz w:val="20"/>
                <w:szCs w:val="20"/>
              </w:rPr>
            </w:pPr>
            <w:r w:rsidRPr="006B6D61">
              <w:rPr>
                <w:rFonts w:eastAsia="Calibri" w:cstheme="minorHAnsi"/>
                <w:b/>
                <w:bCs/>
                <w:sz w:val="20"/>
                <w:szCs w:val="20"/>
              </w:rPr>
              <w:t>1 097</w:t>
            </w:r>
          </w:p>
        </w:tc>
        <w:tc>
          <w:tcPr>
            <w:tcW w:w="116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16D6AB5" w14:textId="7D44E1A1" w:rsidR="003B280C" w:rsidRPr="006B6D61" w:rsidRDefault="0056347B" w:rsidP="00284B05">
            <w:pPr>
              <w:spacing w:before="40" w:after="40" w:line="252" w:lineRule="auto"/>
              <w:jc w:val="right"/>
              <w:rPr>
                <w:rFonts w:eastAsia="Calibri" w:cstheme="minorHAnsi"/>
                <w:b/>
                <w:sz w:val="20"/>
                <w:szCs w:val="20"/>
              </w:rPr>
            </w:pPr>
            <w:r>
              <w:rPr>
                <w:rFonts w:eastAsia="Calibri" w:cstheme="minorHAnsi"/>
                <w:b/>
                <w:sz w:val="20"/>
                <w:szCs w:val="20"/>
              </w:rPr>
              <w:t>0</w:t>
            </w:r>
          </w:p>
        </w:tc>
        <w:tc>
          <w:tcPr>
            <w:tcW w:w="126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0DA39C91" w14:textId="5690E961" w:rsidR="003B280C" w:rsidRPr="006B6D61" w:rsidRDefault="0056347B" w:rsidP="00284B05">
            <w:pPr>
              <w:spacing w:before="40" w:after="40" w:line="252" w:lineRule="auto"/>
              <w:jc w:val="right"/>
              <w:rPr>
                <w:rFonts w:eastAsia="Calibri" w:cstheme="minorHAnsi"/>
                <w:b/>
                <w:sz w:val="20"/>
                <w:szCs w:val="20"/>
              </w:rPr>
            </w:pPr>
            <w:r>
              <w:rPr>
                <w:rFonts w:eastAsia="Calibri" w:cstheme="minorHAnsi"/>
                <w:b/>
                <w:sz w:val="20"/>
                <w:szCs w:val="20"/>
              </w:rPr>
              <w:t>0</w:t>
            </w:r>
          </w:p>
        </w:tc>
        <w:tc>
          <w:tcPr>
            <w:tcW w:w="106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58BA0F10" w14:textId="10560CE0" w:rsidR="003B280C" w:rsidRPr="006B6D61" w:rsidRDefault="001258F6" w:rsidP="00284B05">
            <w:pPr>
              <w:spacing w:before="40" w:after="40" w:line="252" w:lineRule="auto"/>
              <w:jc w:val="right"/>
              <w:rPr>
                <w:rFonts w:eastAsia="Calibri" w:cstheme="minorHAnsi"/>
                <w:b/>
                <w:sz w:val="20"/>
                <w:szCs w:val="20"/>
              </w:rPr>
            </w:pPr>
            <w:r w:rsidRPr="006B6D61">
              <w:rPr>
                <w:rFonts w:eastAsia="Calibri" w:cstheme="minorHAnsi"/>
                <w:b/>
                <w:bCs/>
                <w:sz w:val="20"/>
                <w:szCs w:val="20"/>
              </w:rPr>
              <w:t>1 444</w:t>
            </w:r>
          </w:p>
        </w:tc>
        <w:tc>
          <w:tcPr>
            <w:tcW w:w="1141"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4E0AEFA" w14:textId="5038B0A9" w:rsidR="003B280C" w:rsidRPr="006B6D61" w:rsidRDefault="00CD49E9" w:rsidP="00284B05">
            <w:pPr>
              <w:spacing w:before="40" w:after="40" w:line="252" w:lineRule="auto"/>
              <w:jc w:val="right"/>
              <w:rPr>
                <w:rFonts w:eastAsia="Calibri" w:cstheme="minorHAnsi"/>
                <w:b/>
                <w:sz w:val="20"/>
                <w:szCs w:val="20"/>
              </w:rPr>
            </w:pPr>
            <w:r w:rsidRPr="006B6D61">
              <w:rPr>
                <w:rFonts w:eastAsia="Calibri" w:cstheme="minorHAnsi"/>
                <w:b/>
                <w:bCs/>
                <w:sz w:val="20"/>
                <w:szCs w:val="20"/>
              </w:rPr>
              <w:t>1 444</w:t>
            </w:r>
          </w:p>
        </w:tc>
        <w:tc>
          <w:tcPr>
            <w:tcW w:w="1075" w:type="dxa"/>
            <w:tcBorders>
              <w:top w:val="single" w:sz="4" w:space="0" w:color="auto"/>
              <w:left w:val="single" w:sz="4" w:space="0" w:color="auto"/>
              <w:bottom w:val="nil"/>
              <w:right w:val="single" w:sz="8" w:space="0" w:color="auto"/>
            </w:tcBorders>
            <w:tcMar>
              <w:top w:w="0" w:type="dxa"/>
              <w:left w:w="70" w:type="dxa"/>
              <w:bottom w:w="0" w:type="dxa"/>
              <w:right w:w="70" w:type="dxa"/>
            </w:tcMar>
            <w:vAlign w:val="center"/>
          </w:tcPr>
          <w:p w14:paraId="6AA5A8AD" w14:textId="29DE2195" w:rsidR="003B280C" w:rsidRPr="0077128B" w:rsidRDefault="00AB0C58" w:rsidP="00284B0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131,6</w:t>
            </w:r>
          </w:p>
        </w:tc>
      </w:tr>
      <w:tr w:rsidR="002F1BE7" w:rsidRPr="0044012B" w14:paraId="2F53A192"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hideMark/>
          </w:tcPr>
          <w:p w14:paraId="1C2FB6CD" w14:textId="77777777" w:rsidR="003B280C" w:rsidRPr="006B6D61" w:rsidRDefault="003B280C" w:rsidP="00284B05">
            <w:pPr>
              <w:spacing w:after="0" w:line="252" w:lineRule="auto"/>
              <w:ind w:hanging="4"/>
              <w:jc w:val="both"/>
              <w:rPr>
                <w:rFonts w:eastAsia="Calibri" w:cstheme="minorHAnsi"/>
                <w:sz w:val="20"/>
                <w:szCs w:val="20"/>
              </w:rPr>
            </w:pPr>
            <w:r w:rsidRPr="006B6D61">
              <w:rPr>
                <w:rFonts w:eastAsia="Calibri" w:cstheme="minorHAnsi"/>
                <w:sz w:val="20"/>
                <w:szCs w:val="20"/>
              </w:rPr>
              <w:t>v tom: RISPF</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6D848AD8" w14:textId="2886CAA5" w:rsidR="003B280C" w:rsidRPr="006B6D61" w:rsidRDefault="003831F0" w:rsidP="00284B05">
            <w:pPr>
              <w:spacing w:after="0" w:line="252" w:lineRule="auto"/>
              <w:jc w:val="right"/>
              <w:rPr>
                <w:rFonts w:eastAsia="Calibri" w:cstheme="minorHAnsi"/>
                <w:sz w:val="20"/>
                <w:szCs w:val="20"/>
              </w:rPr>
            </w:pPr>
            <w:r w:rsidRPr="006B6D61">
              <w:rPr>
                <w:rFonts w:eastAsia="Calibri" w:cstheme="minorHAnsi"/>
                <w:sz w:val="20"/>
                <w:szCs w:val="20"/>
              </w:rPr>
              <w:t>1 097</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10CF7F67" w14:textId="5618D988" w:rsidR="003B280C" w:rsidRPr="006B6D61" w:rsidRDefault="0056347B" w:rsidP="00284B05">
            <w:pPr>
              <w:spacing w:after="0" w:line="252" w:lineRule="auto"/>
              <w:jc w:val="right"/>
              <w:rPr>
                <w:rFonts w:eastAsia="Calibri" w:cstheme="minorHAnsi"/>
                <w:sz w:val="20"/>
                <w:szCs w:val="20"/>
              </w:rPr>
            </w:pPr>
            <w:r>
              <w:rPr>
                <w:rFonts w:eastAsia="Calibri" w:cstheme="minorHAns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03573A82" w14:textId="125E1C16" w:rsidR="003B280C" w:rsidRPr="006B6D61" w:rsidRDefault="0056347B" w:rsidP="00284B05">
            <w:pPr>
              <w:spacing w:after="0" w:line="252" w:lineRule="auto"/>
              <w:jc w:val="right"/>
              <w:rPr>
                <w:rFonts w:eastAsia="Calibri" w:cstheme="minorHAnsi"/>
                <w:sz w:val="20"/>
                <w:szCs w:val="20"/>
              </w:rPr>
            </w:pPr>
            <w:r>
              <w:rPr>
                <w:rFonts w:eastAsia="Calibri" w:cstheme="minorHAns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446C4785" w14:textId="3F683E20" w:rsidR="003B280C" w:rsidRPr="006B6D61" w:rsidRDefault="00A65868" w:rsidP="00284B05">
            <w:pPr>
              <w:spacing w:after="0" w:line="252" w:lineRule="auto"/>
              <w:jc w:val="right"/>
              <w:rPr>
                <w:rFonts w:eastAsia="Calibri" w:cstheme="minorHAnsi"/>
                <w:sz w:val="20"/>
                <w:szCs w:val="20"/>
              </w:rPr>
            </w:pPr>
            <w:r w:rsidRPr="006B6D61">
              <w:rPr>
                <w:rFonts w:eastAsia="Calibri" w:cstheme="minorHAnsi"/>
                <w:bCs/>
                <w:sz w:val="20"/>
                <w:szCs w:val="20"/>
              </w:rPr>
              <w:t>1 444</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09009F4C" w14:textId="1D242C11" w:rsidR="003B280C" w:rsidRPr="006B6D61" w:rsidRDefault="00A65868" w:rsidP="00284B05">
            <w:pPr>
              <w:spacing w:after="0" w:line="252" w:lineRule="auto"/>
              <w:jc w:val="right"/>
              <w:rPr>
                <w:rFonts w:eastAsia="Calibri" w:cstheme="minorHAnsi"/>
                <w:sz w:val="20"/>
                <w:szCs w:val="20"/>
              </w:rPr>
            </w:pPr>
            <w:r w:rsidRPr="006B6D61">
              <w:rPr>
                <w:rFonts w:eastAsia="Calibri" w:cstheme="minorHAnsi"/>
                <w:bCs/>
                <w:sz w:val="20"/>
                <w:szCs w:val="20"/>
              </w:rPr>
              <w:t>1 444</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77EBE240" w14:textId="0FBB44DF" w:rsidR="003B280C" w:rsidRPr="002F1BE7" w:rsidRDefault="0075062A" w:rsidP="00284B05">
            <w:pPr>
              <w:spacing w:after="0" w:line="252" w:lineRule="auto"/>
              <w:jc w:val="right"/>
              <w:rPr>
                <w:rFonts w:eastAsia="Calibri" w:cstheme="minorHAnsi"/>
                <w:color w:val="FF0000"/>
                <w:sz w:val="20"/>
                <w:szCs w:val="20"/>
              </w:rPr>
            </w:pPr>
            <w:r w:rsidRPr="006B6D61">
              <w:rPr>
                <w:rFonts w:eastAsia="Calibri" w:cstheme="minorHAnsi"/>
                <w:sz w:val="20"/>
                <w:szCs w:val="20"/>
              </w:rPr>
              <w:t>131,6</w:t>
            </w:r>
          </w:p>
        </w:tc>
      </w:tr>
      <w:tr w:rsidR="002F1BE7" w:rsidRPr="0044012B" w14:paraId="15B43706"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5ECA7FC4" w14:textId="250804A7" w:rsidR="00706FB6" w:rsidRPr="006B6D61" w:rsidRDefault="00706FB6" w:rsidP="00706FB6">
            <w:pPr>
              <w:spacing w:after="0" w:line="252" w:lineRule="auto"/>
              <w:ind w:hanging="4"/>
              <w:jc w:val="both"/>
              <w:rPr>
                <w:rFonts w:eastAsia="Calibri" w:cstheme="minorHAnsi"/>
                <w:i/>
                <w:sz w:val="20"/>
                <w:szCs w:val="20"/>
              </w:rPr>
            </w:pPr>
            <w:r w:rsidRPr="006B6D61">
              <w:rPr>
                <w:rFonts w:cstheme="minorHAnsi"/>
                <w:i/>
                <w:sz w:val="20"/>
                <w:szCs w:val="20"/>
              </w:rPr>
              <w:t xml:space="preserve">z toho: výdaje na </w:t>
            </w:r>
            <w:proofErr w:type="spellStart"/>
            <w:r w:rsidRPr="006B6D61">
              <w:rPr>
                <w:rFonts w:cstheme="minorHAnsi"/>
                <w:i/>
                <w:sz w:val="20"/>
                <w:szCs w:val="20"/>
              </w:rPr>
              <w:t>progr</w:t>
            </w:r>
            <w:proofErr w:type="spellEnd"/>
            <w:r w:rsidRPr="006B6D61">
              <w:rPr>
                <w:rFonts w:cstheme="minorHAnsi"/>
                <w:i/>
                <w:sz w:val="20"/>
                <w:szCs w:val="20"/>
              </w:rPr>
              <w:t xml:space="preserve">. </w:t>
            </w:r>
            <w:proofErr w:type="spellStart"/>
            <w:r w:rsidRPr="006B6D61">
              <w:rPr>
                <w:rFonts w:cstheme="minorHAnsi"/>
                <w:i/>
                <w:sz w:val="20"/>
                <w:szCs w:val="20"/>
              </w:rPr>
              <w:t>spolufin</w:t>
            </w:r>
            <w:proofErr w:type="spellEnd"/>
            <w:r w:rsidRPr="006B6D61">
              <w:rPr>
                <w:rFonts w:cstheme="minorHAnsi"/>
                <w:i/>
                <w:sz w:val="20"/>
                <w:szCs w:val="20"/>
              </w:rPr>
              <w:t>. z rozpočtu EU</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19945CDE" w14:textId="1E4DD76F" w:rsidR="00706FB6" w:rsidRPr="006B6D61" w:rsidRDefault="003831F0"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6BBB823E" w14:textId="2B4E8E8C" w:rsidR="00706FB6" w:rsidRPr="006B6D61" w:rsidRDefault="00B63A64"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13807D50" w14:textId="7FBF66CC" w:rsidR="00706FB6" w:rsidRPr="006B6D61" w:rsidRDefault="00B63A64"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4354120C" w14:textId="6CD7AD6C" w:rsidR="00706FB6" w:rsidRPr="006B6D61" w:rsidRDefault="00816FAE" w:rsidP="00706FB6">
            <w:pPr>
              <w:spacing w:after="0" w:line="252" w:lineRule="auto"/>
              <w:jc w:val="right"/>
              <w:rPr>
                <w:rFonts w:eastAsia="Calibri" w:cstheme="minorHAnsi"/>
                <w:i/>
                <w:sz w:val="20"/>
                <w:szCs w:val="20"/>
              </w:rPr>
            </w:pPr>
            <w:r w:rsidRPr="006B6D61">
              <w:rPr>
                <w:rFonts w:eastAsia="Calibri" w:cstheme="minorHAnsi"/>
                <w:bCs/>
                <w:i/>
                <w:sz w:val="20"/>
                <w:szCs w:val="20"/>
              </w:rPr>
              <w:t>697</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0B4521BE" w14:textId="2924F841" w:rsidR="00706FB6" w:rsidRPr="006B6D61" w:rsidRDefault="00816FAE" w:rsidP="00706FB6">
            <w:pPr>
              <w:spacing w:after="0" w:line="252" w:lineRule="auto"/>
              <w:jc w:val="right"/>
              <w:rPr>
                <w:rFonts w:eastAsia="Calibri" w:cstheme="minorHAnsi"/>
                <w:i/>
                <w:sz w:val="20"/>
                <w:szCs w:val="20"/>
              </w:rPr>
            </w:pPr>
            <w:r w:rsidRPr="006B6D61">
              <w:rPr>
                <w:rFonts w:eastAsia="Calibri" w:cstheme="minorHAnsi"/>
                <w:bCs/>
                <w:i/>
                <w:sz w:val="20"/>
                <w:szCs w:val="20"/>
              </w:rPr>
              <w:t>697</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762C1F28" w14:textId="42E44A3E" w:rsidR="00706FB6" w:rsidRPr="006B6D61" w:rsidRDefault="0028446B"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r>
      <w:tr w:rsidR="002F1BE7" w:rsidRPr="0044012B" w14:paraId="41017E8D" w14:textId="77777777" w:rsidTr="006B6D61">
        <w:trPr>
          <w:trHeight w:val="225"/>
          <w:tblHeader/>
        </w:trPr>
        <w:tc>
          <w:tcPr>
            <w:tcW w:w="2178" w:type="dxa"/>
            <w:tcBorders>
              <w:top w:val="nil"/>
              <w:left w:val="single" w:sz="4" w:space="0" w:color="auto"/>
              <w:bottom w:val="nil"/>
              <w:right w:val="single" w:sz="4" w:space="0" w:color="auto"/>
            </w:tcBorders>
            <w:tcMar>
              <w:top w:w="0" w:type="dxa"/>
              <w:left w:w="70" w:type="dxa"/>
              <w:bottom w:w="0" w:type="dxa"/>
              <w:right w:w="70" w:type="dxa"/>
            </w:tcMar>
          </w:tcPr>
          <w:p w14:paraId="3C7134EB" w14:textId="113C92A2" w:rsidR="00706FB6" w:rsidRPr="006B6D61" w:rsidRDefault="00706FB6" w:rsidP="00706FB6">
            <w:pPr>
              <w:spacing w:after="0" w:line="252" w:lineRule="auto"/>
              <w:ind w:hanging="4"/>
              <w:jc w:val="both"/>
              <w:rPr>
                <w:rFonts w:eastAsia="Calibri" w:cstheme="minorHAnsi"/>
                <w:i/>
                <w:sz w:val="20"/>
                <w:szCs w:val="20"/>
              </w:rPr>
            </w:pPr>
            <w:r w:rsidRPr="006B6D61">
              <w:rPr>
                <w:rFonts w:cstheme="minorHAnsi"/>
                <w:i/>
                <w:sz w:val="20"/>
                <w:szCs w:val="20"/>
              </w:rPr>
              <w:t>v tom: ze SR</w:t>
            </w:r>
          </w:p>
        </w:tc>
        <w:tc>
          <w:tcPr>
            <w:tcW w:w="1116" w:type="dxa"/>
            <w:tcBorders>
              <w:top w:val="nil"/>
              <w:left w:val="single" w:sz="4" w:space="0" w:color="auto"/>
              <w:bottom w:val="nil"/>
              <w:right w:val="single" w:sz="4" w:space="0" w:color="auto"/>
            </w:tcBorders>
            <w:tcMar>
              <w:top w:w="0" w:type="dxa"/>
              <w:left w:w="70" w:type="dxa"/>
              <w:bottom w:w="0" w:type="dxa"/>
              <w:right w:w="70" w:type="dxa"/>
            </w:tcMar>
            <w:vAlign w:val="center"/>
          </w:tcPr>
          <w:p w14:paraId="5E07DFC7" w14:textId="6B4C644C" w:rsidR="00706FB6" w:rsidRPr="006B6D61" w:rsidRDefault="003831F0"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64" w:type="dxa"/>
            <w:tcBorders>
              <w:top w:val="nil"/>
              <w:left w:val="single" w:sz="4" w:space="0" w:color="auto"/>
              <w:bottom w:val="nil"/>
              <w:right w:val="single" w:sz="4" w:space="0" w:color="auto"/>
            </w:tcBorders>
            <w:tcMar>
              <w:top w:w="0" w:type="dxa"/>
              <w:left w:w="70" w:type="dxa"/>
              <w:bottom w:w="0" w:type="dxa"/>
              <w:right w:w="70" w:type="dxa"/>
            </w:tcMar>
            <w:vAlign w:val="center"/>
          </w:tcPr>
          <w:p w14:paraId="6F20CF46" w14:textId="6CB0A3E1" w:rsidR="00706FB6" w:rsidRPr="006B6D61" w:rsidRDefault="00B63A64"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nil"/>
              <w:right w:val="single" w:sz="4" w:space="0" w:color="auto"/>
            </w:tcBorders>
            <w:tcMar>
              <w:top w:w="0" w:type="dxa"/>
              <w:left w:w="70" w:type="dxa"/>
              <w:bottom w:w="0" w:type="dxa"/>
              <w:right w:w="70" w:type="dxa"/>
            </w:tcMar>
            <w:vAlign w:val="center"/>
          </w:tcPr>
          <w:p w14:paraId="58BCA58B" w14:textId="4F8BDAB6" w:rsidR="00706FB6" w:rsidRPr="006B6D61" w:rsidRDefault="00B63A64"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nil"/>
              <w:right w:val="single" w:sz="4" w:space="0" w:color="auto"/>
            </w:tcBorders>
            <w:tcMar>
              <w:top w:w="0" w:type="dxa"/>
              <w:left w:w="70" w:type="dxa"/>
              <w:bottom w:w="0" w:type="dxa"/>
              <w:right w:w="70" w:type="dxa"/>
            </w:tcMar>
            <w:vAlign w:val="center"/>
          </w:tcPr>
          <w:p w14:paraId="58279BBD" w14:textId="43524837" w:rsidR="00706FB6" w:rsidRPr="006B6D61" w:rsidRDefault="00CE1961" w:rsidP="00706FB6">
            <w:pPr>
              <w:spacing w:after="0" w:line="252" w:lineRule="auto"/>
              <w:jc w:val="right"/>
              <w:rPr>
                <w:rFonts w:eastAsia="Calibri" w:cstheme="minorHAnsi"/>
                <w:i/>
                <w:sz w:val="20"/>
                <w:szCs w:val="20"/>
              </w:rPr>
            </w:pPr>
            <w:r w:rsidRPr="006B6D61">
              <w:rPr>
                <w:rFonts w:eastAsia="Calibri" w:cstheme="minorHAnsi"/>
                <w:bCs/>
                <w:i/>
                <w:sz w:val="20"/>
                <w:szCs w:val="20"/>
              </w:rPr>
              <w:t>134</w:t>
            </w:r>
          </w:p>
        </w:tc>
        <w:tc>
          <w:tcPr>
            <w:tcW w:w="1141" w:type="dxa"/>
            <w:tcBorders>
              <w:top w:val="nil"/>
              <w:left w:val="single" w:sz="4" w:space="0" w:color="auto"/>
              <w:bottom w:val="nil"/>
              <w:right w:val="single" w:sz="4" w:space="0" w:color="auto"/>
            </w:tcBorders>
            <w:tcMar>
              <w:top w:w="0" w:type="dxa"/>
              <w:left w:w="70" w:type="dxa"/>
              <w:bottom w:w="0" w:type="dxa"/>
              <w:right w:w="70" w:type="dxa"/>
            </w:tcMar>
            <w:vAlign w:val="center"/>
          </w:tcPr>
          <w:p w14:paraId="028E7E20" w14:textId="46A9467D" w:rsidR="00706FB6" w:rsidRPr="006B6D61" w:rsidRDefault="00CE1961" w:rsidP="00706FB6">
            <w:pPr>
              <w:spacing w:after="0" w:line="252" w:lineRule="auto"/>
              <w:jc w:val="right"/>
              <w:rPr>
                <w:rFonts w:eastAsia="Calibri" w:cstheme="minorHAnsi"/>
                <w:i/>
                <w:sz w:val="20"/>
                <w:szCs w:val="20"/>
              </w:rPr>
            </w:pPr>
            <w:r w:rsidRPr="006B6D61">
              <w:rPr>
                <w:rFonts w:eastAsia="Calibri" w:cstheme="minorHAnsi"/>
                <w:bCs/>
                <w:i/>
                <w:sz w:val="20"/>
                <w:szCs w:val="20"/>
              </w:rPr>
              <w:t>134</w:t>
            </w:r>
          </w:p>
        </w:tc>
        <w:tc>
          <w:tcPr>
            <w:tcW w:w="1075" w:type="dxa"/>
            <w:tcBorders>
              <w:top w:val="nil"/>
              <w:left w:val="single" w:sz="4" w:space="0" w:color="auto"/>
              <w:bottom w:val="nil"/>
              <w:right w:val="single" w:sz="8" w:space="0" w:color="auto"/>
            </w:tcBorders>
            <w:tcMar>
              <w:top w:w="0" w:type="dxa"/>
              <w:left w:w="70" w:type="dxa"/>
              <w:bottom w:w="0" w:type="dxa"/>
              <w:right w:w="70" w:type="dxa"/>
            </w:tcMar>
            <w:vAlign w:val="center"/>
          </w:tcPr>
          <w:p w14:paraId="2F894AA6" w14:textId="1086AB17" w:rsidR="00706FB6" w:rsidRPr="006B6D61" w:rsidRDefault="0028446B"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r>
      <w:tr w:rsidR="002F1BE7" w:rsidRPr="0044012B" w14:paraId="0CE731E2" w14:textId="77777777" w:rsidTr="006B6D61">
        <w:trPr>
          <w:trHeight w:val="225"/>
          <w:tblHeader/>
        </w:trPr>
        <w:tc>
          <w:tcPr>
            <w:tcW w:w="2178" w:type="dxa"/>
            <w:tcBorders>
              <w:top w:val="nil"/>
              <w:left w:val="single" w:sz="4" w:space="0" w:color="auto"/>
              <w:bottom w:val="single" w:sz="4" w:space="0" w:color="auto"/>
              <w:right w:val="single" w:sz="4" w:space="0" w:color="auto"/>
            </w:tcBorders>
            <w:tcMar>
              <w:top w:w="0" w:type="dxa"/>
              <w:left w:w="70" w:type="dxa"/>
              <w:bottom w:w="0" w:type="dxa"/>
              <w:right w:w="70" w:type="dxa"/>
            </w:tcMar>
          </w:tcPr>
          <w:p w14:paraId="3F996439" w14:textId="19FD64E0" w:rsidR="00706FB6" w:rsidRPr="006B6D61" w:rsidRDefault="00EA3686" w:rsidP="00706FB6">
            <w:pPr>
              <w:spacing w:after="0" w:line="252" w:lineRule="auto"/>
              <w:ind w:hanging="4"/>
              <w:jc w:val="both"/>
              <w:rPr>
                <w:rFonts w:eastAsia="Calibri" w:cstheme="minorHAnsi"/>
                <w:i/>
                <w:sz w:val="20"/>
                <w:szCs w:val="20"/>
              </w:rPr>
            </w:pPr>
            <w:r w:rsidRPr="006B6D61">
              <w:rPr>
                <w:rFonts w:cstheme="minorHAnsi"/>
                <w:i/>
                <w:sz w:val="20"/>
                <w:szCs w:val="20"/>
              </w:rPr>
              <w:tab/>
            </w:r>
            <w:r w:rsidRPr="006B6D61">
              <w:rPr>
                <w:rFonts w:cstheme="minorHAnsi"/>
                <w:i/>
                <w:sz w:val="20"/>
                <w:szCs w:val="20"/>
              </w:rPr>
              <w:tab/>
            </w:r>
            <w:r w:rsidRPr="006B6D61">
              <w:rPr>
                <w:rFonts w:cstheme="minorHAnsi"/>
                <w:i/>
                <w:sz w:val="20"/>
                <w:szCs w:val="20"/>
              </w:rPr>
              <w:tab/>
            </w:r>
            <w:r w:rsidR="00706FB6" w:rsidRPr="006B6D61">
              <w:rPr>
                <w:rFonts w:cstheme="minorHAnsi"/>
                <w:i/>
                <w:sz w:val="20"/>
                <w:szCs w:val="20"/>
              </w:rPr>
              <w:t>z rozpočtu EU</w:t>
            </w:r>
          </w:p>
        </w:tc>
        <w:tc>
          <w:tcPr>
            <w:tcW w:w="1116"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7AA6BA7E" w14:textId="67020173" w:rsidR="00706FB6" w:rsidRPr="006B6D61" w:rsidRDefault="003831F0"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16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694D612B" w14:textId="52FE8306" w:rsidR="00706FB6" w:rsidRPr="006B6D61" w:rsidRDefault="00B63A64"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26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58958FF4" w14:textId="08F56CC0" w:rsidR="00706FB6" w:rsidRPr="006B6D61" w:rsidRDefault="00B63A64"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c>
          <w:tcPr>
            <w:tcW w:w="106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7CC05B9A" w14:textId="4A59C6FC" w:rsidR="00706FB6" w:rsidRPr="006B6D61" w:rsidRDefault="00CE1961" w:rsidP="00706FB6">
            <w:pPr>
              <w:spacing w:after="0" w:line="252" w:lineRule="auto"/>
              <w:jc w:val="right"/>
              <w:rPr>
                <w:rFonts w:eastAsia="Calibri" w:cstheme="minorHAnsi"/>
                <w:i/>
                <w:sz w:val="20"/>
                <w:szCs w:val="20"/>
              </w:rPr>
            </w:pPr>
            <w:r w:rsidRPr="006B6D61">
              <w:rPr>
                <w:rFonts w:eastAsia="Calibri" w:cstheme="minorHAnsi"/>
                <w:bCs/>
                <w:i/>
                <w:sz w:val="20"/>
                <w:szCs w:val="20"/>
              </w:rPr>
              <w:t>564</w:t>
            </w:r>
          </w:p>
        </w:tc>
        <w:tc>
          <w:tcPr>
            <w:tcW w:w="1141"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7A872C96" w14:textId="71338517" w:rsidR="00706FB6" w:rsidRPr="006B6D61" w:rsidRDefault="00CE1961" w:rsidP="00706FB6">
            <w:pPr>
              <w:spacing w:after="0" w:line="252" w:lineRule="auto"/>
              <w:jc w:val="right"/>
              <w:rPr>
                <w:rFonts w:eastAsia="Calibri" w:cstheme="minorHAnsi"/>
                <w:i/>
                <w:sz w:val="20"/>
                <w:szCs w:val="20"/>
              </w:rPr>
            </w:pPr>
            <w:r w:rsidRPr="006B6D61">
              <w:rPr>
                <w:rFonts w:eastAsia="Calibri" w:cstheme="minorHAnsi"/>
                <w:bCs/>
                <w:i/>
                <w:sz w:val="20"/>
                <w:szCs w:val="20"/>
              </w:rPr>
              <w:t>564</w:t>
            </w:r>
          </w:p>
        </w:tc>
        <w:tc>
          <w:tcPr>
            <w:tcW w:w="1075" w:type="dxa"/>
            <w:tcBorders>
              <w:top w:val="nil"/>
              <w:left w:val="single" w:sz="4" w:space="0" w:color="auto"/>
              <w:bottom w:val="single" w:sz="4" w:space="0" w:color="auto"/>
              <w:right w:val="single" w:sz="8" w:space="0" w:color="auto"/>
            </w:tcBorders>
            <w:tcMar>
              <w:top w:w="0" w:type="dxa"/>
              <w:left w:w="70" w:type="dxa"/>
              <w:bottom w:w="0" w:type="dxa"/>
              <w:right w:w="70" w:type="dxa"/>
            </w:tcMar>
            <w:vAlign w:val="center"/>
          </w:tcPr>
          <w:p w14:paraId="2EC66A42" w14:textId="7D3553BA" w:rsidR="00706FB6" w:rsidRPr="006B6D61" w:rsidRDefault="0028446B" w:rsidP="00706FB6">
            <w:pPr>
              <w:spacing w:after="0" w:line="252" w:lineRule="auto"/>
              <w:jc w:val="right"/>
              <w:rPr>
                <w:rFonts w:eastAsia="Calibri" w:cstheme="minorHAnsi"/>
                <w:i/>
                <w:sz w:val="20"/>
                <w:szCs w:val="20"/>
              </w:rPr>
            </w:pPr>
            <w:r w:rsidRPr="006B6D61">
              <w:rPr>
                <w:rFonts w:eastAsia="Calibri" w:cstheme="minorHAnsi"/>
                <w:i/>
                <w:sz w:val="20"/>
                <w:szCs w:val="20"/>
              </w:rPr>
              <w:t>0</w:t>
            </w:r>
          </w:p>
        </w:tc>
      </w:tr>
    </w:tbl>
    <w:p w14:paraId="6287E4BE" w14:textId="4DEB225A" w:rsidR="00471C7F" w:rsidRPr="0077128B" w:rsidRDefault="009743B7" w:rsidP="003F0A7C">
      <w:pPr>
        <w:pStyle w:val="KOMtext"/>
        <w:rPr>
          <w:color w:val="FF0000"/>
        </w:rPr>
      </w:pPr>
      <w:r w:rsidRPr="006B6D61">
        <w:t>Schválený rozpočet Drážní inspekce byl ve výši 4</w:t>
      </w:r>
      <w:r w:rsidR="002E4934" w:rsidRPr="006B6D61">
        <w:t>1 472</w:t>
      </w:r>
      <w:r w:rsidRPr="006B6D61">
        <w:t xml:space="preserve"> tis. Kč</w:t>
      </w:r>
      <w:r w:rsidR="00BD6853">
        <w:t>, přičemž</w:t>
      </w:r>
      <w:r w:rsidRPr="006B6D61">
        <w:t xml:space="preserve"> </w:t>
      </w:r>
      <w:r w:rsidR="00BD6853">
        <w:t>v</w:t>
      </w:r>
      <w:r w:rsidRPr="006B6D61">
        <w:t xml:space="preserve"> průběhu roku </w:t>
      </w:r>
      <w:r w:rsidR="00335B4C" w:rsidRPr="0093354A">
        <w:t>nebyl</w:t>
      </w:r>
      <w:r w:rsidR="00335B4C" w:rsidRPr="00693944">
        <w:t xml:space="preserve"> vyjma zapojení nároků upravován. </w:t>
      </w:r>
      <w:r w:rsidRPr="006B6D61">
        <w:t xml:space="preserve">Skutečné čerpání bylo ve výši </w:t>
      </w:r>
      <w:r w:rsidR="007F280E" w:rsidRPr="006B6D61">
        <w:t>45 617</w:t>
      </w:r>
      <w:r w:rsidRPr="006B6D61">
        <w:t xml:space="preserve"> tis. K</w:t>
      </w:r>
      <w:r w:rsidR="00873C2E" w:rsidRPr="006B6D61">
        <w:t>č</w:t>
      </w:r>
      <w:r w:rsidRPr="006B6D61">
        <w:t xml:space="preserve">, tj. </w:t>
      </w:r>
      <w:r w:rsidR="005307B6" w:rsidRPr="006B6D61">
        <w:t>110,0</w:t>
      </w:r>
      <w:r w:rsidRPr="006B6D61">
        <w:t xml:space="preserve"> % rozpočtu po změnách, a to včetně čerpání nároků z nespotřebovaných výdajů ve výši </w:t>
      </w:r>
      <w:r w:rsidR="00A12B32">
        <w:br/>
      </w:r>
      <w:r w:rsidR="00FF0B9F" w:rsidRPr="006B6D61">
        <w:t>6 316</w:t>
      </w:r>
      <w:r w:rsidRPr="006B6D61">
        <w:t xml:space="preserve"> tis. Kč. Oproti roku 202</w:t>
      </w:r>
      <w:r w:rsidR="000C2EF2" w:rsidRPr="006B6D61">
        <w:t>2</w:t>
      </w:r>
      <w:r w:rsidRPr="006B6D61">
        <w:t xml:space="preserve"> došlo k </w:t>
      </w:r>
      <w:r w:rsidR="00F848BB" w:rsidRPr="006B6D61">
        <w:t>zvýšení</w:t>
      </w:r>
      <w:r w:rsidRPr="006B6D61">
        <w:t xml:space="preserve"> čerpání výdajů o </w:t>
      </w:r>
      <w:r w:rsidR="00747271" w:rsidRPr="006B6D61">
        <w:t>4 681</w:t>
      </w:r>
      <w:r w:rsidRPr="006B6D61">
        <w:t xml:space="preserve"> tis. Kč, tj. o 1</w:t>
      </w:r>
      <w:r w:rsidR="00747271" w:rsidRPr="006B6D61">
        <w:t>1,4</w:t>
      </w:r>
      <w:r w:rsidRPr="006B6D61">
        <w:t xml:space="preserve"> %. </w:t>
      </w:r>
    </w:p>
    <w:p w14:paraId="5DD559BC" w14:textId="72B4BA03" w:rsidR="00EC3C44" w:rsidRPr="006B6D61" w:rsidRDefault="00EC3C44" w:rsidP="008A0E44">
      <w:pPr>
        <w:pStyle w:val="KOMnadp4"/>
      </w:pPr>
      <w:r w:rsidRPr="006B6D61">
        <w:t>Běžné výdaje</w:t>
      </w:r>
    </w:p>
    <w:p w14:paraId="6D0923A2" w14:textId="6670811A" w:rsidR="00CA7E8F" w:rsidRPr="0077128B" w:rsidRDefault="00CA7E8F" w:rsidP="003F0A7C">
      <w:pPr>
        <w:pStyle w:val="KOMtext"/>
        <w:rPr>
          <w:color w:val="FF0000"/>
        </w:rPr>
      </w:pPr>
      <w:r w:rsidRPr="006B6D61">
        <w:t>Schválený rozpočet běžných výdajů ve výši 4</w:t>
      </w:r>
      <w:r w:rsidR="002E4934" w:rsidRPr="006B6D61">
        <w:t>1 472</w:t>
      </w:r>
      <w:r w:rsidRPr="006B6D61">
        <w:t xml:space="preserve"> tis. Kč</w:t>
      </w:r>
      <w:r w:rsidR="00434B33">
        <w:t xml:space="preserve"> </w:t>
      </w:r>
      <w:r w:rsidR="00434B33" w:rsidRPr="0093354A">
        <w:t>nebyl</w:t>
      </w:r>
      <w:r w:rsidR="00434B33" w:rsidRPr="00693944">
        <w:t xml:space="preserve"> </w:t>
      </w:r>
      <w:r w:rsidR="00434B33">
        <w:t xml:space="preserve">v průběhu roku </w:t>
      </w:r>
      <w:r w:rsidR="00434B33" w:rsidRPr="00693944">
        <w:t>vyjma zapojení nároků upravová</w:t>
      </w:r>
      <w:r w:rsidR="00434B33" w:rsidRPr="00434B33">
        <w:t>n</w:t>
      </w:r>
      <w:r w:rsidRPr="006B6D61">
        <w:t xml:space="preserve">. </w:t>
      </w:r>
    </w:p>
    <w:p w14:paraId="5CE065C6" w14:textId="6345A15D" w:rsidR="00EC3C44" w:rsidRPr="0077128B" w:rsidRDefault="00CA7E8F" w:rsidP="003F0A7C">
      <w:pPr>
        <w:pStyle w:val="KOMtext"/>
        <w:rPr>
          <w:color w:val="FF0000"/>
        </w:rPr>
      </w:pPr>
      <w:r w:rsidRPr="006B6D61">
        <w:lastRenderedPageBreak/>
        <w:t xml:space="preserve">V rámci projektu PRODI spadající pod program OP Zaměstnanost 2014+ byly z běžných výdajů </w:t>
      </w:r>
      <w:r w:rsidR="00BD183E">
        <w:t xml:space="preserve">ve formě nároků </w:t>
      </w:r>
      <w:r w:rsidRPr="006B6D61">
        <w:t>čerpány prostředky ve výši</w:t>
      </w:r>
      <w:r w:rsidR="00136509" w:rsidRPr="006B6D61">
        <w:t xml:space="preserve"> </w:t>
      </w:r>
      <w:r w:rsidR="00E45D57" w:rsidRPr="006B6D61">
        <w:t>1 594</w:t>
      </w:r>
      <w:r w:rsidR="00136509" w:rsidRPr="006B6D61">
        <w:t xml:space="preserve"> tis. Kč</w:t>
      </w:r>
      <w:r w:rsidR="00F13E02" w:rsidRPr="006B6D61">
        <w:t>, v tom podíl SR</w:t>
      </w:r>
      <w:r w:rsidR="00411BBA" w:rsidRPr="006B6D61">
        <w:t xml:space="preserve"> </w:t>
      </w:r>
      <w:r w:rsidR="00677C47" w:rsidRPr="006B6D61">
        <w:t>305</w:t>
      </w:r>
      <w:r w:rsidR="00411BBA" w:rsidRPr="006B6D61">
        <w:t xml:space="preserve"> tis. Kč</w:t>
      </w:r>
      <w:r w:rsidR="00F13E02" w:rsidRPr="006B6D61">
        <w:t xml:space="preserve"> a p</w:t>
      </w:r>
      <w:r w:rsidR="00411BBA" w:rsidRPr="006B6D61">
        <w:t xml:space="preserve">odíl EU </w:t>
      </w:r>
      <w:r w:rsidR="003730F5" w:rsidRPr="006B6D61">
        <w:t>1 289</w:t>
      </w:r>
      <w:r w:rsidR="00411BBA" w:rsidRPr="006B6D61">
        <w:t xml:space="preserve"> tis. Kč.</w:t>
      </w:r>
    </w:p>
    <w:p w14:paraId="3E70AED4" w14:textId="0A4CF6EB" w:rsidR="00EC3C44" w:rsidRPr="0077128B" w:rsidRDefault="00C7440D">
      <w:pPr>
        <w:pStyle w:val="KOMtext"/>
        <w:rPr>
          <w:color w:val="FF0000"/>
        </w:rPr>
      </w:pPr>
      <w:r w:rsidRPr="006B6D61">
        <w:rPr>
          <w:rFonts w:cstheme="minorHAnsi"/>
        </w:rPr>
        <w:t xml:space="preserve">Čerpání prostředků běžných výdajů tvořily zejména výdaje </w:t>
      </w:r>
      <w:r w:rsidR="00EC3C44" w:rsidRPr="006B6D61">
        <w:t>na platy zaměstnanců a ostatní platby za provedenou práci a s</w:t>
      </w:r>
      <w:r w:rsidRPr="006B6D61">
        <w:rPr>
          <w:rFonts w:cstheme="minorHAnsi"/>
        </w:rPr>
        <w:t> </w:t>
      </w:r>
      <w:r w:rsidR="00EC3C44" w:rsidRPr="006B6D61">
        <w:t xml:space="preserve">tím související povinné platby (pojistné a </w:t>
      </w:r>
      <w:r w:rsidR="00CC34A0" w:rsidRPr="006B6D61">
        <w:t>základní příděl</w:t>
      </w:r>
      <w:r w:rsidR="00EC3C44" w:rsidRPr="006B6D61">
        <w:t xml:space="preserve"> FKSP</w:t>
      </w:r>
      <w:r w:rsidRPr="006B6D61">
        <w:rPr>
          <w:rFonts w:cstheme="minorHAnsi"/>
        </w:rPr>
        <w:t xml:space="preserve">), které se podílely na celkovém objemu čerpání běžných výdajů </w:t>
      </w:r>
      <w:r w:rsidR="003755A3" w:rsidRPr="006B6D61">
        <w:rPr>
          <w:rFonts w:cstheme="minorHAnsi"/>
        </w:rPr>
        <w:t>72,1</w:t>
      </w:r>
      <w:r w:rsidRPr="006B6D61">
        <w:rPr>
          <w:rFonts w:cstheme="minorHAnsi"/>
        </w:rPr>
        <w:t xml:space="preserve"> % (tj.</w:t>
      </w:r>
      <w:r w:rsidR="00EC3C44" w:rsidRPr="006B6D61">
        <w:t xml:space="preserve"> ve výši </w:t>
      </w:r>
      <w:r w:rsidR="007E43E5" w:rsidRPr="006B6D61">
        <w:t xml:space="preserve">31 </w:t>
      </w:r>
      <w:r w:rsidR="00C56F73" w:rsidRPr="006B6D61">
        <w:t>870</w:t>
      </w:r>
      <w:r w:rsidR="00EC3C44" w:rsidRPr="006B6D61">
        <w:t xml:space="preserve"> tis. Kč</w:t>
      </w:r>
      <w:r w:rsidRPr="006B6D61">
        <w:rPr>
          <w:rFonts w:cstheme="minorHAnsi"/>
        </w:rPr>
        <w:t xml:space="preserve">, z toho </w:t>
      </w:r>
      <w:r w:rsidR="007E43E5" w:rsidRPr="006B6D61">
        <w:t xml:space="preserve">z toho nároky </w:t>
      </w:r>
      <w:r w:rsidR="0010219A" w:rsidRPr="006B6D61">
        <w:t>587</w:t>
      </w:r>
      <w:r w:rsidR="00EC3C44" w:rsidRPr="006B6D61">
        <w:t xml:space="preserve"> tis. Kč,</w:t>
      </w:r>
      <w:r w:rsidR="000901B6" w:rsidRPr="006B6D61">
        <w:t xml:space="preserve"> </w:t>
      </w:r>
      <w:r w:rsidR="0010219A">
        <w:t>z </w:t>
      </w:r>
      <w:r w:rsidR="0010219A" w:rsidRPr="00C12048">
        <w:t xml:space="preserve">toho </w:t>
      </w:r>
      <w:r w:rsidR="000901B6" w:rsidRPr="006B6D61">
        <w:t>OPZ 2014+</w:t>
      </w:r>
      <w:r w:rsidR="00EC3C44" w:rsidRPr="006B6D61">
        <w:t xml:space="preserve"> </w:t>
      </w:r>
      <w:r w:rsidR="007E43E5" w:rsidRPr="006B6D61">
        <w:t>p</w:t>
      </w:r>
      <w:r w:rsidR="000901B6" w:rsidRPr="006B6D61">
        <w:t>odíl SR</w:t>
      </w:r>
      <w:r w:rsidR="007E43E5" w:rsidRPr="006B6D61">
        <w:t xml:space="preserve"> </w:t>
      </w:r>
      <w:r w:rsidR="00162698" w:rsidRPr="006B6D61">
        <w:t>112</w:t>
      </w:r>
      <w:r w:rsidR="00EC3C44" w:rsidRPr="006B6D61">
        <w:t xml:space="preserve"> tis. </w:t>
      </w:r>
      <w:r w:rsidRPr="006B6D61">
        <w:t>Kč</w:t>
      </w:r>
      <w:r w:rsidR="000901B6" w:rsidRPr="006B6D61">
        <w:t xml:space="preserve"> a podíl EU </w:t>
      </w:r>
      <w:r w:rsidR="00CB3FDE" w:rsidRPr="006B6D61">
        <w:t xml:space="preserve">472 </w:t>
      </w:r>
      <w:r w:rsidR="000901B6" w:rsidRPr="006B6D61">
        <w:t>tis. Kč</w:t>
      </w:r>
      <w:r w:rsidRPr="006B6D61">
        <w:rPr>
          <w:rFonts w:cstheme="minorHAnsi"/>
        </w:rPr>
        <w:t>). Z </w:t>
      </w:r>
      <w:r w:rsidR="00EC3C44" w:rsidRPr="006B6D61">
        <w:t xml:space="preserve">ostatních </w:t>
      </w:r>
      <w:r w:rsidRPr="006B6D61">
        <w:rPr>
          <w:rFonts w:cstheme="minorHAnsi"/>
        </w:rPr>
        <w:t>neinvestičních výdajů tvořily nejvyšší položky</w:t>
      </w:r>
      <w:r w:rsidR="00EC3C44" w:rsidRPr="006B6D61">
        <w:t xml:space="preserve"> nájemné včetně energií, nákup ostatních služeb, dále pak služby elektronických komunikací, nákup drobného hmotného majetku, výdaje za cestovné, pohonné hmoty, </w:t>
      </w:r>
      <w:r w:rsidR="00C271B5" w:rsidRPr="006B6D61">
        <w:t xml:space="preserve">ochranné pomůcky </w:t>
      </w:r>
      <w:r w:rsidR="00EC3C44" w:rsidRPr="006B6D61">
        <w:t xml:space="preserve">konzultační a poradenské služby. </w:t>
      </w:r>
    </w:p>
    <w:p w14:paraId="03EFD815" w14:textId="7AE8FEB4" w:rsidR="00EC3C44" w:rsidRPr="006B6D61" w:rsidRDefault="00EC3C44" w:rsidP="008A0E44">
      <w:pPr>
        <w:pStyle w:val="KOMnadp4"/>
      </w:pPr>
      <w:r w:rsidRPr="006B6D61">
        <w:t>Kapitálové výdaje</w:t>
      </w:r>
    </w:p>
    <w:p w14:paraId="6F46D75B" w14:textId="3DEF22D1" w:rsidR="00FA25AB" w:rsidRDefault="00A427E2" w:rsidP="003F0A7C">
      <w:pPr>
        <w:pStyle w:val="KOMtext"/>
      </w:pPr>
      <w:r w:rsidRPr="006B6D61">
        <w:t xml:space="preserve">Schválený rozpočet </w:t>
      </w:r>
      <w:r w:rsidR="00F37D4D">
        <w:t xml:space="preserve">nebyl v rámci kapitálových výdajů rozpočtován. V průběhu roku došlo </w:t>
      </w:r>
      <w:r w:rsidR="00111302">
        <w:t xml:space="preserve">k zapojení </w:t>
      </w:r>
      <w:r w:rsidR="00FE68A5">
        <w:t>nároků a</w:t>
      </w:r>
      <w:r w:rsidR="00F90C99">
        <w:t xml:space="preserve"> s tím spojené</w:t>
      </w:r>
      <w:r w:rsidR="00FE68A5">
        <w:t xml:space="preserve"> čerpání </w:t>
      </w:r>
      <w:r>
        <w:t xml:space="preserve">ve výši </w:t>
      </w:r>
      <w:r w:rsidR="00FE68A5">
        <w:t xml:space="preserve">1 444 tis. Kč. </w:t>
      </w:r>
      <w:r w:rsidR="00A24BBD">
        <w:t xml:space="preserve">Prostředky byly čerpány </w:t>
      </w:r>
      <w:r w:rsidR="00832444">
        <w:br/>
      </w:r>
      <w:r w:rsidR="00A24BBD">
        <w:t>na</w:t>
      </w:r>
      <w:r w:rsidR="00492664">
        <w:t xml:space="preserve"> pořízení nového služebního </w:t>
      </w:r>
      <w:r w:rsidR="00CE6881">
        <w:t>vozidla a zprovoznění nové elektronické spisové služby.</w:t>
      </w:r>
    </w:p>
    <w:p w14:paraId="78096328" w14:textId="36351597" w:rsidR="003755E7" w:rsidRPr="006B6D61" w:rsidRDefault="003755E7" w:rsidP="003755E7">
      <w:pPr>
        <w:pStyle w:val="KOMGrafy"/>
      </w:pPr>
      <w:bookmarkStart w:id="901" w:name="_Toc160457141"/>
      <w:r w:rsidRPr="006B6D61">
        <w:t xml:space="preserve">Graf č. </w:t>
      </w:r>
      <w:fldSimple w:instr=" SEQ Graf_č. \* ARABIC ">
        <w:r w:rsidR="00013820">
          <w:rPr>
            <w:noProof/>
          </w:rPr>
          <w:t>24</w:t>
        </w:r>
      </w:fldSimple>
      <w:r w:rsidRPr="006B6D61">
        <w:t>: Srovnání skutečností v letech 202</w:t>
      </w:r>
      <w:r w:rsidR="00797E6C" w:rsidRPr="006B6D61">
        <w:t>2</w:t>
      </w:r>
      <w:r w:rsidRPr="006B6D61">
        <w:t xml:space="preserve"> a 202</w:t>
      </w:r>
      <w:r w:rsidR="00797E6C" w:rsidRPr="006B6D61">
        <w:t>3</w:t>
      </w:r>
      <w:r w:rsidRPr="006B6D61">
        <w:t xml:space="preserve"> u Drážní inspekce (v tis. Kč)</w:t>
      </w:r>
      <w:bookmarkEnd w:id="901"/>
    </w:p>
    <w:p w14:paraId="02174EA7" w14:textId="2F64E8CE" w:rsidR="00130920" w:rsidRPr="0077128B" w:rsidRDefault="00130920" w:rsidP="003F0A7C">
      <w:pPr>
        <w:pStyle w:val="KOMtext"/>
        <w:rPr>
          <w:color w:val="FF0000"/>
        </w:rPr>
      </w:pPr>
      <w:r w:rsidRPr="002F1BE7">
        <w:rPr>
          <w:noProof/>
          <w:color w:val="FF0000"/>
        </w:rPr>
        <w:drawing>
          <wp:inline distT="0" distB="0" distL="0" distR="0" wp14:anchorId="4D43E853" wp14:editId="6A264881">
            <wp:extent cx="5760000" cy="2160000"/>
            <wp:effectExtent l="0" t="0" r="12700" b="12065"/>
            <wp:docPr id="42" name="Graf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14:paraId="4947E815" w14:textId="77777777" w:rsidR="004F5E4F" w:rsidRPr="006B6D61" w:rsidRDefault="004F5E4F" w:rsidP="00E20BD6">
      <w:pPr>
        <w:pStyle w:val="KOMnadp3"/>
      </w:pPr>
      <w:bookmarkStart w:id="902" w:name="_Toc128397720"/>
      <w:bookmarkStart w:id="903" w:name="_Toc128397853"/>
      <w:bookmarkStart w:id="904" w:name="_Toc128398074"/>
      <w:bookmarkStart w:id="905" w:name="_Toc128398417"/>
      <w:bookmarkStart w:id="906" w:name="_Toc128398543"/>
      <w:bookmarkStart w:id="907" w:name="_Toc128398757"/>
      <w:bookmarkStart w:id="908" w:name="_Toc128400073"/>
      <w:bookmarkStart w:id="909" w:name="_Toc128401313"/>
      <w:bookmarkStart w:id="910" w:name="_Toc128401441"/>
      <w:bookmarkStart w:id="911" w:name="_Toc128401928"/>
      <w:bookmarkStart w:id="912" w:name="_Toc128400074"/>
      <w:bookmarkStart w:id="913" w:name="_Toc162269268"/>
      <w:bookmarkEnd w:id="902"/>
      <w:bookmarkEnd w:id="903"/>
      <w:bookmarkEnd w:id="904"/>
      <w:bookmarkEnd w:id="905"/>
      <w:bookmarkEnd w:id="906"/>
      <w:bookmarkEnd w:id="907"/>
      <w:bookmarkEnd w:id="908"/>
      <w:bookmarkEnd w:id="909"/>
      <w:bookmarkEnd w:id="910"/>
      <w:bookmarkEnd w:id="911"/>
      <w:r w:rsidRPr="006B6D61">
        <w:t>Ústav pro odborné zjišťování příčin leteckých nehod</w:t>
      </w:r>
      <w:bookmarkEnd w:id="912"/>
      <w:bookmarkEnd w:id="913"/>
    </w:p>
    <w:p w14:paraId="13267854" w14:textId="37B03CB7" w:rsidR="00240D84" w:rsidRPr="006B6D61" w:rsidRDefault="00240D84" w:rsidP="003F0A7C">
      <w:pPr>
        <w:pStyle w:val="KOMtext"/>
      </w:pPr>
      <w:r w:rsidRPr="006B6D61">
        <w:t xml:space="preserve">Organizační složka státu vznikla k 1. 1. 2003 na základě zákona č. 49/1997 Sb., o civilním letectví, ve znění pozdějších předpisů. Hlavní činností je shromažďování a analýza informací </w:t>
      </w:r>
      <w:r w:rsidRPr="006B6D61">
        <w:br/>
        <w:t xml:space="preserve">o leteckých nehodách včetně určování příčin leteckých nehod a vypracování závěrů </w:t>
      </w:r>
      <w:r w:rsidRPr="006B6D61">
        <w:br/>
        <w:t>a bezpečnostních doporučení k jejich předcházení.</w:t>
      </w:r>
    </w:p>
    <w:tbl>
      <w:tblPr>
        <w:tblW w:w="8910" w:type="dxa"/>
        <w:tblInd w:w="142" w:type="dxa"/>
        <w:tblCellMar>
          <w:left w:w="0" w:type="dxa"/>
          <w:right w:w="0" w:type="dxa"/>
        </w:tblCellMar>
        <w:tblLook w:val="04A0" w:firstRow="1" w:lastRow="0" w:firstColumn="1" w:lastColumn="0" w:noHBand="0" w:noVBand="1"/>
      </w:tblPr>
      <w:tblGrid>
        <w:gridCol w:w="2197"/>
        <w:gridCol w:w="1124"/>
        <w:gridCol w:w="1193"/>
        <w:gridCol w:w="1319"/>
        <w:gridCol w:w="1096"/>
        <w:gridCol w:w="1153"/>
        <w:gridCol w:w="828"/>
      </w:tblGrid>
      <w:tr w:rsidR="002F1BE7" w:rsidRPr="0044012B" w14:paraId="6C7B4D77" w14:textId="77777777" w:rsidTr="00D3010F">
        <w:trPr>
          <w:trHeight w:val="293"/>
          <w:tblHeader/>
        </w:trPr>
        <w:tc>
          <w:tcPr>
            <w:tcW w:w="8910" w:type="dxa"/>
            <w:gridSpan w:val="7"/>
            <w:tcBorders>
              <w:bottom w:val="nil"/>
            </w:tcBorders>
            <w:shd w:val="clear" w:color="auto" w:fill="FFFFFF" w:themeFill="background1"/>
            <w:tcMar>
              <w:top w:w="0" w:type="dxa"/>
              <w:left w:w="70" w:type="dxa"/>
              <w:bottom w:w="0" w:type="dxa"/>
              <w:right w:w="70" w:type="dxa"/>
            </w:tcMar>
            <w:vAlign w:val="center"/>
          </w:tcPr>
          <w:p w14:paraId="059CD3F0" w14:textId="42EF3958" w:rsidR="00594881" w:rsidRPr="006B6D61" w:rsidRDefault="00594881" w:rsidP="00BA4E5A">
            <w:pPr>
              <w:spacing w:after="0" w:line="252" w:lineRule="auto"/>
              <w:jc w:val="right"/>
              <w:rPr>
                <w:rFonts w:eastAsia="Calibri" w:cstheme="minorHAnsi"/>
                <w:sz w:val="20"/>
                <w:szCs w:val="20"/>
              </w:rPr>
            </w:pPr>
            <w:r w:rsidRPr="006B6D61">
              <w:rPr>
                <w:rFonts w:eastAsia="Calibri" w:cstheme="minorHAnsi"/>
                <w:sz w:val="20"/>
                <w:szCs w:val="20"/>
              </w:rPr>
              <w:lastRenderedPageBreak/>
              <w:t>v tis. Kč</w:t>
            </w:r>
          </w:p>
        </w:tc>
      </w:tr>
      <w:tr w:rsidR="002F1BE7" w:rsidRPr="0044012B" w14:paraId="4B7000B7" w14:textId="77777777" w:rsidTr="00D3010F">
        <w:trPr>
          <w:trHeight w:val="415"/>
          <w:tblHeader/>
        </w:trPr>
        <w:tc>
          <w:tcPr>
            <w:tcW w:w="2197" w:type="dxa"/>
            <w:vMerge w:val="restart"/>
            <w:tcBorders>
              <w:top w:val="single" w:sz="4"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7110F435" w14:textId="77777777" w:rsidR="00240D84" w:rsidRPr="006B6D61" w:rsidRDefault="00240D84" w:rsidP="00BA4E5A">
            <w:pPr>
              <w:spacing w:after="0" w:line="252" w:lineRule="auto"/>
              <w:jc w:val="center"/>
              <w:rPr>
                <w:rFonts w:eastAsia="Calibri" w:cstheme="minorHAnsi"/>
                <w:b/>
                <w:sz w:val="20"/>
                <w:szCs w:val="20"/>
              </w:rPr>
            </w:pPr>
            <w:r w:rsidRPr="006B6D61">
              <w:rPr>
                <w:rFonts w:eastAsia="Calibri" w:cstheme="minorHAnsi"/>
                <w:b/>
                <w:sz w:val="20"/>
                <w:szCs w:val="20"/>
              </w:rPr>
              <w:t>Ukazatel</w:t>
            </w:r>
          </w:p>
        </w:tc>
        <w:tc>
          <w:tcPr>
            <w:tcW w:w="1124" w:type="dxa"/>
            <w:vMerge w:val="restart"/>
            <w:tcBorders>
              <w:top w:val="single" w:sz="8"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32757F81" w14:textId="77777777" w:rsidR="00240D84" w:rsidRPr="006B6D61" w:rsidRDefault="00240D84" w:rsidP="009F33AF">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60A94137" w14:textId="3F1D192E" w:rsidR="00240D84" w:rsidRPr="006B6D61" w:rsidRDefault="00240D84" w:rsidP="009F33AF">
            <w:pPr>
              <w:spacing w:after="0" w:line="252" w:lineRule="auto"/>
              <w:jc w:val="center"/>
              <w:rPr>
                <w:rFonts w:eastAsia="Calibri" w:cstheme="minorHAnsi"/>
                <w:b/>
                <w:sz w:val="20"/>
                <w:szCs w:val="20"/>
              </w:rPr>
            </w:pPr>
            <w:r w:rsidRPr="006B6D61">
              <w:rPr>
                <w:rFonts w:eastAsia="Calibri" w:cstheme="minorHAnsi"/>
                <w:b/>
                <w:sz w:val="20"/>
                <w:szCs w:val="20"/>
              </w:rPr>
              <w:t>202</w:t>
            </w:r>
            <w:r w:rsidR="00C20C33" w:rsidRPr="006B6D61">
              <w:rPr>
                <w:rFonts w:eastAsia="Calibri" w:cstheme="minorHAnsi"/>
                <w:b/>
                <w:sz w:val="20"/>
                <w:szCs w:val="20"/>
              </w:rPr>
              <w:t>2</w:t>
            </w:r>
          </w:p>
        </w:tc>
        <w:tc>
          <w:tcPr>
            <w:tcW w:w="3608" w:type="dxa"/>
            <w:gridSpan w:val="3"/>
            <w:tcBorders>
              <w:top w:val="single" w:sz="8" w:space="0" w:color="auto"/>
              <w:left w:val="single" w:sz="4" w:space="0" w:color="auto"/>
              <w:bottom w:val="single" w:sz="8"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5837D483" w14:textId="5A5BCD8E" w:rsidR="00240D84" w:rsidRPr="006B6D61" w:rsidRDefault="00240D84" w:rsidP="00BA4E5A">
            <w:pPr>
              <w:spacing w:after="0" w:line="252" w:lineRule="auto"/>
              <w:jc w:val="center"/>
              <w:rPr>
                <w:rFonts w:eastAsia="Calibri" w:cstheme="minorHAnsi"/>
                <w:b/>
                <w:sz w:val="20"/>
                <w:szCs w:val="20"/>
              </w:rPr>
            </w:pPr>
            <w:r w:rsidRPr="006B6D61">
              <w:rPr>
                <w:rFonts w:eastAsia="Calibri" w:cstheme="minorHAnsi"/>
                <w:b/>
                <w:sz w:val="20"/>
                <w:szCs w:val="20"/>
              </w:rPr>
              <w:t>Rozpočet 202</w:t>
            </w:r>
            <w:r w:rsidR="00C20C33" w:rsidRPr="006B6D61">
              <w:rPr>
                <w:rFonts w:eastAsia="Calibri" w:cstheme="minorHAnsi"/>
                <w:b/>
                <w:sz w:val="20"/>
                <w:szCs w:val="20"/>
              </w:rPr>
              <w:t>3</w:t>
            </w:r>
          </w:p>
        </w:tc>
        <w:tc>
          <w:tcPr>
            <w:tcW w:w="1153" w:type="dxa"/>
            <w:vMerge w:val="restart"/>
            <w:tcBorders>
              <w:top w:val="single" w:sz="8"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70E09741" w14:textId="77777777" w:rsidR="00240D84" w:rsidRPr="006B6D61" w:rsidRDefault="00240D84" w:rsidP="009F33AF">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73178781" w14:textId="0EE9A43E" w:rsidR="00240D84" w:rsidRPr="006B6D61" w:rsidRDefault="00240D84" w:rsidP="009F33AF">
            <w:pPr>
              <w:spacing w:after="0" w:line="252" w:lineRule="auto"/>
              <w:jc w:val="center"/>
              <w:rPr>
                <w:rFonts w:eastAsia="Calibri" w:cstheme="minorHAnsi"/>
                <w:b/>
                <w:sz w:val="20"/>
                <w:szCs w:val="20"/>
              </w:rPr>
            </w:pPr>
            <w:r w:rsidRPr="006B6D61">
              <w:rPr>
                <w:rFonts w:eastAsia="Calibri" w:cstheme="minorHAnsi"/>
                <w:b/>
                <w:sz w:val="20"/>
                <w:szCs w:val="20"/>
              </w:rPr>
              <w:t>202</w:t>
            </w:r>
            <w:r w:rsidR="00C20C33" w:rsidRPr="006B6D61">
              <w:rPr>
                <w:rFonts w:eastAsia="Calibri" w:cstheme="minorHAnsi"/>
                <w:b/>
                <w:sz w:val="20"/>
                <w:szCs w:val="20"/>
              </w:rPr>
              <w:t>3</w:t>
            </w:r>
          </w:p>
        </w:tc>
        <w:tc>
          <w:tcPr>
            <w:tcW w:w="828" w:type="dxa"/>
            <w:vMerge w:val="restart"/>
            <w:tcBorders>
              <w:top w:val="single" w:sz="8" w:space="0" w:color="auto"/>
              <w:left w:val="single" w:sz="4" w:space="0" w:color="auto"/>
              <w:bottom w:val="nil"/>
              <w:right w:val="single" w:sz="4" w:space="0" w:color="auto"/>
            </w:tcBorders>
            <w:shd w:val="clear" w:color="auto" w:fill="D9D9D9" w:themeFill="background1" w:themeFillShade="D9"/>
            <w:tcMar>
              <w:top w:w="0" w:type="dxa"/>
              <w:left w:w="70" w:type="dxa"/>
              <w:bottom w:w="0" w:type="dxa"/>
              <w:right w:w="70" w:type="dxa"/>
            </w:tcMar>
            <w:vAlign w:val="center"/>
            <w:hideMark/>
          </w:tcPr>
          <w:p w14:paraId="68B65978" w14:textId="77777777" w:rsidR="00240D84" w:rsidRPr="006B6D61" w:rsidRDefault="00240D84" w:rsidP="009F33AF">
            <w:pPr>
              <w:spacing w:after="0" w:line="252" w:lineRule="auto"/>
              <w:jc w:val="center"/>
              <w:rPr>
                <w:rFonts w:eastAsia="Calibri" w:cstheme="minorHAnsi"/>
                <w:b/>
                <w:sz w:val="20"/>
                <w:szCs w:val="20"/>
              </w:rPr>
            </w:pPr>
            <w:r w:rsidRPr="006B6D61">
              <w:rPr>
                <w:rFonts w:eastAsia="Calibri" w:cstheme="minorHAnsi"/>
                <w:b/>
                <w:sz w:val="20"/>
                <w:szCs w:val="20"/>
              </w:rPr>
              <w:t>Index</w:t>
            </w:r>
          </w:p>
          <w:p w14:paraId="3693494E" w14:textId="77777777" w:rsidR="00240D84" w:rsidRPr="006B6D61" w:rsidRDefault="00240D84" w:rsidP="009F33AF">
            <w:pPr>
              <w:spacing w:after="0" w:line="252" w:lineRule="auto"/>
              <w:jc w:val="center"/>
              <w:rPr>
                <w:rFonts w:eastAsia="Calibri" w:cstheme="minorHAnsi"/>
                <w:b/>
                <w:sz w:val="20"/>
                <w:szCs w:val="20"/>
              </w:rPr>
            </w:pPr>
            <w:r w:rsidRPr="006B6D61">
              <w:rPr>
                <w:rFonts w:eastAsia="Calibri" w:cstheme="minorHAnsi"/>
                <w:b/>
                <w:sz w:val="20"/>
                <w:szCs w:val="20"/>
              </w:rPr>
              <w:t>(v %)</w:t>
            </w:r>
          </w:p>
        </w:tc>
      </w:tr>
      <w:tr w:rsidR="002F1BE7" w:rsidRPr="0044012B" w14:paraId="51F92172" w14:textId="77777777" w:rsidTr="00D3010F">
        <w:trPr>
          <w:trHeight w:val="383"/>
          <w:tblHeader/>
        </w:trPr>
        <w:tc>
          <w:tcPr>
            <w:tcW w:w="2197" w:type="dxa"/>
            <w:vMerge/>
            <w:tcBorders>
              <w:top w:val="single" w:sz="8" w:space="0" w:color="auto"/>
              <w:left w:val="single" w:sz="4" w:space="0" w:color="auto"/>
              <w:bottom w:val="nil"/>
              <w:right w:val="single" w:sz="4" w:space="0" w:color="auto"/>
            </w:tcBorders>
            <w:vAlign w:val="center"/>
            <w:hideMark/>
          </w:tcPr>
          <w:p w14:paraId="22D83BFB" w14:textId="77777777" w:rsidR="00240D84" w:rsidRPr="002F1BE7" w:rsidRDefault="00240D84" w:rsidP="009F33AF">
            <w:pPr>
              <w:spacing w:after="0" w:line="240" w:lineRule="auto"/>
              <w:rPr>
                <w:rFonts w:eastAsia="Calibri" w:cstheme="minorHAnsi"/>
                <w:color w:val="FF0000"/>
                <w:sz w:val="20"/>
                <w:szCs w:val="20"/>
              </w:rPr>
            </w:pPr>
          </w:p>
        </w:tc>
        <w:tc>
          <w:tcPr>
            <w:tcW w:w="1124" w:type="dxa"/>
            <w:vMerge/>
            <w:tcBorders>
              <w:top w:val="single" w:sz="8" w:space="0" w:color="auto"/>
              <w:left w:val="single" w:sz="4" w:space="0" w:color="auto"/>
              <w:bottom w:val="nil"/>
              <w:right w:val="single" w:sz="4" w:space="0" w:color="auto"/>
            </w:tcBorders>
            <w:vAlign w:val="center"/>
            <w:hideMark/>
          </w:tcPr>
          <w:p w14:paraId="5C81DB4E" w14:textId="77777777" w:rsidR="00240D84" w:rsidRPr="002F1BE7" w:rsidRDefault="00240D84" w:rsidP="009F33AF">
            <w:pPr>
              <w:spacing w:after="0" w:line="240" w:lineRule="auto"/>
              <w:rPr>
                <w:rFonts w:eastAsia="Calibri" w:cstheme="minorHAnsi"/>
                <w:color w:val="FF0000"/>
                <w:sz w:val="20"/>
                <w:szCs w:val="20"/>
              </w:rPr>
            </w:pPr>
          </w:p>
        </w:tc>
        <w:tc>
          <w:tcPr>
            <w:tcW w:w="11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CC73857" w14:textId="77777777" w:rsidR="00240D84" w:rsidRPr="006B6D61" w:rsidRDefault="00240D84" w:rsidP="009F33AF">
            <w:pPr>
              <w:spacing w:before="40" w:after="40" w:line="252" w:lineRule="auto"/>
              <w:jc w:val="center"/>
              <w:rPr>
                <w:rFonts w:eastAsia="Calibri" w:cstheme="minorHAnsi"/>
                <w:b/>
                <w:sz w:val="20"/>
                <w:szCs w:val="20"/>
              </w:rPr>
            </w:pPr>
            <w:r w:rsidRPr="006B6D61">
              <w:rPr>
                <w:rFonts w:eastAsia="Calibri" w:cstheme="minorHAnsi"/>
                <w:b/>
                <w:sz w:val="20"/>
                <w:szCs w:val="20"/>
              </w:rPr>
              <w:t>schválený</w:t>
            </w:r>
          </w:p>
        </w:tc>
        <w:tc>
          <w:tcPr>
            <w:tcW w:w="1319" w:type="dxa"/>
            <w:tcBorders>
              <w:top w:val="single" w:sz="8"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01C96F39" w14:textId="77777777" w:rsidR="00240D84" w:rsidRPr="006B6D61" w:rsidRDefault="00240D84" w:rsidP="009F33AF">
            <w:pPr>
              <w:spacing w:before="40" w:after="40" w:line="252" w:lineRule="auto"/>
              <w:jc w:val="center"/>
              <w:rPr>
                <w:rFonts w:eastAsia="Calibri" w:cstheme="minorHAnsi"/>
                <w:b/>
                <w:sz w:val="20"/>
                <w:szCs w:val="20"/>
              </w:rPr>
            </w:pPr>
            <w:r w:rsidRPr="006B6D61">
              <w:rPr>
                <w:rFonts w:eastAsia="Calibri" w:cstheme="minorHAnsi"/>
                <w:b/>
                <w:sz w:val="20"/>
                <w:szCs w:val="20"/>
              </w:rPr>
              <w:t>po změnách</w:t>
            </w:r>
          </w:p>
        </w:tc>
        <w:tc>
          <w:tcPr>
            <w:tcW w:w="1096" w:type="dxa"/>
            <w:tcBorders>
              <w:top w:val="single" w:sz="8"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27BC9CE0" w14:textId="77777777" w:rsidR="00240D84" w:rsidRPr="006B6D61" w:rsidRDefault="00240D84" w:rsidP="009F33AF">
            <w:pPr>
              <w:spacing w:before="40" w:after="40" w:line="252" w:lineRule="auto"/>
              <w:jc w:val="center"/>
              <w:rPr>
                <w:rFonts w:eastAsia="Calibri" w:cstheme="minorHAnsi"/>
                <w:b/>
                <w:sz w:val="20"/>
                <w:szCs w:val="20"/>
              </w:rPr>
            </w:pPr>
            <w:r w:rsidRPr="006B6D61">
              <w:rPr>
                <w:rFonts w:eastAsia="Calibri" w:cstheme="minorHAnsi"/>
                <w:b/>
                <w:sz w:val="20"/>
                <w:szCs w:val="20"/>
              </w:rPr>
              <w:t>konečný</w:t>
            </w:r>
          </w:p>
        </w:tc>
        <w:tc>
          <w:tcPr>
            <w:tcW w:w="1153" w:type="dxa"/>
            <w:vMerge/>
            <w:tcBorders>
              <w:top w:val="single" w:sz="8" w:space="0" w:color="auto"/>
              <w:left w:val="single" w:sz="4" w:space="0" w:color="auto"/>
              <w:bottom w:val="nil"/>
              <w:right w:val="single" w:sz="4" w:space="0" w:color="auto"/>
            </w:tcBorders>
            <w:vAlign w:val="center"/>
            <w:hideMark/>
          </w:tcPr>
          <w:p w14:paraId="09DAF594" w14:textId="77777777" w:rsidR="00240D84" w:rsidRPr="002F1BE7" w:rsidRDefault="00240D84" w:rsidP="009F33AF">
            <w:pPr>
              <w:spacing w:after="0" w:line="240" w:lineRule="auto"/>
              <w:rPr>
                <w:rFonts w:eastAsia="Calibri" w:cstheme="minorHAnsi"/>
                <w:color w:val="FF0000"/>
                <w:sz w:val="20"/>
                <w:szCs w:val="20"/>
              </w:rPr>
            </w:pPr>
          </w:p>
        </w:tc>
        <w:tc>
          <w:tcPr>
            <w:tcW w:w="828" w:type="dxa"/>
            <w:vMerge/>
            <w:tcBorders>
              <w:top w:val="single" w:sz="8" w:space="0" w:color="auto"/>
              <w:left w:val="single" w:sz="4" w:space="0" w:color="auto"/>
              <w:bottom w:val="nil"/>
              <w:right w:val="single" w:sz="4" w:space="0" w:color="auto"/>
            </w:tcBorders>
            <w:vAlign w:val="center"/>
            <w:hideMark/>
          </w:tcPr>
          <w:p w14:paraId="300BDBB9" w14:textId="77777777" w:rsidR="00240D84" w:rsidRPr="002F1BE7" w:rsidRDefault="00240D84" w:rsidP="009F33AF">
            <w:pPr>
              <w:spacing w:after="0" w:line="240" w:lineRule="auto"/>
              <w:rPr>
                <w:rFonts w:eastAsia="Calibri" w:cstheme="minorHAnsi"/>
                <w:color w:val="FF0000"/>
                <w:sz w:val="20"/>
                <w:szCs w:val="20"/>
              </w:rPr>
            </w:pPr>
          </w:p>
        </w:tc>
      </w:tr>
      <w:tr w:rsidR="002F1BE7" w:rsidRPr="0044012B" w14:paraId="1444F360" w14:textId="77777777" w:rsidTr="00D3010F">
        <w:trPr>
          <w:trHeight w:val="82"/>
          <w:tblHeader/>
        </w:trPr>
        <w:tc>
          <w:tcPr>
            <w:tcW w:w="2197" w:type="dxa"/>
            <w:tcBorders>
              <w:top w:val="single" w:sz="8" w:space="0" w:color="auto"/>
              <w:left w:val="single" w:sz="4" w:space="0" w:color="auto"/>
              <w:bottom w:val="single" w:sz="4" w:space="0" w:color="auto"/>
              <w:right w:val="single" w:sz="4" w:space="0" w:color="auto"/>
            </w:tcBorders>
            <w:tcMar>
              <w:top w:w="0" w:type="dxa"/>
              <w:left w:w="70" w:type="dxa"/>
              <w:bottom w:w="0" w:type="dxa"/>
              <w:right w:w="70" w:type="dxa"/>
            </w:tcMar>
            <w:hideMark/>
          </w:tcPr>
          <w:p w14:paraId="5D84F910"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a</w:t>
            </w:r>
          </w:p>
        </w:tc>
        <w:tc>
          <w:tcPr>
            <w:tcW w:w="1124" w:type="dxa"/>
            <w:tcBorders>
              <w:top w:val="single" w:sz="8" w:space="0" w:color="auto"/>
              <w:left w:val="single" w:sz="4" w:space="0" w:color="auto"/>
              <w:bottom w:val="single" w:sz="4" w:space="0" w:color="auto"/>
              <w:right w:val="single" w:sz="4" w:space="0" w:color="auto"/>
            </w:tcBorders>
            <w:tcMar>
              <w:top w:w="0" w:type="dxa"/>
              <w:left w:w="70" w:type="dxa"/>
              <w:bottom w:w="0" w:type="dxa"/>
              <w:right w:w="70" w:type="dxa"/>
            </w:tcMar>
            <w:hideMark/>
          </w:tcPr>
          <w:p w14:paraId="5153D52B"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1</w:t>
            </w:r>
          </w:p>
        </w:tc>
        <w:tc>
          <w:tcPr>
            <w:tcW w:w="1193"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1825C437"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2</w:t>
            </w:r>
          </w:p>
        </w:tc>
        <w:tc>
          <w:tcPr>
            <w:tcW w:w="1319"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7BE5338A"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3</w:t>
            </w:r>
          </w:p>
        </w:tc>
        <w:tc>
          <w:tcPr>
            <w:tcW w:w="109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22F732DD"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4</w:t>
            </w:r>
          </w:p>
        </w:tc>
        <w:tc>
          <w:tcPr>
            <w:tcW w:w="1153" w:type="dxa"/>
            <w:tcBorders>
              <w:top w:val="single" w:sz="8" w:space="0" w:color="auto"/>
              <w:left w:val="single" w:sz="4" w:space="0" w:color="auto"/>
              <w:bottom w:val="single" w:sz="4" w:space="0" w:color="auto"/>
              <w:right w:val="single" w:sz="4" w:space="0" w:color="auto"/>
            </w:tcBorders>
            <w:tcMar>
              <w:top w:w="0" w:type="dxa"/>
              <w:left w:w="70" w:type="dxa"/>
              <w:bottom w:w="0" w:type="dxa"/>
              <w:right w:w="70" w:type="dxa"/>
            </w:tcMar>
            <w:hideMark/>
          </w:tcPr>
          <w:p w14:paraId="00671A56"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5</w:t>
            </w:r>
          </w:p>
        </w:tc>
        <w:tc>
          <w:tcPr>
            <w:tcW w:w="828" w:type="dxa"/>
            <w:tcBorders>
              <w:top w:val="single" w:sz="8" w:space="0" w:color="auto"/>
              <w:left w:val="single" w:sz="4" w:space="0" w:color="auto"/>
              <w:bottom w:val="single" w:sz="4" w:space="0" w:color="auto"/>
              <w:right w:val="single" w:sz="4" w:space="0" w:color="auto"/>
            </w:tcBorders>
            <w:tcMar>
              <w:top w:w="0" w:type="dxa"/>
              <w:left w:w="70" w:type="dxa"/>
              <w:bottom w:w="0" w:type="dxa"/>
              <w:right w:w="70" w:type="dxa"/>
            </w:tcMar>
            <w:hideMark/>
          </w:tcPr>
          <w:p w14:paraId="0E6A04C0" w14:textId="77777777" w:rsidR="00240D84" w:rsidRPr="006B6D61" w:rsidRDefault="00240D84" w:rsidP="009F33AF">
            <w:pPr>
              <w:spacing w:after="0" w:line="252" w:lineRule="auto"/>
              <w:jc w:val="center"/>
              <w:rPr>
                <w:rFonts w:eastAsia="Calibri" w:cstheme="minorHAnsi"/>
                <w:sz w:val="20"/>
                <w:szCs w:val="20"/>
              </w:rPr>
            </w:pPr>
            <w:r w:rsidRPr="006B6D61">
              <w:rPr>
                <w:rFonts w:eastAsia="Calibri" w:cstheme="minorHAnsi"/>
                <w:sz w:val="20"/>
                <w:szCs w:val="20"/>
              </w:rPr>
              <w:t>5/1</w:t>
            </w:r>
          </w:p>
        </w:tc>
      </w:tr>
      <w:tr w:rsidR="002F1BE7" w:rsidRPr="0044012B" w14:paraId="50DC2842" w14:textId="77777777" w:rsidTr="00D3010F">
        <w:trPr>
          <w:trHeight w:val="320"/>
          <w:tblHeader/>
        </w:trPr>
        <w:tc>
          <w:tcPr>
            <w:tcW w:w="219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hideMark/>
          </w:tcPr>
          <w:p w14:paraId="34395F82" w14:textId="77777777" w:rsidR="00240D84" w:rsidRPr="006B6D61" w:rsidRDefault="00240D84" w:rsidP="009F33AF">
            <w:pPr>
              <w:spacing w:before="40" w:after="40" w:line="252" w:lineRule="auto"/>
              <w:jc w:val="both"/>
              <w:rPr>
                <w:rFonts w:eastAsia="Calibri" w:cstheme="minorHAnsi"/>
                <w:b/>
                <w:sz w:val="20"/>
                <w:szCs w:val="20"/>
              </w:rPr>
            </w:pPr>
            <w:r w:rsidRPr="006B6D61">
              <w:rPr>
                <w:rFonts w:eastAsia="Calibri" w:cstheme="minorHAnsi"/>
                <w:b/>
                <w:sz w:val="20"/>
                <w:szCs w:val="20"/>
              </w:rPr>
              <w:t>Výdaje celkem (v tom:)</w:t>
            </w:r>
          </w:p>
        </w:tc>
        <w:tc>
          <w:tcPr>
            <w:tcW w:w="112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1811BBA7" w14:textId="344EA854" w:rsidR="00240D84" w:rsidRPr="002F1BE7" w:rsidRDefault="00D27B70" w:rsidP="009F33AF">
            <w:pPr>
              <w:spacing w:before="40" w:after="40" w:line="252" w:lineRule="auto"/>
              <w:jc w:val="right"/>
              <w:rPr>
                <w:rFonts w:eastAsia="Calibri" w:cstheme="minorHAnsi"/>
                <w:b/>
                <w:color w:val="FF0000"/>
                <w:sz w:val="20"/>
                <w:szCs w:val="20"/>
              </w:rPr>
            </w:pPr>
            <w:r w:rsidRPr="006B6D61">
              <w:rPr>
                <w:rFonts w:eastAsia="Calibri" w:cstheme="minorHAnsi"/>
                <w:b/>
                <w:bCs/>
                <w:sz w:val="20"/>
                <w:szCs w:val="20"/>
              </w:rPr>
              <w:t>17 338</w:t>
            </w:r>
          </w:p>
        </w:tc>
        <w:tc>
          <w:tcPr>
            <w:tcW w:w="11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7B58AEE9" w14:textId="489C7522" w:rsidR="00240D84" w:rsidRPr="002F1BE7" w:rsidRDefault="007101C3" w:rsidP="009F33AF">
            <w:pPr>
              <w:spacing w:before="40" w:after="40" w:line="252" w:lineRule="auto"/>
              <w:jc w:val="right"/>
              <w:rPr>
                <w:rFonts w:eastAsia="Calibri" w:cstheme="minorHAnsi"/>
                <w:b/>
                <w:color w:val="FF0000"/>
                <w:sz w:val="20"/>
                <w:szCs w:val="20"/>
              </w:rPr>
            </w:pPr>
            <w:r w:rsidRPr="006B6D61">
              <w:rPr>
                <w:rFonts w:eastAsia="Calibri" w:cstheme="minorHAnsi"/>
                <w:b/>
                <w:bCs/>
                <w:sz w:val="20"/>
                <w:szCs w:val="20"/>
              </w:rPr>
              <w:t>21 236</w:t>
            </w:r>
          </w:p>
        </w:tc>
        <w:tc>
          <w:tcPr>
            <w:tcW w:w="131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143B1828" w14:textId="3546724B" w:rsidR="00240D84" w:rsidRPr="006B6D61" w:rsidRDefault="00B13CF0" w:rsidP="009F33AF">
            <w:pPr>
              <w:spacing w:before="40" w:after="40" w:line="252" w:lineRule="auto"/>
              <w:jc w:val="right"/>
              <w:rPr>
                <w:rFonts w:eastAsia="Calibri" w:cstheme="minorHAnsi"/>
                <w:b/>
                <w:sz w:val="20"/>
                <w:szCs w:val="20"/>
              </w:rPr>
            </w:pPr>
            <w:r w:rsidRPr="006B6D61">
              <w:rPr>
                <w:rFonts w:eastAsia="Calibri" w:cstheme="minorHAnsi"/>
                <w:b/>
                <w:bCs/>
                <w:sz w:val="20"/>
                <w:szCs w:val="20"/>
              </w:rPr>
              <w:t>21 236</w:t>
            </w:r>
          </w:p>
        </w:tc>
        <w:tc>
          <w:tcPr>
            <w:tcW w:w="10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hideMark/>
          </w:tcPr>
          <w:p w14:paraId="3A1A8595" w14:textId="6A9B7206" w:rsidR="00240D84" w:rsidRPr="002F1BE7" w:rsidRDefault="000E72E8" w:rsidP="009F33AF">
            <w:pPr>
              <w:spacing w:before="40" w:after="40" w:line="252" w:lineRule="auto"/>
              <w:jc w:val="right"/>
              <w:rPr>
                <w:rFonts w:eastAsia="Calibri" w:cstheme="minorHAnsi"/>
                <w:b/>
                <w:color w:val="FF0000"/>
                <w:sz w:val="20"/>
                <w:szCs w:val="20"/>
              </w:rPr>
            </w:pPr>
            <w:r w:rsidRPr="006B6D61">
              <w:rPr>
                <w:rFonts w:eastAsia="Calibri" w:cstheme="minorHAnsi"/>
                <w:b/>
                <w:bCs/>
                <w:sz w:val="20"/>
                <w:szCs w:val="20"/>
              </w:rPr>
              <w:t>26 391</w:t>
            </w:r>
          </w:p>
        </w:tc>
        <w:tc>
          <w:tcPr>
            <w:tcW w:w="115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268370CF" w14:textId="005B0121" w:rsidR="00240D84" w:rsidRPr="002F1BE7" w:rsidRDefault="00676068" w:rsidP="009F33AF">
            <w:pPr>
              <w:spacing w:before="40" w:after="40" w:line="252" w:lineRule="auto"/>
              <w:jc w:val="right"/>
              <w:rPr>
                <w:rFonts w:eastAsia="Calibri" w:cstheme="minorHAnsi"/>
                <w:b/>
                <w:color w:val="FF0000"/>
                <w:sz w:val="20"/>
                <w:szCs w:val="20"/>
              </w:rPr>
            </w:pPr>
            <w:r w:rsidRPr="006B6D61">
              <w:rPr>
                <w:rFonts w:eastAsia="Calibri" w:cstheme="minorHAnsi"/>
                <w:b/>
                <w:bCs/>
                <w:sz w:val="20"/>
                <w:szCs w:val="20"/>
              </w:rPr>
              <w:t>1</w:t>
            </w:r>
            <w:r w:rsidR="00300510" w:rsidRPr="006B6D61">
              <w:rPr>
                <w:rFonts w:eastAsia="Calibri" w:cstheme="minorHAnsi"/>
                <w:b/>
                <w:bCs/>
                <w:sz w:val="20"/>
                <w:szCs w:val="20"/>
              </w:rPr>
              <w:t>8 867</w:t>
            </w:r>
          </w:p>
        </w:tc>
        <w:tc>
          <w:tcPr>
            <w:tcW w:w="82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0" w:type="dxa"/>
              <w:bottom w:w="0" w:type="dxa"/>
              <w:right w:w="70" w:type="dxa"/>
            </w:tcMar>
            <w:vAlign w:val="center"/>
            <w:hideMark/>
          </w:tcPr>
          <w:p w14:paraId="1B8B7A36" w14:textId="3E46F846" w:rsidR="00240D84" w:rsidRPr="002F1BE7" w:rsidRDefault="00DB3655" w:rsidP="009F33AF">
            <w:pPr>
              <w:spacing w:before="40" w:after="40" w:line="252" w:lineRule="auto"/>
              <w:jc w:val="right"/>
              <w:rPr>
                <w:rFonts w:eastAsia="Calibri" w:cstheme="minorHAnsi"/>
                <w:b/>
                <w:color w:val="FF0000"/>
                <w:sz w:val="20"/>
                <w:szCs w:val="20"/>
              </w:rPr>
            </w:pPr>
            <w:r w:rsidRPr="006B6D61">
              <w:rPr>
                <w:rFonts w:eastAsia="Calibri" w:cstheme="minorHAnsi"/>
                <w:b/>
                <w:bCs/>
                <w:sz w:val="20"/>
                <w:szCs w:val="20"/>
              </w:rPr>
              <w:t>108,8</w:t>
            </w:r>
          </w:p>
        </w:tc>
      </w:tr>
      <w:tr w:rsidR="002F1BE7" w:rsidRPr="0044012B" w14:paraId="27211C83" w14:textId="77777777" w:rsidTr="00D3010F">
        <w:trPr>
          <w:trHeight w:val="320"/>
          <w:tblHeader/>
        </w:trPr>
        <w:tc>
          <w:tcPr>
            <w:tcW w:w="2197" w:type="dxa"/>
            <w:tcBorders>
              <w:top w:val="single" w:sz="4" w:space="0" w:color="auto"/>
              <w:left w:val="single" w:sz="4" w:space="0" w:color="auto"/>
              <w:bottom w:val="nil"/>
              <w:right w:val="single" w:sz="4" w:space="0" w:color="auto"/>
            </w:tcBorders>
            <w:tcMar>
              <w:top w:w="0" w:type="dxa"/>
              <w:left w:w="70" w:type="dxa"/>
              <w:bottom w:w="0" w:type="dxa"/>
              <w:right w:w="70" w:type="dxa"/>
            </w:tcMar>
            <w:hideMark/>
          </w:tcPr>
          <w:p w14:paraId="3005BE6D" w14:textId="462ED892" w:rsidR="00240D84" w:rsidRPr="006B6D61" w:rsidRDefault="00240D84" w:rsidP="00BA4E5A">
            <w:pPr>
              <w:spacing w:before="81" w:after="0" w:line="252" w:lineRule="auto"/>
              <w:jc w:val="both"/>
              <w:rPr>
                <w:rFonts w:eastAsia="Calibri" w:cstheme="minorHAnsi"/>
                <w:sz w:val="20"/>
                <w:szCs w:val="20"/>
              </w:rPr>
            </w:pPr>
            <w:r w:rsidRPr="006B6D61">
              <w:rPr>
                <w:rFonts w:eastAsia="Calibri" w:cstheme="minorHAnsi"/>
                <w:b/>
                <w:sz w:val="20"/>
                <w:szCs w:val="20"/>
              </w:rPr>
              <w:t>Běžné výdaje</w:t>
            </w:r>
            <w:r w:rsidR="002F4F87" w:rsidRPr="006B6D61">
              <w:rPr>
                <w:rFonts w:eastAsia="Calibri" w:cstheme="minorHAnsi"/>
                <w:sz w:val="20"/>
                <w:szCs w:val="20"/>
              </w:rPr>
              <w:t xml:space="preserve"> (</w:t>
            </w:r>
            <w:r w:rsidRPr="006B6D61">
              <w:rPr>
                <w:rFonts w:eastAsia="Calibri" w:cstheme="minorHAnsi"/>
                <w:sz w:val="20"/>
                <w:szCs w:val="20"/>
              </w:rPr>
              <w:t>v tom:</w:t>
            </w:r>
            <w:r w:rsidR="002F4F87" w:rsidRPr="006B6D61">
              <w:rPr>
                <w:rFonts w:eastAsia="Calibri" w:cstheme="minorHAnsi"/>
                <w:sz w:val="20"/>
                <w:szCs w:val="20"/>
              </w:rPr>
              <w:t>)</w:t>
            </w:r>
          </w:p>
        </w:tc>
        <w:tc>
          <w:tcPr>
            <w:tcW w:w="112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67673B47" w14:textId="43AF727E" w:rsidR="00240D84" w:rsidRPr="006B6D61" w:rsidRDefault="008A59C4" w:rsidP="009F33AF">
            <w:pPr>
              <w:spacing w:after="0" w:line="252" w:lineRule="auto"/>
              <w:jc w:val="right"/>
              <w:rPr>
                <w:rFonts w:eastAsia="Calibri" w:cstheme="minorHAnsi"/>
                <w:b/>
                <w:sz w:val="20"/>
                <w:szCs w:val="20"/>
              </w:rPr>
            </w:pPr>
            <w:r w:rsidRPr="006B6D61">
              <w:rPr>
                <w:rFonts w:cstheme="minorHAnsi"/>
                <w:b/>
                <w:sz w:val="20"/>
                <w:szCs w:val="20"/>
              </w:rPr>
              <w:t>17 200</w:t>
            </w:r>
          </w:p>
        </w:tc>
        <w:tc>
          <w:tcPr>
            <w:tcW w:w="1193"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E5A1145" w14:textId="3CC82490" w:rsidR="00240D84" w:rsidRPr="006B6D61" w:rsidRDefault="008A59C4" w:rsidP="009F33AF">
            <w:pPr>
              <w:spacing w:after="0" w:line="252" w:lineRule="auto"/>
              <w:jc w:val="right"/>
              <w:rPr>
                <w:rFonts w:eastAsia="Calibri" w:cstheme="minorHAnsi"/>
                <w:b/>
                <w:sz w:val="20"/>
                <w:szCs w:val="20"/>
              </w:rPr>
            </w:pPr>
            <w:r w:rsidRPr="006B6D61">
              <w:rPr>
                <w:b/>
                <w:sz w:val="20"/>
                <w:szCs w:val="20"/>
              </w:rPr>
              <w:t>18 636</w:t>
            </w:r>
          </w:p>
        </w:tc>
        <w:tc>
          <w:tcPr>
            <w:tcW w:w="1319"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60557548" w14:textId="6C0833AC" w:rsidR="00240D84" w:rsidRPr="0077128B" w:rsidRDefault="008A59C4" w:rsidP="009F33AF">
            <w:pPr>
              <w:spacing w:after="0" w:line="252" w:lineRule="auto"/>
              <w:jc w:val="right"/>
              <w:rPr>
                <w:rFonts w:eastAsia="Calibri" w:cstheme="minorHAnsi"/>
                <w:b/>
                <w:color w:val="FF0000"/>
                <w:sz w:val="20"/>
                <w:szCs w:val="20"/>
              </w:rPr>
            </w:pPr>
            <w:r w:rsidRPr="00E0219C">
              <w:rPr>
                <w:b/>
                <w:sz w:val="20"/>
                <w:szCs w:val="20"/>
              </w:rPr>
              <w:t>18 636</w:t>
            </w:r>
          </w:p>
        </w:tc>
        <w:tc>
          <w:tcPr>
            <w:tcW w:w="1096"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498136AE" w14:textId="11B33CD5" w:rsidR="00240D84" w:rsidRPr="0077128B" w:rsidRDefault="005114CD" w:rsidP="009F33AF">
            <w:pPr>
              <w:spacing w:after="0" w:line="252" w:lineRule="auto"/>
              <w:jc w:val="right"/>
              <w:rPr>
                <w:rFonts w:eastAsia="Calibri" w:cstheme="minorHAnsi"/>
                <w:b/>
                <w:bCs/>
                <w:color w:val="FF0000"/>
                <w:sz w:val="20"/>
                <w:szCs w:val="20"/>
              </w:rPr>
            </w:pPr>
            <w:r w:rsidRPr="006B6D61">
              <w:rPr>
                <w:rFonts w:eastAsia="Calibri" w:cstheme="minorHAnsi"/>
                <w:b/>
                <w:bCs/>
                <w:sz w:val="20"/>
                <w:szCs w:val="20"/>
              </w:rPr>
              <w:t>22 743</w:t>
            </w:r>
          </w:p>
        </w:tc>
        <w:tc>
          <w:tcPr>
            <w:tcW w:w="1153"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D1B7DC9" w14:textId="243167DC" w:rsidR="00240D84" w:rsidRPr="0077128B" w:rsidRDefault="008A59C4" w:rsidP="009F33AF">
            <w:pPr>
              <w:spacing w:after="0" w:line="252" w:lineRule="auto"/>
              <w:jc w:val="right"/>
              <w:rPr>
                <w:rFonts w:eastAsia="Calibri" w:cstheme="minorHAnsi"/>
                <w:b/>
                <w:color w:val="FF0000"/>
                <w:sz w:val="20"/>
                <w:szCs w:val="20"/>
              </w:rPr>
            </w:pPr>
            <w:r w:rsidRPr="00E0219C">
              <w:rPr>
                <w:rFonts w:eastAsia="Calibri" w:cstheme="minorHAnsi"/>
                <w:b/>
                <w:bCs/>
                <w:sz w:val="20"/>
                <w:szCs w:val="20"/>
              </w:rPr>
              <w:t>17 498</w:t>
            </w:r>
          </w:p>
        </w:tc>
        <w:tc>
          <w:tcPr>
            <w:tcW w:w="828"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tcPr>
          <w:p w14:paraId="22B57A4A" w14:textId="166A2A68" w:rsidR="00240D84" w:rsidRPr="006B6D61" w:rsidRDefault="008A59C4" w:rsidP="009F33AF">
            <w:pPr>
              <w:spacing w:after="0" w:line="252" w:lineRule="auto"/>
              <w:jc w:val="right"/>
              <w:rPr>
                <w:rFonts w:eastAsia="Calibri" w:cstheme="minorHAnsi"/>
                <w:b/>
                <w:sz w:val="20"/>
                <w:szCs w:val="20"/>
              </w:rPr>
            </w:pPr>
            <w:r w:rsidRPr="006B6D61">
              <w:rPr>
                <w:b/>
                <w:sz w:val="20"/>
                <w:szCs w:val="20"/>
              </w:rPr>
              <w:t>101,7</w:t>
            </w:r>
          </w:p>
        </w:tc>
      </w:tr>
      <w:tr w:rsidR="002F1BE7" w:rsidRPr="0044012B" w14:paraId="2A8105E2" w14:textId="77777777" w:rsidTr="00D3010F">
        <w:trPr>
          <w:trHeight w:val="225"/>
          <w:tblHeader/>
        </w:trPr>
        <w:tc>
          <w:tcPr>
            <w:tcW w:w="2197" w:type="dxa"/>
            <w:tcBorders>
              <w:top w:val="nil"/>
              <w:left w:val="single" w:sz="4" w:space="0" w:color="auto"/>
              <w:bottom w:val="nil"/>
              <w:right w:val="single" w:sz="4" w:space="0" w:color="auto"/>
            </w:tcBorders>
            <w:tcMar>
              <w:top w:w="0" w:type="dxa"/>
              <w:left w:w="70" w:type="dxa"/>
              <w:bottom w:w="0" w:type="dxa"/>
              <w:right w:w="70" w:type="dxa"/>
            </w:tcMar>
          </w:tcPr>
          <w:p w14:paraId="3C4F86D6" w14:textId="77777777" w:rsidR="00240D84" w:rsidRPr="006B6D61" w:rsidRDefault="00240D84" w:rsidP="009F33AF">
            <w:pPr>
              <w:spacing w:after="0" w:line="252" w:lineRule="auto"/>
              <w:rPr>
                <w:rFonts w:eastAsia="Calibri" w:cstheme="minorHAnsi"/>
                <w:sz w:val="20"/>
                <w:szCs w:val="20"/>
              </w:rPr>
            </w:pPr>
            <w:r w:rsidRPr="006B6D61">
              <w:rPr>
                <w:rFonts w:cstheme="minorHAnsi"/>
                <w:sz w:val="20"/>
                <w:szCs w:val="20"/>
              </w:rPr>
              <w:t>platy zaměstnanců a ostatní platby za provedenou práci</w:t>
            </w:r>
          </w:p>
        </w:tc>
        <w:tc>
          <w:tcPr>
            <w:tcW w:w="1124" w:type="dxa"/>
            <w:tcBorders>
              <w:top w:val="nil"/>
              <w:left w:val="single" w:sz="4" w:space="0" w:color="auto"/>
              <w:bottom w:val="nil"/>
              <w:right w:val="single" w:sz="4" w:space="0" w:color="auto"/>
            </w:tcBorders>
            <w:tcMar>
              <w:top w:w="0" w:type="dxa"/>
              <w:left w:w="70" w:type="dxa"/>
              <w:bottom w:w="0" w:type="dxa"/>
              <w:right w:w="70" w:type="dxa"/>
            </w:tcMar>
            <w:vAlign w:val="center"/>
          </w:tcPr>
          <w:p w14:paraId="51F490E4" w14:textId="01E99633" w:rsidR="00240D84" w:rsidRPr="006B6D61" w:rsidRDefault="008A59C4" w:rsidP="009F33AF">
            <w:pPr>
              <w:spacing w:after="0" w:line="252" w:lineRule="auto"/>
              <w:jc w:val="right"/>
              <w:rPr>
                <w:rFonts w:eastAsia="Calibri" w:cstheme="minorHAnsi"/>
                <w:sz w:val="20"/>
                <w:szCs w:val="20"/>
              </w:rPr>
            </w:pPr>
            <w:r w:rsidRPr="006B6D61">
              <w:rPr>
                <w:rFonts w:cstheme="minorHAnsi"/>
                <w:sz w:val="20"/>
                <w:szCs w:val="20"/>
              </w:rPr>
              <w:t>8 846</w:t>
            </w:r>
          </w:p>
        </w:tc>
        <w:tc>
          <w:tcPr>
            <w:tcW w:w="1193" w:type="dxa"/>
            <w:tcBorders>
              <w:top w:val="nil"/>
              <w:left w:val="single" w:sz="4" w:space="0" w:color="auto"/>
              <w:bottom w:val="nil"/>
              <w:right w:val="single" w:sz="4" w:space="0" w:color="auto"/>
            </w:tcBorders>
            <w:tcMar>
              <w:top w:w="0" w:type="dxa"/>
              <w:left w:w="70" w:type="dxa"/>
              <w:bottom w:w="0" w:type="dxa"/>
              <w:right w:w="70" w:type="dxa"/>
            </w:tcMar>
            <w:vAlign w:val="center"/>
          </w:tcPr>
          <w:p w14:paraId="2E6749CE" w14:textId="7933E1C3" w:rsidR="00240D84" w:rsidRPr="006B6D61" w:rsidRDefault="008A59C4" w:rsidP="009F33AF">
            <w:pPr>
              <w:spacing w:after="0" w:line="252" w:lineRule="auto"/>
              <w:jc w:val="right"/>
              <w:rPr>
                <w:rFonts w:eastAsia="Calibri" w:cstheme="minorHAnsi"/>
                <w:sz w:val="20"/>
                <w:szCs w:val="20"/>
              </w:rPr>
            </w:pPr>
            <w:r w:rsidRPr="006B6D61">
              <w:rPr>
                <w:sz w:val="20"/>
                <w:szCs w:val="20"/>
              </w:rPr>
              <w:t>8 914</w:t>
            </w:r>
          </w:p>
        </w:tc>
        <w:tc>
          <w:tcPr>
            <w:tcW w:w="1319" w:type="dxa"/>
            <w:tcBorders>
              <w:top w:val="nil"/>
              <w:left w:val="single" w:sz="4" w:space="0" w:color="auto"/>
              <w:bottom w:val="nil"/>
              <w:right w:val="single" w:sz="4" w:space="0" w:color="auto"/>
            </w:tcBorders>
            <w:tcMar>
              <w:top w:w="0" w:type="dxa"/>
              <w:left w:w="70" w:type="dxa"/>
              <w:bottom w:w="0" w:type="dxa"/>
              <w:right w:w="70" w:type="dxa"/>
            </w:tcMar>
            <w:vAlign w:val="center"/>
          </w:tcPr>
          <w:p w14:paraId="4B87288B" w14:textId="566901BB" w:rsidR="00240D84" w:rsidRPr="002F1BE7" w:rsidRDefault="008A59C4" w:rsidP="009F33AF">
            <w:pPr>
              <w:spacing w:after="0" w:line="252" w:lineRule="auto"/>
              <w:jc w:val="right"/>
              <w:rPr>
                <w:rFonts w:eastAsia="Calibri" w:cstheme="minorHAnsi"/>
                <w:color w:val="FF0000"/>
                <w:sz w:val="20"/>
                <w:szCs w:val="20"/>
              </w:rPr>
            </w:pPr>
            <w:r w:rsidRPr="00E0219C">
              <w:rPr>
                <w:sz w:val="20"/>
                <w:szCs w:val="20"/>
              </w:rPr>
              <w:t>8 914</w:t>
            </w:r>
          </w:p>
        </w:tc>
        <w:tc>
          <w:tcPr>
            <w:tcW w:w="1096" w:type="dxa"/>
            <w:tcBorders>
              <w:top w:val="nil"/>
              <w:left w:val="single" w:sz="4" w:space="0" w:color="auto"/>
              <w:bottom w:val="nil"/>
              <w:right w:val="single" w:sz="4" w:space="0" w:color="auto"/>
            </w:tcBorders>
            <w:tcMar>
              <w:top w:w="0" w:type="dxa"/>
              <w:left w:w="70" w:type="dxa"/>
              <w:bottom w:w="0" w:type="dxa"/>
              <w:right w:w="70" w:type="dxa"/>
            </w:tcMar>
            <w:vAlign w:val="center"/>
          </w:tcPr>
          <w:p w14:paraId="1B2B4BFE" w14:textId="15745880" w:rsidR="00240D84" w:rsidRPr="002F1BE7" w:rsidRDefault="008A59C4" w:rsidP="009F33AF">
            <w:pPr>
              <w:spacing w:after="0" w:line="252" w:lineRule="auto"/>
              <w:jc w:val="right"/>
              <w:rPr>
                <w:rFonts w:eastAsia="Calibri" w:cstheme="minorHAnsi"/>
                <w:color w:val="FF0000"/>
                <w:sz w:val="20"/>
                <w:szCs w:val="20"/>
              </w:rPr>
            </w:pPr>
            <w:r w:rsidRPr="006B6D61">
              <w:rPr>
                <w:rFonts w:eastAsia="Calibri" w:cstheme="minorHAnsi"/>
                <w:sz w:val="20"/>
                <w:szCs w:val="20"/>
              </w:rPr>
              <w:t xml:space="preserve">8 </w:t>
            </w:r>
            <w:r w:rsidR="00F027F0" w:rsidRPr="006B6D61">
              <w:rPr>
                <w:rFonts w:eastAsia="Calibri" w:cstheme="minorHAnsi"/>
                <w:sz w:val="20"/>
                <w:szCs w:val="20"/>
              </w:rPr>
              <w:t>805</w:t>
            </w:r>
          </w:p>
        </w:tc>
        <w:tc>
          <w:tcPr>
            <w:tcW w:w="1153" w:type="dxa"/>
            <w:tcBorders>
              <w:top w:val="nil"/>
              <w:left w:val="single" w:sz="4" w:space="0" w:color="auto"/>
              <w:bottom w:val="nil"/>
              <w:right w:val="single" w:sz="4" w:space="0" w:color="auto"/>
            </w:tcBorders>
            <w:tcMar>
              <w:top w:w="0" w:type="dxa"/>
              <w:left w:w="70" w:type="dxa"/>
              <w:bottom w:w="0" w:type="dxa"/>
              <w:right w:w="70" w:type="dxa"/>
            </w:tcMar>
            <w:vAlign w:val="center"/>
          </w:tcPr>
          <w:p w14:paraId="670F0D89" w14:textId="2B73D9C1" w:rsidR="00240D84" w:rsidRPr="002F1BE7"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8 778</w:t>
            </w:r>
          </w:p>
        </w:tc>
        <w:tc>
          <w:tcPr>
            <w:tcW w:w="828" w:type="dxa"/>
            <w:tcBorders>
              <w:top w:val="nil"/>
              <w:left w:val="single" w:sz="4" w:space="0" w:color="auto"/>
              <w:bottom w:val="nil"/>
              <w:right w:val="single" w:sz="4" w:space="0" w:color="auto"/>
            </w:tcBorders>
            <w:tcMar>
              <w:top w:w="0" w:type="dxa"/>
              <w:left w:w="70" w:type="dxa"/>
              <w:bottom w:w="0" w:type="dxa"/>
              <w:right w:w="70" w:type="dxa"/>
            </w:tcMar>
            <w:vAlign w:val="center"/>
          </w:tcPr>
          <w:p w14:paraId="47873ECC" w14:textId="16757DE2" w:rsidR="00240D84" w:rsidRPr="006B6D61" w:rsidRDefault="008A59C4" w:rsidP="009F33AF">
            <w:pPr>
              <w:spacing w:after="0" w:line="252" w:lineRule="auto"/>
              <w:jc w:val="right"/>
              <w:rPr>
                <w:rFonts w:eastAsia="Calibri" w:cstheme="minorHAnsi"/>
                <w:sz w:val="20"/>
                <w:szCs w:val="20"/>
              </w:rPr>
            </w:pPr>
            <w:r w:rsidRPr="006B6D61">
              <w:rPr>
                <w:sz w:val="20"/>
                <w:szCs w:val="20"/>
              </w:rPr>
              <w:t>99,2</w:t>
            </w:r>
          </w:p>
        </w:tc>
      </w:tr>
      <w:tr w:rsidR="002F1BE7" w:rsidRPr="0044012B" w14:paraId="6075A2B1" w14:textId="77777777" w:rsidTr="00D3010F">
        <w:trPr>
          <w:trHeight w:val="225"/>
          <w:tblHeader/>
        </w:trPr>
        <w:tc>
          <w:tcPr>
            <w:tcW w:w="2197" w:type="dxa"/>
            <w:tcBorders>
              <w:top w:val="nil"/>
              <w:left w:val="single" w:sz="4" w:space="0" w:color="auto"/>
              <w:bottom w:val="nil"/>
              <w:right w:val="single" w:sz="4" w:space="0" w:color="auto"/>
            </w:tcBorders>
            <w:tcMar>
              <w:top w:w="0" w:type="dxa"/>
              <w:left w:w="70" w:type="dxa"/>
              <w:bottom w:w="0" w:type="dxa"/>
              <w:right w:w="70" w:type="dxa"/>
            </w:tcMar>
          </w:tcPr>
          <w:p w14:paraId="082D7318" w14:textId="77777777" w:rsidR="00240D84" w:rsidRPr="006B6D61" w:rsidRDefault="00240D84" w:rsidP="009F33AF">
            <w:pPr>
              <w:spacing w:after="0" w:line="252" w:lineRule="auto"/>
              <w:rPr>
                <w:rFonts w:eastAsia="Calibri" w:cstheme="minorHAnsi"/>
                <w:sz w:val="20"/>
                <w:szCs w:val="20"/>
              </w:rPr>
            </w:pPr>
            <w:r w:rsidRPr="006B6D61">
              <w:rPr>
                <w:rFonts w:cstheme="minorHAnsi"/>
                <w:sz w:val="20"/>
                <w:szCs w:val="20"/>
              </w:rPr>
              <w:t>povinné pojistné placené zaměstnavatelem</w:t>
            </w:r>
          </w:p>
        </w:tc>
        <w:tc>
          <w:tcPr>
            <w:tcW w:w="1124" w:type="dxa"/>
            <w:tcBorders>
              <w:top w:val="nil"/>
              <w:left w:val="single" w:sz="4" w:space="0" w:color="auto"/>
              <w:bottom w:val="nil"/>
              <w:right w:val="single" w:sz="4" w:space="0" w:color="auto"/>
            </w:tcBorders>
            <w:tcMar>
              <w:top w:w="0" w:type="dxa"/>
              <w:left w:w="70" w:type="dxa"/>
              <w:bottom w:w="0" w:type="dxa"/>
              <w:right w:w="70" w:type="dxa"/>
            </w:tcMar>
            <w:vAlign w:val="center"/>
          </w:tcPr>
          <w:p w14:paraId="52A52015" w14:textId="08E4DCE1" w:rsidR="00240D84" w:rsidRPr="006B6D61" w:rsidRDefault="008A59C4" w:rsidP="009F33AF">
            <w:pPr>
              <w:spacing w:after="0" w:line="252" w:lineRule="auto"/>
              <w:jc w:val="right"/>
              <w:rPr>
                <w:rFonts w:eastAsia="Calibri" w:cstheme="minorHAnsi"/>
                <w:sz w:val="20"/>
                <w:szCs w:val="20"/>
              </w:rPr>
            </w:pPr>
            <w:r w:rsidRPr="006B6D61">
              <w:rPr>
                <w:rFonts w:cstheme="minorHAnsi"/>
                <w:sz w:val="20"/>
                <w:szCs w:val="20"/>
              </w:rPr>
              <w:t>2 990</w:t>
            </w:r>
          </w:p>
        </w:tc>
        <w:tc>
          <w:tcPr>
            <w:tcW w:w="1193" w:type="dxa"/>
            <w:tcBorders>
              <w:top w:val="nil"/>
              <w:left w:val="single" w:sz="4" w:space="0" w:color="auto"/>
              <w:bottom w:val="nil"/>
              <w:right w:val="single" w:sz="4" w:space="0" w:color="auto"/>
            </w:tcBorders>
            <w:tcMar>
              <w:top w:w="0" w:type="dxa"/>
              <w:left w:w="70" w:type="dxa"/>
              <w:bottom w:w="0" w:type="dxa"/>
              <w:right w:w="70" w:type="dxa"/>
            </w:tcMar>
            <w:vAlign w:val="center"/>
          </w:tcPr>
          <w:p w14:paraId="23CCA098" w14:textId="4EFA53B1" w:rsidR="00240D84" w:rsidRPr="006B6D61" w:rsidRDefault="008A59C4" w:rsidP="009F33AF">
            <w:pPr>
              <w:spacing w:after="0" w:line="252" w:lineRule="auto"/>
              <w:jc w:val="right"/>
              <w:rPr>
                <w:rFonts w:eastAsia="Calibri" w:cstheme="minorHAnsi"/>
                <w:sz w:val="20"/>
                <w:szCs w:val="20"/>
              </w:rPr>
            </w:pPr>
            <w:r w:rsidRPr="006B6D61">
              <w:rPr>
                <w:rFonts w:eastAsia="Calibri" w:cstheme="minorHAnsi"/>
                <w:sz w:val="20"/>
                <w:szCs w:val="20"/>
              </w:rPr>
              <w:t>3 013</w:t>
            </w:r>
          </w:p>
        </w:tc>
        <w:tc>
          <w:tcPr>
            <w:tcW w:w="1319" w:type="dxa"/>
            <w:tcBorders>
              <w:top w:val="nil"/>
              <w:left w:val="single" w:sz="4" w:space="0" w:color="auto"/>
              <w:bottom w:val="nil"/>
              <w:right w:val="single" w:sz="4" w:space="0" w:color="auto"/>
            </w:tcBorders>
            <w:tcMar>
              <w:top w:w="0" w:type="dxa"/>
              <w:left w:w="70" w:type="dxa"/>
              <w:bottom w:w="0" w:type="dxa"/>
              <w:right w:w="70" w:type="dxa"/>
            </w:tcMar>
            <w:vAlign w:val="center"/>
          </w:tcPr>
          <w:p w14:paraId="7C39AE53" w14:textId="746990BA" w:rsidR="00240D84" w:rsidRPr="002F1BE7"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3 013</w:t>
            </w:r>
          </w:p>
        </w:tc>
        <w:tc>
          <w:tcPr>
            <w:tcW w:w="1096" w:type="dxa"/>
            <w:tcBorders>
              <w:top w:val="nil"/>
              <w:left w:val="single" w:sz="4" w:space="0" w:color="auto"/>
              <w:bottom w:val="nil"/>
              <w:right w:val="single" w:sz="4" w:space="0" w:color="auto"/>
            </w:tcBorders>
            <w:tcMar>
              <w:top w:w="0" w:type="dxa"/>
              <w:left w:w="70" w:type="dxa"/>
              <w:bottom w:w="0" w:type="dxa"/>
              <w:right w:w="70" w:type="dxa"/>
            </w:tcMar>
            <w:vAlign w:val="center"/>
          </w:tcPr>
          <w:p w14:paraId="4BE18E74" w14:textId="10E23133" w:rsidR="00240D84" w:rsidRPr="002F1BE7" w:rsidRDefault="008A59C4" w:rsidP="009F33AF">
            <w:pPr>
              <w:spacing w:after="0" w:line="252" w:lineRule="auto"/>
              <w:jc w:val="right"/>
              <w:rPr>
                <w:rFonts w:eastAsia="Calibri" w:cstheme="minorHAnsi"/>
                <w:color w:val="FF0000"/>
                <w:sz w:val="20"/>
                <w:szCs w:val="20"/>
              </w:rPr>
            </w:pPr>
            <w:r w:rsidRPr="006B6D61">
              <w:rPr>
                <w:rFonts w:eastAsia="Calibri" w:cstheme="minorHAnsi"/>
                <w:sz w:val="20"/>
                <w:szCs w:val="20"/>
              </w:rPr>
              <w:t xml:space="preserve">2 </w:t>
            </w:r>
            <w:r w:rsidR="00E40D7D" w:rsidRPr="006B6D61">
              <w:rPr>
                <w:rFonts w:eastAsia="Calibri" w:cstheme="minorHAnsi"/>
                <w:sz w:val="20"/>
                <w:szCs w:val="20"/>
              </w:rPr>
              <w:t>976</w:t>
            </w:r>
          </w:p>
        </w:tc>
        <w:tc>
          <w:tcPr>
            <w:tcW w:w="1153" w:type="dxa"/>
            <w:tcBorders>
              <w:top w:val="nil"/>
              <w:left w:val="single" w:sz="4" w:space="0" w:color="auto"/>
              <w:bottom w:val="nil"/>
              <w:right w:val="single" w:sz="4" w:space="0" w:color="auto"/>
            </w:tcBorders>
            <w:tcMar>
              <w:top w:w="0" w:type="dxa"/>
              <w:left w:w="70" w:type="dxa"/>
              <w:bottom w:w="0" w:type="dxa"/>
              <w:right w:w="70" w:type="dxa"/>
            </w:tcMar>
            <w:vAlign w:val="center"/>
          </w:tcPr>
          <w:p w14:paraId="2722CBFD" w14:textId="50862E4B" w:rsidR="00240D84" w:rsidRPr="002F1BE7"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2 959</w:t>
            </w:r>
          </w:p>
        </w:tc>
        <w:tc>
          <w:tcPr>
            <w:tcW w:w="828" w:type="dxa"/>
            <w:tcBorders>
              <w:top w:val="nil"/>
              <w:left w:val="single" w:sz="4" w:space="0" w:color="auto"/>
              <w:bottom w:val="nil"/>
              <w:right w:val="single" w:sz="4" w:space="0" w:color="auto"/>
            </w:tcBorders>
            <w:tcMar>
              <w:top w:w="0" w:type="dxa"/>
              <w:left w:w="70" w:type="dxa"/>
              <w:bottom w:w="0" w:type="dxa"/>
              <w:right w:w="70" w:type="dxa"/>
            </w:tcMar>
            <w:vAlign w:val="center"/>
          </w:tcPr>
          <w:p w14:paraId="7CF86633" w14:textId="46AAD900" w:rsidR="00240D84" w:rsidRPr="006B6D61" w:rsidRDefault="008A59C4" w:rsidP="009F33AF">
            <w:pPr>
              <w:spacing w:after="0" w:line="252" w:lineRule="auto"/>
              <w:jc w:val="right"/>
              <w:rPr>
                <w:rFonts w:eastAsia="Calibri" w:cstheme="minorHAnsi"/>
                <w:sz w:val="20"/>
                <w:szCs w:val="20"/>
              </w:rPr>
            </w:pPr>
            <w:r w:rsidRPr="006B6D61">
              <w:rPr>
                <w:sz w:val="20"/>
                <w:szCs w:val="20"/>
              </w:rPr>
              <w:t>9</w:t>
            </w:r>
            <w:r w:rsidR="0067402B">
              <w:rPr>
                <w:sz w:val="20"/>
                <w:szCs w:val="20"/>
              </w:rPr>
              <w:t>9,0</w:t>
            </w:r>
          </w:p>
        </w:tc>
      </w:tr>
      <w:tr w:rsidR="002F1BE7" w:rsidRPr="0044012B" w14:paraId="11015A63" w14:textId="77777777" w:rsidTr="00D3010F">
        <w:trPr>
          <w:trHeight w:val="225"/>
          <w:tblHeader/>
        </w:trPr>
        <w:tc>
          <w:tcPr>
            <w:tcW w:w="2197" w:type="dxa"/>
            <w:tcBorders>
              <w:top w:val="nil"/>
              <w:left w:val="single" w:sz="4" w:space="0" w:color="auto"/>
              <w:bottom w:val="nil"/>
              <w:right w:val="single" w:sz="4" w:space="0" w:color="auto"/>
            </w:tcBorders>
            <w:tcMar>
              <w:top w:w="0" w:type="dxa"/>
              <w:left w:w="70" w:type="dxa"/>
              <w:bottom w:w="0" w:type="dxa"/>
              <w:right w:w="70" w:type="dxa"/>
            </w:tcMar>
          </w:tcPr>
          <w:p w14:paraId="781B7912" w14:textId="77777777" w:rsidR="00240D84" w:rsidRPr="006B6D61" w:rsidRDefault="00240D84" w:rsidP="009F33AF">
            <w:pPr>
              <w:spacing w:after="0" w:line="252" w:lineRule="auto"/>
              <w:rPr>
                <w:rFonts w:eastAsia="Calibri" w:cstheme="minorHAnsi"/>
                <w:sz w:val="20"/>
                <w:szCs w:val="20"/>
              </w:rPr>
            </w:pPr>
            <w:r w:rsidRPr="006B6D61">
              <w:rPr>
                <w:rFonts w:cstheme="minorHAnsi"/>
                <w:sz w:val="20"/>
                <w:szCs w:val="20"/>
              </w:rPr>
              <w:t>základní příděl FKSP</w:t>
            </w:r>
          </w:p>
        </w:tc>
        <w:tc>
          <w:tcPr>
            <w:tcW w:w="1124" w:type="dxa"/>
            <w:tcBorders>
              <w:top w:val="nil"/>
              <w:left w:val="single" w:sz="4" w:space="0" w:color="auto"/>
              <w:bottom w:val="nil"/>
              <w:right w:val="single" w:sz="4" w:space="0" w:color="auto"/>
            </w:tcBorders>
            <w:tcMar>
              <w:top w:w="0" w:type="dxa"/>
              <w:left w:w="70" w:type="dxa"/>
              <w:bottom w:w="0" w:type="dxa"/>
              <w:right w:w="70" w:type="dxa"/>
            </w:tcMar>
            <w:vAlign w:val="center"/>
          </w:tcPr>
          <w:p w14:paraId="510090BD" w14:textId="2353A21A" w:rsidR="00240D84" w:rsidRPr="006B6D61" w:rsidRDefault="008A59C4" w:rsidP="009F33AF">
            <w:pPr>
              <w:spacing w:after="0" w:line="252" w:lineRule="auto"/>
              <w:jc w:val="right"/>
              <w:rPr>
                <w:rFonts w:eastAsia="Calibri" w:cstheme="minorHAnsi"/>
                <w:sz w:val="20"/>
                <w:szCs w:val="20"/>
              </w:rPr>
            </w:pPr>
            <w:r w:rsidRPr="006B6D61">
              <w:rPr>
                <w:rFonts w:eastAsia="Calibri" w:cstheme="minorHAnsi"/>
                <w:sz w:val="20"/>
                <w:szCs w:val="20"/>
              </w:rPr>
              <w:t>177</w:t>
            </w:r>
          </w:p>
        </w:tc>
        <w:tc>
          <w:tcPr>
            <w:tcW w:w="1193" w:type="dxa"/>
            <w:tcBorders>
              <w:top w:val="nil"/>
              <w:left w:val="single" w:sz="4" w:space="0" w:color="auto"/>
              <w:bottom w:val="nil"/>
              <w:right w:val="single" w:sz="4" w:space="0" w:color="auto"/>
            </w:tcBorders>
            <w:tcMar>
              <w:top w:w="0" w:type="dxa"/>
              <w:left w:w="70" w:type="dxa"/>
              <w:bottom w:w="0" w:type="dxa"/>
              <w:right w:w="70" w:type="dxa"/>
            </w:tcMar>
            <w:vAlign w:val="center"/>
          </w:tcPr>
          <w:p w14:paraId="1DBD7D67" w14:textId="5A7E95C3" w:rsidR="00240D84" w:rsidRPr="006B6D61" w:rsidRDefault="008A59C4" w:rsidP="009F33AF">
            <w:pPr>
              <w:spacing w:after="0" w:line="252" w:lineRule="auto"/>
              <w:jc w:val="right"/>
              <w:rPr>
                <w:rFonts w:eastAsia="Calibri" w:cstheme="minorHAnsi"/>
                <w:sz w:val="20"/>
                <w:szCs w:val="20"/>
              </w:rPr>
            </w:pPr>
            <w:r w:rsidRPr="006B6D61">
              <w:rPr>
                <w:rFonts w:eastAsia="Calibri" w:cstheme="minorHAnsi"/>
                <w:sz w:val="20"/>
                <w:szCs w:val="20"/>
              </w:rPr>
              <w:t>177</w:t>
            </w:r>
          </w:p>
        </w:tc>
        <w:tc>
          <w:tcPr>
            <w:tcW w:w="1319" w:type="dxa"/>
            <w:tcBorders>
              <w:top w:val="nil"/>
              <w:left w:val="single" w:sz="4" w:space="0" w:color="auto"/>
              <w:bottom w:val="nil"/>
              <w:right w:val="single" w:sz="4" w:space="0" w:color="auto"/>
            </w:tcBorders>
            <w:tcMar>
              <w:top w:w="0" w:type="dxa"/>
              <w:left w:w="70" w:type="dxa"/>
              <w:bottom w:w="0" w:type="dxa"/>
              <w:right w:w="70" w:type="dxa"/>
            </w:tcMar>
            <w:vAlign w:val="center"/>
          </w:tcPr>
          <w:p w14:paraId="09808AA0" w14:textId="45443D45" w:rsidR="00240D84" w:rsidRPr="002F1BE7"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177</w:t>
            </w:r>
          </w:p>
        </w:tc>
        <w:tc>
          <w:tcPr>
            <w:tcW w:w="1096" w:type="dxa"/>
            <w:tcBorders>
              <w:top w:val="nil"/>
              <w:left w:val="single" w:sz="4" w:space="0" w:color="auto"/>
              <w:bottom w:val="nil"/>
              <w:right w:val="single" w:sz="4" w:space="0" w:color="auto"/>
            </w:tcBorders>
            <w:tcMar>
              <w:top w:w="0" w:type="dxa"/>
              <w:left w:w="70" w:type="dxa"/>
              <w:bottom w:w="0" w:type="dxa"/>
              <w:right w:w="70" w:type="dxa"/>
            </w:tcMar>
            <w:vAlign w:val="center"/>
          </w:tcPr>
          <w:p w14:paraId="2352C410" w14:textId="65EF5B54" w:rsidR="00240D84" w:rsidRPr="002F1BE7" w:rsidRDefault="008A59C4" w:rsidP="009F33AF">
            <w:pPr>
              <w:spacing w:after="0" w:line="252" w:lineRule="auto"/>
              <w:jc w:val="right"/>
              <w:rPr>
                <w:rFonts w:eastAsia="Calibri" w:cstheme="minorHAnsi"/>
                <w:color w:val="FF0000"/>
                <w:sz w:val="20"/>
                <w:szCs w:val="20"/>
              </w:rPr>
            </w:pPr>
            <w:r w:rsidRPr="006B6D61">
              <w:rPr>
                <w:rFonts w:eastAsia="Calibri" w:cstheme="minorHAnsi"/>
                <w:sz w:val="20"/>
                <w:szCs w:val="20"/>
              </w:rPr>
              <w:t>175</w:t>
            </w:r>
          </w:p>
        </w:tc>
        <w:tc>
          <w:tcPr>
            <w:tcW w:w="1153" w:type="dxa"/>
            <w:tcBorders>
              <w:top w:val="nil"/>
              <w:left w:val="single" w:sz="4" w:space="0" w:color="auto"/>
              <w:bottom w:val="nil"/>
              <w:right w:val="single" w:sz="4" w:space="0" w:color="auto"/>
            </w:tcBorders>
            <w:tcMar>
              <w:top w:w="0" w:type="dxa"/>
              <w:left w:w="70" w:type="dxa"/>
              <w:bottom w:w="0" w:type="dxa"/>
              <w:right w:w="70" w:type="dxa"/>
            </w:tcMar>
            <w:vAlign w:val="center"/>
          </w:tcPr>
          <w:p w14:paraId="39386C89" w14:textId="2A8F887F" w:rsidR="00240D84" w:rsidRPr="002F1BE7"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175</w:t>
            </w:r>
          </w:p>
        </w:tc>
        <w:tc>
          <w:tcPr>
            <w:tcW w:w="828" w:type="dxa"/>
            <w:tcBorders>
              <w:top w:val="nil"/>
              <w:left w:val="single" w:sz="4" w:space="0" w:color="auto"/>
              <w:bottom w:val="nil"/>
              <w:right w:val="single" w:sz="4" w:space="0" w:color="auto"/>
            </w:tcBorders>
            <w:tcMar>
              <w:top w:w="0" w:type="dxa"/>
              <w:left w:w="70" w:type="dxa"/>
              <w:bottom w:w="0" w:type="dxa"/>
              <w:right w:w="70" w:type="dxa"/>
            </w:tcMar>
            <w:vAlign w:val="center"/>
          </w:tcPr>
          <w:p w14:paraId="44A88BA0" w14:textId="5F7447F3" w:rsidR="00240D84" w:rsidRPr="006B6D61" w:rsidRDefault="008A59C4" w:rsidP="009F33AF">
            <w:pPr>
              <w:spacing w:after="0" w:line="252" w:lineRule="auto"/>
              <w:jc w:val="right"/>
              <w:rPr>
                <w:rFonts w:eastAsia="Calibri" w:cstheme="minorHAnsi"/>
                <w:sz w:val="20"/>
                <w:szCs w:val="20"/>
              </w:rPr>
            </w:pPr>
            <w:r w:rsidRPr="006B6D61">
              <w:rPr>
                <w:sz w:val="20"/>
                <w:szCs w:val="20"/>
              </w:rPr>
              <w:t>98,</w:t>
            </w:r>
            <w:r w:rsidR="0067402B">
              <w:rPr>
                <w:sz w:val="20"/>
                <w:szCs w:val="20"/>
              </w:rPr>
              <w:t>9</w:t>
            </w:r>
          </w:p>
        </w:tc>
      </w:tr>
      <w:tr w:rsidR="002F1BE7" w:rsidRPr="0044012B" w14:paraId="3B443BCD" w14:textId="77777777" w:rsidTr="00D3010F">
        <w:trPr>
          <w:trHeight w:val="225"/>
          <w:tblHeader/>
        </w:trPr>
        <w:tc>
          <w:tcPr>
            <w:tcW w:w="2197" w:type="dxa"/>
            <w:tcBorders>
              <w:top w:val="nil"/>
              <w:left w:val="single" w:sz="4" w:space="0" w:color="auto"/>
              <w:bottom w:val="nil"/>
              <w:right w:val="single" w:sz="4" w:space="0" w:color="auto"/>
            </w:tcBorders>
            <w:tcMar>
              <w:top w:w="0" w:type="dxa"/>
              <w:left w:w="70" w:type="dxa"/>
              <w:bottom w:w="0" w:type="dxa"/>
              <w:right w:w="70" w:type="dxa"/>
            </w:tcMar>
          </w:tcPr>
          <w:p w14:paraId="037B168D" w14:textId="77777777" w:rsidR="00240D84" w:rsidRPr="006B6D61" w:rsidRDefault="00240D84" w:rsidP="009F33AF">
            <w:pPr>
              <w:spacing w:after="0" w:line="252" w:lineRule="auto"/>
              <w:rPr>
                <w:rFonts w:eastAsia="Calibri" w:cstheme="minorHAnsi"/>
                <w:sz w:val="20"/>
                <w:szCs w:val="20"/>
              </w:rPr>
            </w:pPr>
            <w:r w:rsidRPr="006B6D61">
              <w:rPr>
                <w:rFonts w:cstheme="minorHAnsi"/>
                <w:sz w:val="20"/>
                <w:szCs w:val="20"/>
              </w:rPr>
              <w:t>ostatní neinvestiční výdaje</w:t>
            </w:r>
          </w:p>
        </w:tc>
        <w:tc>
          <w:tcPr>
            <w:tcW w:w="1124" w:type="dxa"/>
            <w:tcBorders>
              <w:top w:val="nil"/>
              <w:left w:val="single" w:sz="4" w:space="0" w:color="auto"/>
              <w:bottom w:val="nil"/>
              <w:right w:val="single" w:sz="4" w:space="0" w:color="auto"/>
            </w:tcBorders>
            <w:tcMar>
              <w:top w:w="0" w:type="dxa"/>
              <w:left w:w="70" w:type="dxa"/>
              <w:bottom w:w="0" w:type="dxa"/>
              <w:right w:w="70" w:type="dxa"/>
            </w:tcMar>
            <w:vAlign w:val="center"/>
          </w:tcPr>
          <w:p w14:paraId="241CC31E" w14:textId="0AF930FD" w:rsidR="00240D84" w:rsidRPr="006B6D61" w:rsidRDefault="008A59C4" w:rsidP="009F33AF">
            <w:pPr>
              <w:spacing w:after="0" w:line="252" w:lineRule="auto"/>
              <w:jc w:val="right"/>
              <w:rPr>
                <w:rFonts w:eastAsia="Calibri" w:cstheme="minorHAnsi"/>
                <w:sz w:val="20"/>
                <w:szCs w:val="20"/>
              </w:rPr>
            </w:pPr>
            <w:r w:rsidRPr="006B6D61">
              <w:rPr>
                <w:rFonts w:cstheme="minorHAnsi"/>
                <w:sz w:val="20"/>
                <w:szCs w:val="20"/>
              </w:rPr>
              <w:t>5 186</w:t>
            </w:r>
          </w:p>
        </w:tc>
        <w:tc>
          <w:tcPr>
            <w:tcW w:w="1193" w:type="dxa"/>
            <w:tcBorders>
              <w:top w:val="nil"/>
              <w:left w:val="single" w:sz="4" w:space="0" w:color="auto"/>
              <w:bottom w:val="nil"/>
              <w:right w:val="single" w:sz="4" w:space="0" w:color="auto"/>
            </w:tcBorders>
            <w:tcMar>
              <w:top w:w="0" w:type="dxa"/>
              <w:left w:w="70" w:type="dxa"/>
              <w:bottom w:w="0" w:type="dxa"/>
              <w:right w:w="70" w:type="dxa"/>
            </w:tcMar>
            <w:vAlign w:val="center"/>
          </w:tcPr>
          <w:p w14:paraId="7E760998" w14:textId="14D9091E" w:rsidR="00240D84" w:rsidRPr="006B6D61" w:rsidRDefault="008A59C4" w:rsidP="009F33AF">
            <w:pPr>
              <w:spacing w:after="0" w:line="252" w:lineRule="auto"/>
              <w:jc w:val="right"/>
              <w:rPr>
                <w:rFonts w:eastAsia="Calibri" w:cstheme="minorHAnsi"/>
                <w:sz w:val="20"/>
                <w:szCs w:val="20"/>
              </w:rPr>
            </w:pPr>
            <w:r w:rsidRPr="006B6D61">
              <w:rPr>
                <w:rFonts w:eastAsia="Calibri" w:cstheme="minorHAnsi"/>
                <w:sz w:val="20"/>
                <w:szCs w:val="20"/>
              </w:rPr>
              <w:t>6 532</w:t>
            </w:r>
          </w:p>
        </w:tc>
        <w:tc>
          <w:tcPr>
            <w:tcW w:w="1319" w:type="dxa"/>
            <w:tcBorders>
              <w:top w:val="nil"/>
              <w:left w:val="single" w:sz="4" w:space="0" w:color="auto"/>
              <w:bottom w:val="nil"/>
              <w:right w:val="single" w:sz="4" w:space="0" w:color="auto"/>
            </w:tcBorders>
            <w:tcMar>
              <w:top w:w="0" w:type="dxa"/>
              <w:left w:w="70" w:type="dxa"/>
              <w:bottom w:w="0" w:type="dxa"/>
              <w:right w:w="70" w:type="dxa"/>
            </w:tcMar>
            <w:vAlign w:val="center"/>
          </w:tcPr>
          <w:p w14:paraId="115B1929" w14:textId="653F8802" w:rsidR="00240D84" w:rsidRPr="002F1BE7"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6 532</w:t>
            </w:r>
          </w:p>
        </w:tc>
        <w:tc>
          <w:tcPr>
            <w:tcW w:w="1096" w:type="dxa"/>
            <w:tcBorders>
              <w:top w:val="nil"/>
              <w:left w:val="single" w:sz="4" w:space="0" w:color="auto"/>
              <w:bottom w:val="nil"/>
              <w:right w:val="single" w:sz="4" w:space="0" w:color="auto"/>
            </w:tcBorders>
            <w:tcMar>
              <w:top w:w="0" w:type="dxa"/>
              <w:left w:w="70" w:type="dxa"/>
              <w:bottom w:w="0" w:type="dxa"/>
              <w:right w:w="70" w:type="dxa"/>
            </w:tcMar>
            <w:vAlign w:val="center"/>
          </w:tcPr>
          <w:p w14:paraId="6EE106FE" w14:textId="515192D6" w:rsidR="00240D84" w:rsidRPr="002F1BE7" w:rsidRDefault="00BA3E0B" w:rsidP="009F33AF">
            <w:pPr>
              <w:spacing w:after="0" w:line="252" w:lineRule="auto"/>
              <w:jc w:val="right"/>
              <w:rPr>
                <w:rFonts w:eastAsia="Calibri" w:cstheme="minorHAnsi"/>
                <w:color w:val="FF0000"/>
                <w:sz w:val="20"/>
                <w:szCs w:val="20"/>
              </w:rPr>
            </w:pPr>
            <w:r w:rsidRPr="006B6D61">
              <w:rPr>
                <w:rFonts w:eastAsia="Calibri" w:cstheme="minorHAnsi"/>
                <w:sz w:val="20"/>
                <w:szCs w:val="20"/>
              </w:rPr>
              <w:t>10 787</w:t>
            </w:r>
          </w:p>
        </w:tc>
        <w:tc>
          <w:tcPr>
            <w:tcW w:w="1153" w:type="dxa"/>
            <w:tcBorders>
              <w:top w:val="nil"/>
              <w:left w:val="single" w:sz="4" w:space="0" w:color="auto"/>
              <w:bottom w:val="nil"/>
              <w:right w:val="single" w:sz="4" w:space="0" w:color="auto"/>
            </w:tcBorders>
            <w:tcMar>
              <w:top w:w="0" w:type="dxa"/>
              <w:left w:w="70" w:type="dxa"/>
              <w:bottom w:w="0" w:type="dxa"/>
              <w:right w:w="70" w:type="dxa"/>
            </w:tcMar>
            <w:vAlign w:val="center"/>
          </w:tcPr>
          <w:p w14:paraId="49D63AF4" w14:textId="417AFAFA" w:rsidR="00240D84" w:rsidRPr="0077128B"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5 586</w:t>
            </w:r>
          </w:p>
        </w:tc>
        <w:tc>
          <w:tcPr>
            <w:tcW w:w="828" w:type="dxa"/>
            <w:tcBorders>
              <w:top w:val="nil"/>
              <w:left w:val="single" w:sz="4" w:space="0" w:color="auto"/>
              <w:bottom w:val="nil"/>
              <w:right w:val="single" w:sz="4" w:space="0" w:color="auto"/>
            </w:tcBorders>
            <w:tcMar>
              <w:top w:w="0" w:type="dxa"/>
              <w:left w:w="70" w:type="dxa"/>
              <w:bottom w:w="0" w:type="dxa"/>
              <w:right w:w="70" w:type="dxa"/>
            </w:tcMar>
            <w:vAlign w:val="center"/>
          </w:tcPr>
          <w:p w14:paraId="3AA08612" w14:textId="00B5FE1D" w:rsidR="00240D84" w:rsidRPr="006B6D61" w:rsidRDefault="008A59C4" w:rsidP="009F33AF">
            <w:pPr>
              <w:spacing w:after="0" w:line="252" w:lineRule="auto"/>
              <w:jc w:val="right"/>
              <w:rPr>
                <w:rFonts w:eastAsia="Calibri" w:cstheme="minorHAnsi"/>
                <w:sz w:val="20"/>
                <w:szCs w:val="20"/>
              </w:rPr>
            </w:pPr>
            <w:r w:rsidRPr="006B6D61">
              <w:rPr>
                <w:sz w:val="20"/>
                <w:szCs w:val="20"/>
              </w:rPr>
              <w:t>107,7</w:t>
            </w:r>
          </w:p>
        </w:tc>
      </w:tr>
      <w:tr w:rsidR="002F1BE7" w:rsidRPr="0044012B" w14:paraId="1ED36197" w14:textId="77777777" w:rsidTr="00D3010F">
        <w:trPr>
          <w:trHeight w:val="225"/>
          <w:tblHeader/>
        </w:trPr>
        <w:tc>
          <w:tcPr>
            <w:tcW w:w="2197" w:type="dxa"/>
            <w:tcBorders>
              <w:top w:val="nil"/>
              <w:left w:val="single" w:sz="4" w:space="0" w:color="auto"/>
              <w:bottom w:val="single" w:sz="4" w:space="0" w:color="auto"/>
              <w:right w:val="single" w:sz="4" w:space="0" w:color="auto"/>
            </w:tcBorders>
            <w:tcMar>
              <w:top w:w="0" w:type="dxa"/>
              <w:left w:w="70" w:type="dxa"/>
              <w:bottom w:w="0" w:type="dxa"/>
              <w:right w:w="70" w:type="dxa"/>
            </w:tcMar>
          </w:tcPr>
          <w:p w14:paraId="43B70A74" w14:textId="77777777" w:rsidR="00240D84" w:rsidRPr="006B6D61" w:rsidRDefault="00240D84" w:rsidP="009F33AF">
            <w:pPr>
              <w:spacing w:after="0" w:line="252" w:lineRule="auto"/>
              <w:rPr>
                <w:rFonts w:eastAsia="Calibri" w:cstheme="minorHAnsi"/>
                <w:i/>
                <w:sz w:val="20"/>
                <w:szCs w:val="20"/>
              </w:rPr>
            </w:pPr>
            <w:r w:rsidRPr="006B6D61">
              <w:rPr>
                <w:rFonts w:cstheme="minorHAnsi"/>
                <w:i/>
                <w:sz w:val="20"/>
                <w:szCs w:val="20"/>
              </w:rPr>
              <w:t xml:space="preserve">z toho: RISPF </w:t>
            </w:r>
          </w:p>
        </w:tc>
        <w:tc>
          <w:tcPr>
            <w:tcW w:w="112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6018DBF4" w14:textId="77777777" w:rsidR="00240D84" w:rsidRPr="006B6D61" w:rsidRDefault="00240D84" w:rsidP="009F33AF">
            <w:pPr>
              <w:spacing w:after="0" w:line="252" w:lineRule="auto"/>
              <w:jc w:val="right"/>
              <w:rPr>
                <w:rFonts w:eastAsia="Calibri" w:cstheme="minorHAnsi"/>
                <w:sz w:val="20"/>
                <w:szCs w:val="20"/>
              </w:rPr>
            </w:pPr>
            <w:r w:rsidRPr="006B6D61">
              <w:rPr>
                <w:rFonts w:cstheme="minorHAnsi"/>
                <w:sz w:val="20"/>
                <w:szCs w:val="20"/>
              </w:rPr>
              <w:t>0</w:t>
            </w:r>
          </w:p>
        </w:tc>
        <w:tc>
          <w:tcPr>
            <w:tcW w:w="1193"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34BB1B59" w14:textId="77777777" w:rsidR="00240D84" w:rsidRPr="006B6D61" w:rsidRDefault="00240D84" w:rsidP="009F33AF">
            <w:pPr>
              <w:spacing w:after="0" w:line="252" w:lineRule="auto"/>
              <w:jc w:val="right"/>
              <w:rPr>
                <w:rFonts w:eastAsia="Calibri" w:cstheme="minorHAnsi"/>
                <w:sz w:val="20"/>
                <w:szCs w:val="20"/>
              </w:rPr>
            </w:pPr>
            <w:r w:rsidRPr="006B6D61">
              <w:rPr>
                <w:sz w:val="20"/>
                <w:szCs w:val="20"/>
              </w:rPr>
              <w:t>0</w:t>
            </w:r>
          </w:p>
        </w:tc>
        <w:tc>
          <w:tcPr>
            <w:tcW w:w="1319"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0914FAE7" w14:textId="60E252E9" w:rsidR="00240D84" w:rsidRPr="002F1BE7" w:rsidRDefault="008A59C4" w:rsidP="009F33AF">
            <w:pPr>
              <w:spacing w:after="0" w:line="252" w:lineRule="auto"/>
              <w:jc w:val="right"/>
              <w:rPr>
                <w:rFonts w:eastAsia="Calibri" w:cstheme="minorHAnsi"/>
                <w:color w:val="FF0000"/>
                <w:sz w:val="20"/>
                <w:szCs w:val="20"/>
              </w:rPr>
            </w:pPr>
            <w:r w:rsidRPr="00E0219C">
              <w:rPr>
                <w:sz w:val="20"/>
                <w:szCs w:val="20"/>
              </w:rPr>
              <w:t>0</w:t>
            </w:r>
          </w:p>
        </w:tc>
        <w:tc>
          <w:tcPr>
            <w:tcW w:w="1096"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04EA3408" w14:textId="77777777" w:rsidR="00240D84" w:rsidRPr="0077128B" w:rsidRDefault="00240D84" w:rsidP="009F33AF">
            <w:pPr>
              <w:spacing w:after="0" w:line="252" w:lineRule="auto"/>
              <w:jc w:val="right"/>
              <w:rPr>
                <w:rFonts w:eastAsia="Calibri" w:cstheme="minorHAnsi"/>
                <w:color w:val="FF0000"/>
                <w:sz w:val="20"/>
                <w:szCs w:val="20"/>
              </w:rPr>
            </w:pPr>
            <w:r w:rsidRPr="006B6D61">
              <w:rPr>
                <w:rFonts w:eastAsia="Calibri" w:cstheme="minorHAnsi"/>
                <w:sz w:val="20"/>
                <w:szCs w:val="20"/>
              </w:rPr>
              <w:t>0</w:t>
            </w:r>
          </w:p>
        </w:tc>
        <w:tc>
          <w:tcPr>
            <w:tcW w:w="1153"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27DACEA8" w14:textId="65938D35" w:rsidR="00240D84" w:rsidRPr="0077128B" w:rsidRDefault="008A59C4" w:rsidP="009F33AF">
            <w:pPr>
              <w:spacing w:after="0" w:line="252" w:lineRule="auto"/>
              <w:jc w:val="right"/>
              <w:rPr>
                <w:rFonts w:eastAsia="Calibri" w:cstheme="minorHAnsi"/>
                <w:color w:val="FF0000"/>
                <w:sz w:val="20"/>
                <w:szCs w:val="20"/>
              </w:rPr>
            </w:pPr>
            <w:r w:rsidRPr="00E0219C">
              <w:rPr>
                <w:rFonts w:eastAsia="Calibri" w:cstheme="minorHAnsi"/>
                <w:sz w:val="20"/>
                <w:szCs w:val="20"/>
              </w:rPr>
              <w:t>0</w:t>
            </w:r>
          </w:p>
        </w:tc>
        <w:tc>
          <w:tcPr>
            <w:tcW w:w="828"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1036BBE8" w14:textId="77777777" w:rsidR="00240D84" w:rsidRPr="006B6D61" w:rsidRDefault="00240D84" w:rsidP="009F33AF">
            <w:pPr>
              <w:spacing w:after="0" w:line="252" w:lineRule="auto"/>
              <w:jc w:val="right"/>
              <w:rPr>
                <w:rFonts w:eastAsia="Calibri" w:cstheme="minorHAnsi"/>
                <w:sz w:val="20"/>
                <w:szCs w:val="20"/>
              </w:rPr>
            </w:pPr>
            <w:r w:rsidRPr="006B6D61">
              <w:rPr>
                <w:sz w:val="20"/>
                <w:szCs w:val="20"/>
              </w:rPr>
              <w:t>X</w:t>
            </w:r>
          </w:p>
        </w:tc>
      </w:tr>
      <w:tr w:rsidR="002F1BE7" w:rsidRPr="0044012B" w14:paraId="22B6EDE4" w14:textId="77777777" w:rsidTr="00D3010F">
        <w:trPr>
          <w:trHeight w:val="314"/>
          <w:tblHeader/>
        </w:trPr>
        <w:tc>
          <w:tcPr>
            <w:tcW w:w="2197" w:type="dxa"/>
            <w:tcBorders>
              <w:top w:val="single" w:sz="4" w:space="0" w:color="auto"/>
              <w:left w:val="single" w:sz="4" w:space="0" w:color="auto"/>
              <w:bottom w:val="nil"/>
              <w:right w:val="single" w:sz="4" w:space="0" w:color="auto"/>
            </w:tcBorders>
            <w:tcMar>
              <w:top w:w="0" w:type="dxa"/>
              <w:left w:w="70" w:type="dxa"/>
              <w:bottom w:w="0" w:type="dxa"/>
              <w:right w:w="70" w:type="dxa"/>
            </w:tcMar>
            <w:hideMark/>
          </w:tcPr>
          <w:p w14:paraId="6FE7749C" w14:textId="77777777" w:rsidR="00240D84" w:rsidRPr="006B6D61" w:rsidRDefault="00240D84" w:rsidP="009F33AF">
            <w:pPr>
              <w:spacing w:before="40" w:after="40" w:line="252" w:lineRule="auto"/>
              <w:jc w:val="both"/>
              <w:rPr>
                <w:rFonts w:eastAsia="Calibri" w:cstheme="minorHAnsi"/>
                <w:b/>
                <w:sz w:val="20"/>
                <w:szCs w:val="20"/>
              </w:rPr>
            </w:pPr>
            <w:r w:rsidRPr="006B6D61">
              <w:rPr>
                <w:rFonts w:eastAsia="Calibri" w:cstheme="minorHAnsi"/>
                <w:b/>
                <w:sz w:val="20"/>
                <w:szCs w:val="20"/>
              </w:rPr>
              <w:t>Kapitálové výdaje</w:t>
            </w:r>
          </w:p>
        </w:tc>
        <w:tc>
          <w:tcPr>
            <w:tcW w:w="1124"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1D716542" w14:textId="689D2A61" w:rsidR="00240D84" w:rsidRPr="006B6D61" w:rsidRDefault="00675BA2" w:rsidP="009F33AF">
            <w:pPr>
              <w:spacing w:before="40" w:after="40" w:line="252" w:lineRule="auto"/>
              <w:jc w:val="right"/>
              <w:rPr>
                <w:rFonts w:eastAsia="Calibri" w:cstheme="minorHAnsi"/>
                <w:b/>
                <w:sz w:val="20"/>
                <w:szCs w:val="20"/>
              </w:rPr>
            </w:pPr>
            <w:r w:rsidRPr="006B6D61">
              <w:rPr>
                <w:rFonts w:eastAsia="Calibri" w:cstheme="minorHAnsi"/>
                <w:b/>
                <w:bCs/>
                <w:sz w:val="20"/>
                <w:szCs w:val="20"/>
              </w:rPr>
              <w:t>138</w:t>
            </w:r>
          </w:p>
        </w:tc>
        <w:tc>
          <w:tcPr>
            <w:tcW w:w="1193"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22464DB3" w14:textId="706FBC4D" w:rsidR="00240D84" w:rsidRPr="006B6D61" w:rsidRDefault="00675BA2">
            <w:pPr>
              <w:spacing w:before="40" w:after="40" w:line="252" w:lineRule="auto"/>
              <w:jc w:val="right"/>
              <w:rPr>
                <w:rFonts w:eastAsia="Calibri" w:cstheme="minorHAnsi"/>
                <w:b/>
                <w:sz w:val="20"/>
                <w:szCs w:val="20"/>
              </w:rPr>
            </w:pPr>
            <w:r w:rsidRPr="006B6D61">
              <w:rPr>
                <w:rFonts w:eastAsia="Calibri" w:cstheme="minorHAnsi"/>
                <w:b/>
                <w:bCs/>
                <w:sz w:val="20"/>
                <w:szCs w:val="20"/>
              </w:rPr>
              <w:t>2 600</w:t>
            </w:r>
          </w:p>
        </w:tc>
        <w:tc>
          <w:tcPr>
            <w:tcW w:w="1319"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E1F92C2" w14:textId="0997D9DA" w:rsidR="00240D84" w:rsidRPr="006B6D61" w:rsidRDefault="00675BA2" w:rsidP="009F33AF">
            <w:pPr>
              <w:spacing w:before="40" w:after="40" w:line="252" w:lineRule="auto"/>
              <w:jc w:val="right"/>
              <w:rPr>
                <w:rFonts w:eastAsia="Calibri" w:cstheme="minorHAnsi"/>
                <w:b/>
                <w:sz w:val="20"/>
                <w:szCs w:val="20"/>
              </w:rPr>
            </w:pPr>
            <w:r w:rsidRPr="006B6D61">
              <w:rPr>
                <w:rFonts w:eastAsia="Calibri" w:cstheme="minorHAnsi"/>
                <w:b/>
                <w:bCs/>
                <w:sz w:val="20"/>
                <w:szCs w:val="20"/>
              </w:rPr>
              <w:t>2 600</w:t>
            </w:r>
          </w:p>
        </w:tc>
        <w:tc>
          <w:tcPr>
            <w:tcW w:w="1096"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1C4E084D" w14:textId="218D27AF" w:rsidR="00240D84" w:rsidRPr="006B6D61" w:rsidRDefault="00D65454" w:rsidP="009F33AF">
            <w:pPr>
              <w:spacing w:before="40" w:after="40" w:line="252" w:lineRule="auto"/>
              <w:jc w:val="right"/>
              <w:rPr>
                <w:rFonts w:eastAsia="Calibri" w:cstheme="minorHAnsi"/>
                <w:b/>
                <w:sz w:val="20"/>
                <w:szCs w:val="20"/>
              </w:rPr>
            </w:pPr>
            <w:r w:rsidRPr="006B6D61">
              <w:rPr>
                <w:rFonts w:eastAsia="Calibri" w:cstheme="minorHAnsi"/>
                <w:b/>
                <w:bCs/>
                <w:sz w:val="20"/>
                <w:szCs w:val="20"/>
              </w:rPr>
              <w:t>3 648</w:t>
            </w:r>
          </w:p>
        </w:tc>
        <w:tc>
          <w:tcPr>
            <w:tcW w:w="1153"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hideMark/>
          </w:tcPr>
          <w:p w14:paraId="78A13422" w14:textId="3F3833D9" w:rsidR="00240D84" w:rsidRPr="0077128B" w:rsidRDefault="0067402B" w:rsidP="009F33AF">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1 369</w:t>
            </w:r>
          </w:p>
        </w:tc>
        <w:tc>
          <w:tcPr>
            <w:tcW w:w="828" w:type="dxa"/>
            <w:tcBorders>
              <w:top w:val="single" w:sz="4" w:space="0" w:color="auto"/>
              <w:left w:val="single" w:sz="4" w:space="0" w:color="auto"/>
              <w:bottom w:val="nil"/>
              <w:right w:val="single" w:sz="4" w:space="0" w:color="auto"/>
            </w:tcBorders>
            <w:tcMar>
              <w:top w:w="0" w:type="dxa"/>
              <w:left w:w="70" w:type="dxa"/>
              <w:bottom w:w="0" w:type="dxa"/>
              <w:right w:w="70" w:type="dxa"/>
            </w:tcMar>
            <w:vAlign w:val="center"/>
          </w:tcPr>
          <w:p w14:paraId="5B59E51A" w14:textId="6A29EC6A" w:rsidR="00240D84" w:rsidRPr="0077128B" w:rsidRDefault="0067402B" w:rsidP="009F33AF">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992,</w:t>
            </w:r>
            <w:r w:rsidR="006F21D7" w:rsidRPr="006B6D61">
              <w:rPr>
                <w:rFonts w:eastAsia="Calibri" w:cstheme="minorHAnsi"/>
                <w:b/>
                <w:bCs/>
                <w:sz w:val="20"/>
                <w:szCs w:val="20"/>
              </w:rPr>
              <w:t>0</w:t>
            </w:r>
          </w:p>
        </w:tc>
      </w:tr>
      <w:tr w:rsidR="002F1BE7" w:rsidRPr="0044012B" w14:paraId="75E61101" w14:textId="77777777" w:rsidTr="00D3010F">
        <w:trPr>
          <w:trHeight w:val="225"/>
          <w:tblHeader/>
        </w:trPr>
        <w:tc>
          <w:tcPr>
            <w:tcW w:w="2197" w:type="dxa"/>
            <w:tcBorders>
              <w:top w:val="nil"/>
              <w:left w:val="single" w:sz="4" w:space="0" w:color="auto"/>
              <w:bottom w:val="single" w:sz="4" w:space="0" w:color="auto"/>
              <w:right w:val="single" w:sz="4" w:space="0" w:color="auto"/>
            </w:tcBorders>
            <w:tcMar>
              <w:top w:w="0" w:type="dxa"/>
              <w:left w:w="70" w:type="dxa"/>
              <w:bottom w:w="0" w:type="dxa"/>
              <w:right w:w="70" w:type="dxa"/>
            </w:tcMar>
            <w:hideMark/>
          </w:tcPr>
          <w:p w14:paraId="5ED0F654" w14:textId="77777777" w:rsidR="00240D84" w:rsidRPr="006B6D61" w:rsidRDefault="00240D84" w:rsidP="009F33AF">
            <w:pPr>
              <w:spacing w:after="0" w:line="252" w:lineRule="auto"/>
              <w:ind w:hanging="4"/>
              <w:jc w:val="both"/>
              <w:rPr>
                <w:rFonts w:eastAsia="Calibri" w:cstheme="minorHAnsi"/>
                <w:sz w:val="20"/>
                <w:szCs w:val="20"/>
              </w:rPr>
            </w:pPr>
            <w:r w:rsidRPr="006B6D61">
              <w:rPr>
                <w:rFonts w:eastAsia="Calibri" w:cstheme="minorHAnsi"/>
                <w:sz w:val="20"/>
                <w:szCs w:val="20"/>
              </w:rPr>
              <w:t>v tom: RISPF</w:t>
            </w:r>
          </w:p>
        </w:tc>
        <w:tc>
          <w:tcPr>
            <w:tcW w:w="1124"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1186DEB1" w14:textId="655F7D84" w:rsidR="00240D84" w:rsidRPr="006B6D61" w:rsidRDefault="00675BA2" w:rsidP="009F33AF">
            <w:pPr>
              <w:spacing w:after="0" w:line="252" w:lineRule="auto"/>
              <w:jc w:val="right"/>
              <w:rPr>
                <w:rFonts w:eastAsia="Calibri" w:cstheme="minorHAnsi"/>
                <w:sz w:val="20"/>
                <w:szCs w:val="20"/>
              </w:rPr>
            </w:pPr>
            <w:r w:rsidRPr="006B6D61">
              <w:rPr>
                <w:rFonts w:eastAsia="Calibri" w:cstheme="minorHAnsi"/>
                <w:sz w:val="20"/>
                <w:szCs w:val="20"/>
              </w:rPr>
              <w:t>138</w:t>
            </w:r>
          </w:p>
        </w:tc>
        <w:tc>
          <w:tcPr>
            <w:tcW w:w="1193"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7E19EE89" w14:textId="1B5F1715" w:rsidR="00240D84" w:rsidRPr="006B6D61" w:rsidRDefault="00CB2AF4" w:rsidP="009F33AF">
            <w:pPr>
              <w:spacing w:after="0" w:line="252" w:lineRule="auto"/>
              <w:jc w:val="right"/>
              <w:rPr>
                <w:rFonts w:eastAsia="Calibri" w:cstheme="minorHAnsi"/>
                <w:sz w:val="20"/>
                <w:szCs w:val="20"/>
              </w:rPr>
            </w:pPr>
            <w:r w:rsidRPr="006B6D61">
              <w:rPr>
                <w:rFonts w:eastAsia="Calibri" w:cstheme="minorHAnsi"/>
                <w:bCs/>
                <w:sz w:val="20"/>
                <w:szCs w:val="20"/>
              </w:rPr>
              <w:t>2 600</w:t>
            </w:r>
          </w:p>
        </w:tc>
        <w:tc>
          <w:tcPr>
            <w:tcW w:w="1319"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43E0ED7D" w14:textId="2A054A36" w:rsidR="00240D84" w:rsidRPr="006B6D61" w:rsidRDefault="00CB2AF4" w:rsidP="009F33AF">
            <w:pPr>
              <w:spacing w:after="0" w:line="252" w:lineRule="auto"/>
              <w:jc w:val="right"/>
              <w:rPr>
                <w:rFonts w:eastAsia="Calibri" w:cstheme="minorHAnsi"/>
                <w:sz w:val="20"/>
                <w:szCs w:val="20"/>
              </w:rPr>
            </w:pPr>
            <w:r w:rsidRPr="006B6D61">
              <w:rPr>
                <w:rFonts w:eastAsia="Calibri" w:cstheme="minorHAnsi"/>
                <w:bCs/>
                <w:sz w:val="20"/>
                <w:szCs w:val="20"/>
              </w:rPr>
              <w:t>2 600</w:t>
            </w:r>
          </w:p>
        </w:tc>
        <w:tc>
          <w:tcPr>
            <w:tcW w:w="1096"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2703A7A8" w14:textId="27FCBB55" w:rsidR="00240D84" w:rsidRPr="006B6D61" w:rsidRDefault="00D65454" w:rsidP="009F33AF">
            <w:pPr>
              <w:spacing w:after="0" w:line="252" w:lineRule="auto"/>
              <w:jc w:val="right"/>
              <w:rPr>
                <w:rFonts w:eastAsia="Calibri" w:cstheme="minorHAnsi"/>
                <w:sz w:val="20"/>
                <w:szCs w:val="20"/>
              </w:rPr>
            </w:pPr>
            <w:r w:rsidRPr="006B6D61">
              <w:rPr>
                <w:rFonts w:eastAsia="Calibri" w:cstheme="minorHAnsi"/>
                <w:bCs/>
                <w:sz w:val="20"/>
                <w:szCs w:val="20"/>
              </w:rPr>
              <w:t>3 648</w:t>
            </w:r>
          </w:p>
        </w:tc>
        <w:tc>
          <w:tcPr>
            <w:tcW w:w="1153"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5243AA4D" w14:textId="25AB6AD2" w:rsidR="00240D84" w:rsidRPr="0077128B" w:rsidRDefault="00D65454" w:rsidP="009F33AF">
            <w:pPr>
              <w:spacing w:after="0" w:line="252" w:lineRule="auto"/>
              <w:jc w:val="right"/>
              <w:rPr>
                <w:rFonts w:eastAsia="Calibri" w:cstheme="minorHAnsi"/>
                <w:color w:val="FF0000"/>
                <w:sz w:val="20"/>
                <w:szCs w:val="20"/>
              </w:rPr>
            </w:pPr>
            <w:r w:rsidRPr="006B6D61">
              <w:rPr>
                <w:rFonts w:eastAsia="Calibri" w:cstheme="minorHAnsi"/>
                <w:bCs/>
                <w:sz w:val="20"/>
                <w:szCs w:val="20"/>
              </w:rPr>
              <w:t>1 369</w:t>
            </w:r>
          </w:p>
        </w:tc>
        <w:tc>
          <w:tcPr>
            <w:tcW w:w="828" w:type="dxa"/>
            <w:tcBorders>
              <w:top w:val="nil"/>
              <w:left w:val="single" w:sz="4" w:space="0" w:color="auto"/>
              <w:bottom w:val="single" w:sz="4" w:space="0" w:color="auto"/>
              <w:right w:val="single" w:sz="4" w:space="0" w:color="auto"/>
            </w:tcBorders>
            <w:tcMar>
              <w:top w:w="0" w:type="dxa"/>
              <w:left w:w="70" w:type="dxa"/>
              <w:bottom w:w="0" w:type="dxa"/>
              <w:right w:w="70" w:type="dxa"/>
            </w:tcMar>
            <w:vAlign w:val="center"/>
          </w:tcPr>
          <w:p w14:paraId="08E936C0" w14:textId="3C2DC3F2" w:rsidR="00240D84" w:rsidRPr="0077128B" w:rsidRDefault="00D65454" w:rsidP="009F33AF">
            <w:pPr>
              <w:spacing w:after="0" w:line="252" w:lineRule="auto"/>
              <w:jc w:val="right"/>
              <w:rPr>
                <w:rFonts w:eastAsia="Calibri" w:cstheme="minorHAnsi"/>
                <w:color w:val="FF0000"/>
                <w:sz w:val="20"/>
                <w:szCs w:val="20"/>
              </w:rPr>
            </w:pPr>
            <w:r w:rsidRPr="006B6D61">
              <w:rPr>
                <w:rFonts w:eastAsia="Calibri" w:cstheme="minorHAnsi"/>
                <w:sz w:val="20"/>
                <w:szCs w:val="20"/>
              </w:rPr>
              <w:t>992,0</w:t>
            </w:r>
          </w:p>
        </w:tc>
      </w:tr>
    </w:tbl>
    <w:p w14:paraId="19701853" w14:textId="1C626853" w:rsidR="001B4580" w:rsidRPr="0077128B" w:rsidRDefault="001B4580" w:rsidP="001B4580">
      <w:pPr>
        <w:pStyle w:val="KOMtext"/>
        <w:rPr>
          <w:color w:val="FF0000"/>
        </w:rPr>
      </w:pPr>
      <w:r w:rsidRPr="006B6D61">
        <w:t xml:space="preserve">Schválený rozpočet Ústavu pro odborné zjišťování příčin leteckých nehod byl ve výši </w:t>
      </w:r>
      <w:r w:rsidR="009B2ABD" w:rsidRPr="0077128B">
        <w:rPr>
          <w:color w:val="FF0000"/>
        </w:rPr>
        <w:br/>
      </w:r>
      <w:r w:rsidR="00DB6F2E" w:rsidRPr="006B6D61">
        <w:t>21 236</w:t>
      </w:r>
      <w:r w:rsidRPr="006B6D61">
        <w:t xml:space="preserve"> tis. Kč</w:t>
      </w:r>
      <w:r w:rsidR="0093354A">
        <w:t>, přičemž</w:t>
      </w:r>
      <w:r w:rsidRPr="006B6D61">
        <w:t xml:space="preserve"> </w:t>
      </w:r>
      <w:r w:rsidR="0093354A">
        <w:t>v</w:t>
      </w:r>
      <w:r w:rsidRPr="006B6D61">
        <w:t xml:space="preserve"> průběhu roku </w:t>
      </w:r>
      <w:r w:rsidR="00B73F1C" w:rsidRPr="006B6D61">
        <w:t xml:space="preserve">nebyl </w:t>
      </w:r>
      <w:r w:rsidR="008D4C9A" w:rsidRPr="006B6D61">
        <w:t xml:space="preserve">vyjma zapojení nároků </w:t>
      </w:r>
      <w:r w:rsidR="00B73F1C" w:rsidRPr="006B6D61">
        <w:t xml:space="preserve">upravován. </w:t>
      </w:r>
      <w:r w:rsidRPr="006B6D61">
        <w:t xml:space="preserve">Skutečné čerpání bylo ve výši </w:t>
      </w:r>
      <w:r w:rsidR="009B2ABD" w:rsidRPr="006B6D61">
        <w:t>1</w:t>
      </w:r>
      <w:r w:rsidR="00E201D3" w:rsidRPr="006B6D61">
        <w:t>8 867</w:t>
      </w:r>
      <w:r w:rsidRPr="006B6D61">
        <w:t xml:space="preserve"> tis. Kč, tj. </w:t>
      </w:r>
      <w:r w:rsidR="000C3D0F" w:rsidRPr="006B6D61">
        <w:t>88,8</w:t>
      </w:r>
      <w:r w:rsidRPr="006B6D61">
        <w:t xml:space="preserve"> % rozpočtu po změnách, a to včetně čerpání nároků z nespotřebovaných výdajů ve výši </w:t>
      </w:r>
      <w:r w:rsidR="00A73385" w:rsidRPr="006B6D61">
        <w:t>3 001</w:t>
      </w:r>
      <w:r w:rsidRPr="006B6D61">
        <w:t xml:space="preserve"> tis. Kč. Oproti roku 202</w:t>
      </w:r>
      <w:r w:rsidR="00A73385" w:rsidRPr="006B6D61">
        <w:t>2</w:t>
      </w:r>
      <w:r w:rsidRPr="006B6D61">
        <w:t xml:space="preserve"> došlo k </w:t>
      </w:r>
      <w:r w:rsidR="00A73385" w:rsidRPr="006B6D61">
        <w:t>zvýšení</w:t>
      </w:r>
      <w:r w:rsidRPr="006B6D61">
        <w:t xml:space="preserve"> čerpání výdajů o </w:t>
      </w:r>
      <w:r w:rsidR="00D32E20" w:rsidRPr="006B6D61">
        <w:t>1 529</w:t>
      </w:r>
      <w:r w:rsidRPr="006B6D61">
        <w:t xml:space="preserve"> tis. Kč, tj. o</w:t>
      </w:r>
      <w:r w:rsidR="009B2ABD" w:rsidRPr="006B6D61">
        <w:t xml:space="preserve"> </w:t>
      </w:r>
      <w:r w:rsidR="009C3850" w:rsidRPr="006B6D61">
        <w:t>8,8</w:t>
      </w:r>
      <w:r w:rsidRPr="006B6D61">
        <w:t xml:space="preserve"> %. </w:t>
      </w:r>
    </w:p>
    <w:p w14:paraId="5E41A00A" w14:textId="488DC22A" w:rsidR="00240D84" w:rsidRPr="006B6D61" w:rsidRDefault="00240D84" w:rsidP="008A0E44">
      <w:pPr>
        <w:pStyle w:val="KOMnadp4"/>
      </w:pPr>
      <w:r w:rsidRPr="006B6D61">
        <w:t>Běžné výdaje</w:t>
      </w:r>
    </w:p>
    <w:p w14:paraId="6E755986" w14:textId="49D62B59" w:rsidR="00676068" w:rsidRPr="0077128B" w:rsidRDefault="00676068" w:rsidP="003F0A7C">
      <w:pPr>
        <w:pStyle w:val="KOMtext"/>
        <w:rPr>
          <w:color w:val="FF0000"/>
        </w:rPr>
      </w:pPr>
      <w:r w:rsidRPr="006B6D61">
        <w:t>Schválený rozpočet běžných výdajů ve výši 1</w:t>
      </w:r>
      <w:r w:rsidR="0021462A" w:rsidRPr="006B6D61">
        <w:t>8 636</w:t>
      </w:r>
      <w:r w:rsidRPr="006B6D61">
        <w:t xml:space="preserve"> tis. Kč </w:t>
      </w:r>
      <w:r w:rsidR="0084365C" w:rsidRPr="006B6D61">
        <w:t>ne</w:t>
      </w:r>
      <w:r w:rsidRPr="006B6D61">
        <w:t xml:space="preserve">byl </w:t>
      </w:r>
      <w:r w:rsidR="0084365C" w:rsidRPr="006B6D61">
        <w:t>v průběhu roku vyjma zapojení nároků upravován</w:t>
      </w:r>
      <w:r w:rsidRPr="006B6D61">
        <w:t xml:space="preserve">. </w:t>
      </w:r>
    </w:p>
    <w:p w14:paraId="70D1B66F" w14:textId="1A177FA0" w:rsidR="00240D84" w:rsidRPr="0077128B" w:rsidRDefault="0082167D" w:rsidP="00BA4E5A">
      <w:pPr>
        <w:pStyle w:val="KOMtext"/>
        <w:rPr>
          <w:rStyle w:val="ZnormalChar"/>
          <w:rFonts w:asciiTheme="minorHAnsi" w:hAnsiTheme="minorHAnsi"/>
          <w:color w:val="FF0000"/>
        </w:rPr>
      </w:pPr>
      <w:r w:rsidRPr="006B6D61">
        <w:t xml:space="preserve">Čerpání prostředků běžných výdajů tvořily zejména výdaje na platy zaměstnanců a ostatní platby za provedenou práci a s tím související povinné platby (pojistné a </w:t>
      </w:r>
      <w:r w:rsidR="00CC34A0" w:rsidRPr="006B6D61">
        <w:t>základní příděl</w:t>
      </w:r>
      <w:r w:rsidRPr="006B6D61">
        <w:t xml:space="preserve"> FKSP), které se podílely na celkovém objemu čerpání běžných výdajů </w:t>
      </w:r>
      <w:r w:rsidR="00EC7D9B" w:rsidRPr="006B6D61">
        <w:t>70,1</w:t>
      </w:r>
      <w:r w:rsidRPr="006B6D61">
        <w:t xml:space="preserve"> % (tj. ve výši </w:t>
      </w:r>
      <w:r w:rsidR="00CC34A0" w:rsidRPr="006B6D61">
        <w:br/>
      </w:r>
      <w:r w:rsidRPr="006B6D61">
        <w:t>1</w:t>
      </w:r>
      <w:r w:rsidR="004E2720" w:rsidRPr="006B6D61">
        <w:t>1 912</w:t>
      </w:r>
      <w:r w:rsidRPr="006B6D61">
        <w:t xml:space="preserve"> tis. Kč). Z ostatních neinvestičních výdajů tvořily nejvyšší položky </w:t>
      </w:r>
      <w:r w:rsidR="00240D84" w:rsidRPr="006B6D61">
        <w:rPr>
          <w:rStyle w:val="ZnormalChar"/>
          <w:rFonts w:asciiTheme="minorHAnsi" w:hAnsiTheme="minorHAnsi"/>
        </w:rPr>
        <w:t xml:space="preserve">především výdaje </w:t>
      </w:r>
      <w:r w:rsidR="00832444">
        <w:rPr>
          <w:rStyle w:val="ZnormalChar"/>
          <w:rFonts w:asciiTheme="minorHAnsi" w:hAnsiTheme="minorHAnsi"/>
        </w:rPr>
        <w:br/>
      </w:r>
      <w:r w:rsidR="00240D84" w:rsidRPr="006B6D61">
        <w:rPr>
          <w:rStyle w:val="ZnormalChar"/>
          <w:rFonts w:asciiTheme="minorHAnsi" w:hAnsiTheme="minorHAnsi"/>
        </w:rPr>
        <w:t xml:space="preserve">na nájemné včetně energií, dále pak výdaje související s šetřením leteckých nehod, tj. výdaje na nákup služeb, konzultační, poradenské a právní služby, cestovné, školení, pohonné hmoty </w:t>
      </w:r>
      <w:r w:rsidR="008E079E">
        <w:rPr>
          <w:rStyle w:val="ZnormalChar"/>
          <w:rFonts w:asciiTheme="minorHAnsi" w:hAnsiTheme="minorHAnsi"/>
        </w:rPr>
        <w:br/>
      </w:r>
      <w:r w:rsidR="00240D84" w:rsidRPr="006B6D61">
        <w:rPr>
          <w:rStyle w:val="ZnormalChar"/>
          <w:rFonts w:asciiTheme="minorHAnsi" w:hAnsiTheme="minorHAnsi"/>
        </w:rPr>
        <w:t>a opravy, služby elektronických komunikací. N</w:t>
      </w:r>
      <w:r w:rsidR="00676068" w:rsidRPr="006B6D61">
        <w:rPr>
          <w:rStyle w:val="ZnormalChar"/>
          <w:rFonts w:asciiTheme="minorHAnsi" w:hAnsiTheme="minorHAnsi"/>
        </w:rPr>
        <w:t xml:space="preserve">ároky byly použity ve výši 1 </w:t>
      </w:r>
      <w:r w:rsidR="008E079E" w:rsidRPr="006B6D61">
        <w:rPr>
          <w:rStyle w:val="ZnormalChar"/>
          <w:rFonts w:asciiTheme="minorHAnsi" w:hAnsiTheme="minorHAnsi"/>
        </w:rPr>
        <w:t>953</w:t>
      </w:r>
      <w:r w:rsidR="00240D84" w:rsidRPr="006B6D61">
        <w:rPr>
          <w:rStyle w:val="ZnormalChar"/>
          <w:rFonts w:asciiTheme="minorHAnsi" w:hAnsiTheme="minorHAnsi"/>
        </w:rPr>
        <w:t xml:space="preserve"> tis. Kč.</w:t>
      </w:r>
    </w:p>
    <w:p w14:paraId="3850A448" w14:textId="4845EE04" w:rsidR="00240D84" w:rsidRPr="006B6D61" w:rsidRDefault="00240D84" w:rsidP="008A0E44">
      <w:pPr>
        <w:pStyle w:val="KOMnadp4"/>
      </w:pPr>
      <w:r w:rsidRPr="006B6D61">
        <w:t>Kapitálové výdaje</w:t>
      </w:r>
    </w:p>
    <w:p w14:paraId="7B995DAC" w14:textId="3B8B3CD7" w:rsidR="008E079E" w:rsidRPr="006B6D61" w:rsidRDefault="008E079E" w:rsidP="003F0A7C">
      <w:pPr>
        <w:pStyle w:val="KOMtext"/>
      </w:pPr>
      <w:r w:rsidRPr="006B6D61">
        <w:t>Schválený rozpočet kapitálových výdajů ve výši 2 600 tis. Kč nebyl v průběhu roku vyjma zapojení nároků upravován.</w:t>
      </w:r>
      <w:r>
        <w:t xml:space="preserve"> Čer</w:t>
      </w:r>
      <w:r w:rsidR="00017961">
        <w:t xml:space="preserve">pání prostředků </w:t>
      </w:r>
      <w:r w:rsidR="00803312">
        <w:t>bylo ve výši</w:t>
      </w:r>
      <w:r w:rsidR="00017961">
        <w:t xml:space="preserve"> 1 369 tis. Kč</w:t>
      </w:r>
      <w:r w:rsidR="00D44047">
        <w:t>, z</w:t>
      </w:r>
      <w:r w:rsidR="00803312">
        <w:t> </w:t>
      </w:r>
      <w:r w:rsidR="00D44047">
        <w:t>toho</w:t>
      </w:r>
      <w:r w:rsidR="00803312">
        <w:t xml:space="preserve"> 1 048 tis. Kč činily nároky. </w:t>
      </w:r>
      <w:r w:rsidR="00475EAF">
        <w:t>Prostředky byly čerpán</w:t>
      </w:r>
      <w:r w:rsidR="00975680">
        <w:t>y</w:t>
      </w:r>
      <w:r w:rsidR="00475EAF">
        <w:t xml:space="preserve"> na pořízení</w:t>
      </w:r>
      <w:r w:rsidR="00803312">
        <w:t xml:space="preserve"> </w:t>
      </w:r>
      <w:r w:rsidR="0073340F">
        <w:t xml:space="preserve">osobního vozidla a </w:t>
      </w:r>
      <w:r w:rsidR="00FE1311">
        <w:t>obměnu stolních PC.</w:t>
      </w:r>
    </w:p>
    <w:p w14:paraId="79739D0B" w14:textId="02EDD6A8" w:rsidR="00C92FEC" w:rsidRPr="006B6D61" w:rsidRDefault="00C92FEC" w:rsidP="00C92FEC">
      <w:pPr>
        <w:pStyle w:val="KOMGrafy"/>
      </w:pPr>
      <w:bookmarkStart w:id="914" w:name="_Toc128667269"/>
      <w:bookmarkStart w:id="915" w:name="_Toc160457142"/>
      <w:r w:rsidRPr="006B6D61">
        <w:lastRenderedPageBreak/>
        <w:t xml:space="preserve">Graf č. </w:t>
      </w:r>
      <w:fldSimple w:instr=" SEQ Graf_č. \* ARABIC ">
        <w:r w:rsidR="00013820">
          <w:rPr>
            <w:noProof/>
          </w:rPr>
          <w:t>25</w:t>
        </w:r>
      </w:fldSimple>
      <w:r w:rsidRPr="006B6D61">
        <w:t>: Srovnání skutečností v letech 202</w:t>
      </w:r>
      <w:r w:rsidR="0055702A" w:rsidRPr="006B6D61">
        <w:t>2</w:t>
      </w:r>
      <w:r w:rsidRPr="006B6D61">
        <w:t xml:space="preserve"> a 202</w:t>
      </w:r>
      <w:r w:rsidR="0055702A" w:rsidRPr="006B6D61">
        <w:t>3</w:t>
      </w:r>
      <w:r w:rsidRPr="006B6D61">
        <w:t xml:space="preserve"> u Ústavu pro odborné zjišťování příčin leteckých nehod (v tis. Kč)</w:t>
      </w:r>
      <w:bookmarkEnd w:id="914"/>
      <w:bookmarkEnd w:id="915"/>
    </w:p>
    <w:p w14:paraId="635CB8CA" w14:textId="77777777" w:rsidR="00C92FEC" w:rsidRPr="00C511FC" w:rsidRDefault="00C92FEC" w:rsidP="00C92FEC">
      <w:pPr>
        <w:pStyle w:val="KOMtext"/>
        <w:rPr>
          <w:color w:val="FF0000"/>
        </w:rPr>
      </w:pPr>
      <w:r w:rsidRPr="00887BB1">
        <w:rPr>
          <w:noProof/>
          <w:color w:val="FF0000"/>
        </w:rPr>
        <w:drawing>
          <wp:inline distT="0" distB="0" distL="0" distR="0" wp14:anchorId="7729F8B8" wp14:editId="13146A58">
            <wp:extent cx="5760000" cy="2160000"/>
            <wp:effectExtent l="0" t="0" r="12700" b="12065"/>
            <wp:docPr id="55" name="Graf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14:paraId="669F3DA6" w14:textId="2A38CAF5" w:rsidR="004F5E4F" w:rsidRPr="0077128B" w:rsidRDefault="004F5E4F" w:rsidP="006B6D61">
      <w:pPr>
        <w:pStyle w:val="KOMtext"/>
      </w:pPr>
      <w:bookmarkStart w:id="916" w:name="_Toc128397722"/>
      <w:bookmarkStart w:id="917" w:name="_Toc128397855"/>
      <w:bookmarkStart w:id="918" w:name="_Toc128398076"/>
      <w:bookmarkStart w:id="919" w:name="_Toc128398419"/>
      <w:bookmarkStart w:id="920" w:name="_Toc128398545"/>
      <w:bookmarkStart w:id="921" w:name="_Toc128398759"/>
      <w:bookmarkStart w:id="922" w:name="_Toc128400075"/>
      <w:bookmarkStart w:id="923" w:name="_Toc128401315"/>
      <w:bookmarkStart w:id="924" w:name="_Toc128401443"/>
      <w:bookmarkStart w:id="925" w:name="_Toc128401930"/>
      <w:bookmarkStart w:id="926" w:name="_Toc128400076"/>
      <w:bookmarkEnd w:id="916"/>
      <w:bookmarkEnd w:id="917"/>
      <w:bookmarkEnd w:id="918"/>
      <w:bookmarkEnd w:id="919"/>
      <w:bookmarkEnd w:id="920"/>
      <w:bookmarkEnd w:id="921"/>
      <w:bookmarkEnd w:id="922"/>
      <w:bookmarkEnd w:id="923"/>
      <w:bookmarkEnd w:id="924"/>
      <w:bookmarkEnd w:id="925"/>
      <w:r w:rsidRPr="006B6D61">
        <w:rPr>
          <w:b/>
        </w:rPr>
        <w:t>Ředitelství vodních cest ČR</w:t>
      </w:r>
      <w:bookmarkEnd w:id="926"/>
    </w:p>
    <w:p w14:paraId="0CF7E594" w14:textId="09F9ABA6" w:rsidR="002D5BCC" w:rsidRPr="00D73941" w:rsidRDefault="00F57A9F" w:rsidP="003F0A7C">
      <w:pPr>
        <w:pStyle w:val="KOMtext"/>
      </w:pPr>
      <w:r w:rsidRPr="00911FC2">
        <w:t xml:space="preserve">Ředitelství vodních cest ČR je organizační složka státu, která zabezpečuje výstavbu </w:t>
      </w:r>
      <w:r w:rsidRPr="00911FC2">
        <w:br/>
        <w:t>a modernizaci součástí dopravně významných vodních cest a dalších staveb nutných pro provoz na vodních cestách a pro jejich správu a údržbu a pořizování dalšího majetku nutného pro správu a údržbu vodních cest. Vykonává vlastnická práva státu k nemovitostem tvořícím nově zřizované součásti vodních cest, zabezpečuje podklady pro stanovení koncepcí v oblasti vodních cest. Koordinuje provádění velkých oprav s rekonstrukcemi a modernizacemi součástí vodních cest. Dále zajišťuje provoz servisního plavidla v majetku státu, provozuje některé říční přístavy v ČR a spravuje majetek státu v Hamburku, v SRN.</w:t>
      </w:r>
    </w:p>
    <w:tbl>
      <w:tblPr>
        <w:tblW w:w="8997" w:type="dxa"/>
        <w:tblInd w:w="75" w:type="dxa"/>
        <w:tblLayout w:type="fixed"/>
        <w:tblLook w:val="06A0" w:firstRow="1" w:lastRow="0" w:firstColumn="1" w:lastColumn="0" w:noHBand="1" w:noVBand="1"/>
      </w:tblPr>
      <w:tblGrid>
        <w:gridCol w:w="6"/>
        <w:gridCol w:w="2824"/>
        <w:gridCol w:w="1098"/>
        <w:gridCol w:w="1098"/>
        <w:gridCol w:w="1098"/>
        <w:gridCol w:w="1098"/>
        <w:gridCol w:w="1098"/>
        <w:gridCol w:w="677"/>
      </w:tblGrid>
      <w:tr w:rsidR="002F1BE7" w:rsidRPr="0044012B" w14:paraId="17BCFA75" w14:textId="77777777" w:rsidTr="00D3010F">
        <w:trPr>
          <w:gridBefore w:val="1"/>
          <w:wBefore w:w="6" w:type="dxa"/>
          <w:trHeight w:val="300"/>
        </w:trPr>
        <w:tc>
          <w:tcPr>
            <w:tcW w:w="8991" w:type="dxa"/>
            <w:gridSpan w:val="7"/>
            <w:tcBorders>
              <w:bottom w:val="single" w:sz="4" w:space="0" w:color="auto"/>
            </w:tcBorders>
            <w:shd w:val="clear" w:color="auto" w:fill="FFFFFF" w:themeFill="background1"/>
            <w:tcMar>
              <w:left w:w="70" w:type="dxa"/>
              <w:right w:w="70" w:type="dxa"/>
            </w:tcMar>
            <w:vAlign w:val="center"/>
          </w:tcPr>
          <w:p w14:paraId="136B5588" w14:textId="0BC3690E" w:rsidR="00594881" w:rsidRPr="0077128B" w:rsidRDefault="00CC6D8E" w:rsidP="00BA4E5A">
            <w:pPr>
              <w:spacing w:after="0" w:line="257" w:lineRule="auto"/>
              <w:jc w:val="right"/>
              <w:rPr>
                <w:rFonts w:ascii="Calibri" w:eastAsia="Calibri" w:hAnsi="Calibri" w:cs="Calibri"/>
                <w:bCs/>
                <w:color w:val="FF0000"/>
                <w:sz w:val="20"/>
                <w:szCs w:val="20"/>
              </w:rPr>
            </w:pPr>
            <w:r w:rsidRPr="006B6D61">
              <w:rPr>
                <w:rFonts w:ascii="Calibri" w:eastAsia="Calibri" w:hAnsi="Calibri" w:cs="Calibri"/>
                <w:sz w:val="20"/>
                <w:szCs w:val="20"/>
              </w:rPr>
              <w:t xml:space="preserve">v </w:t>
            </w:r>
            <w:r w:rsidR="00594881" w:rsidRPr="006B6D61">
              <w:rPr>
                <w:rFonts w:ascii="Calibri" w:eastAsia="Calibri" w:hAnsi="Calibri" w:cs="Calibri"/>
                <w:sz w:val="20"/>
                <w:szCs w:val="20"/>
              </w:rPr>
              <w:t>tis. Kč</w:t>
            </w:r>
          </w:p>
        </w:tc>
      </w:tr>
      <w:tr w:rsidR="002F1BE7" w:rsidRPr="0044012B" w14:paraId="015E8F14" w14:textId="77777777" w:rsidTr="00D3010F">
        <w:trPr>
          <w:trHeight w:val="421"/>
        </w:trPr>
        <w:tc>
          <w:tcPr>
            <w:tcW w:w="2830" w:type="dxa"/>
            <w:gridSpan w:val="2"/>
            <w:vMerge w:val="restart"/>
            <w:tcBorders>
              <w:top w:val="single" w:sz="8" w:space="0" w:color="auto"/>
              <w:left w:val="single" w:sz="4" w:space="0" w:color="auto"/>
              <w:bottom w:val="nil"/>
              <w:right w:val="single" w:sz="4" w:space="0" w:color="auto"/>
            </w:tcBorders>
            <w:shd w:val="clear" w:color="auto" w:fill="DFDFDF"/>
            <w:tcMar>
              <w:left w:w="70" w:type="dxa"/>
              <w:right w:w="70" w:type="dxa"/>
            </w:tcMar>
            <w:vAlign w:val="center"/>
          </w:tcPr>
          <w:p w14:paraId="04E337E9" w14:textId="0BF991D2"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Ukazatel</w:t>
            </w:r>
          </w:p>
        </w:tc>
        <w:tc>
          <w:tcPr>
            <w:tcW w:w="1098" w:type="dxa"/>
            <w:vMerge w:val="restart"/>
            <w:tcBorders>
              <w:top w:val="single" w:sz="4" w:space="0" w:color="auto"/>
              <w:left w:val="single" w:sz="4" w:space="0" w:color="auto"/>
              <w:bottom w:val="nil"/>
              <w:right w:val="single" w:sz="4" w:space="0" w:color="auto"/>
            </w:tcBorders>
            <w:shd w:val="clear" w:color="auto" w:fill="DFDFDF"/>
            <w:tcMar>
              <w:left w:w="70" w:type="dxa"/>
              <w:right w:w="70" w:type="dxa"/>
            </w:tcMar>
            <w:vAlign w:val="center"/>
          </w:tcPr>
          <w:p w14:paraId="554313BB" w14:textId="243B0EEA"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Skutečnost</w:t>
            </w:r>
          </w:p>
          <w:p w14:paraId="1B99A556" w14:textId="7B615E3A"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202</w:t>
            </w:r>
            <w:r w:rsidR="00FF3C42" w:rsidRPr="006B6D61">
              <w:rPr>
                <w:rFonts w:ascii="Calibri" w:eastAsia="Calibri" w:hAnsi="Calibri" w:cs="Calibri"/>
                <w:b/>
                <w:bCs/>
                <w:sz w:val="20"/>
                <w:szCs w:val="20"/>
              </w:rPr>
              <w:t>2</w:t>
            </w:r>
          </w:p>
        </w:tc>
        <w:tc>
          <w:tcPr>
            <w:tcW w:w="3294" w:type="dxa"/>
            <w:gridSpan w:val="3"/>
            <w:tcBorders>
              <w:top w:val="single" w:sz="4" w:space="0" w:color="auto"/>
              <w:left w:val="single" w:sz="4" w:space="0" w:color="auto"/>
              <w:bottom w:val="single" w:sz="8" w:space="0" w:color="auto"/>
              <w:right w:val="single" w:sz="4" w:space="0" w:color="auto"/>
            </w:tcBorders>
            <w:shd w:val="clear" w:color="auto" w:fill="DFDFDF"/>
            <w:tcMar>
              <w:left w:w="70" w:type="dxa"/>
              <w:right w:w="70" w:type="dxa"/>
            </w:tcMar>
            <w:vAlign w:val="center"/>
          </w:tcPr>
          <w:p w14:paraId="05C4566C" w14:textId="6168D0E7"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Rozpočet 202</w:t>
            </w:r>
            <w:r w:rsidR="00FF3C42" w:rsidRPr="006B6D61">
              <w:rPr>
                <w:rFonts w:ascii="Calibri" w:eastAsia="Calibri" w:hAnsi="Calibri" w:cs="Calibri"/>
                <w:b/>
                <w:bCs/>
                <w:sz w:val="20"/>
                <w:szCs w:val="20"/>
              </w:rPr>
              <w:t>3</w:t>
            </w:r>
          </w:p>
        </w:tc>
        <w:tc>
          <w:tcPr>
            <w:tcW w:w="1098" w:type="dxa"/>
            <w:vMerge w:val="restart"/>
            <w:tcBorders>
              <w:top w:val="single" w:sz="4" w:space="0" w:color="auto"/>
              <w:left w:val="single" w:sz="4" w:space="0" w:color="auto"/>
              <w:bottom w:val="nil"/>
              <w:right w:val="single" w:sz="4" w:space="0" w:color="auto"/>
            </w:tcBorders>
            <w:shd w:val="clear" w:color="auto" w:fill="DFDFDF"/>
            <w:tcMar>
              <w:left w:w="70" w:type="dxa"/>
              <w:right w:w="70" w:type="dxa"/>
            </w:tcMar>
            <w:vAlign w:val="center"/>
          </w:tcPr>
          <w:p w14:paraId="79085516" w14:textId="7EF523C4"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Skutečnost</w:t>
            </w:r>
          </w:p>
          <w:p w14:paraId="296096C1" w14:textId="0D23153F"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202</w:t>
            </w:r>
            <w:r w:rsidR="00FF3C42" w:rsidRPr="006B6D61">
              <w:rPr>
                <w:rFonts w:ascii="Calibri" w:eastAsia="Calibri" w:hAnsi="Calibri" w:cs="Calibri"/>
                <w:b/>
                <w:bCs/>
                <w:sz w:val="20"/>
                <w:szCs w:val="20"/>
              </w:rPr>
              <w:t>3</w:t>
            </w:r>
          </w:p>
        </w:tc>
        <w:tc>
          <w:tcPr>
            <w:tcW w:w="677" w:type="dxa"/>
            <w:vMerge w:val="restart"/>
            <w:tcBorders>
              <w:top w:val="single" w:sz="4" w:space="0" w:color="auto"/>
              <w:left w:val="single" w:sz="4" w:space="0" w:color="auto"/>
              <w:bottom w:val="nil"/>
              <w:right w:val="single" w:sz="4" w:space="0" w:color="auto"/>
            </w:tcBorders>
            <w:shd w:val="clear" w:color="auto" w:fill="DFDFDF"/>
            <w:tcMar>
              <w:left w:w="70" w:type="dxa"/>
              <w:right w:w="70" w:type="dxa"/>
            </w:tcMar>
            <w:vAlign w:val="center"/>
          </w:tcPr>
          <w:p w14:paraId="32B077A7" w14:textId="0376F0FF"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Index</w:t>
            </w:r>
          </w:p>
          <w:p w14:paraId="69950709" w14:textId="567E34C0"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(v %)</w:t>
            </w:r>
          </w:p>
        </w:tc>
      </w:tr>
      <w:tr w:rsidR="002F1BE7" w:rsidRPr="0044012B" w14:paraId="137B09B9" w14:textId="77777777" w:rsidTr="00D3010F">
        <w:trPr>
          <w:trHeight w:val="406"/>
        </w:trPr>
        <w:tc>
          <w:tcPr>
            <w:tcW w:w="2830" w:type="dxa"/>
            <w:gridSpan w:val="2"/>
            <w:vMerge/>
            <w:tcBorders>
              <w:left w:val="single" w:sz="4" w:space="0" w:color="auto"/>
              <w:bottom w:val="single" w:sz="4" w:space="0" w:color="auto"/>
              <w:right w:val="single" w:sz="4" w:space="0" w:color="auto"/>
            </w:tcBorders>
            <w:vAlign w:val="center"/>
          </w:tcPr>
          <w:p w14:paraId="1D8E4389" w14:textId="77777777" w:rsidR="00ED4FF4" w:rsidRPr="006B6D61" w:rsidRDefault="00ED4FF4"/>
        </w:tc>
        <w:tc>
          <w:tcPr>
            <w:tcW w:w="1098" w:type="dxa"/>
            <w:vMerge/>
            <w:tcBorders>
              <w:left w:val="single" w:sz="4" w:space="0" w:color="auto"/>
              <w:bottom w:val="single" w:sz="4" w:space="0" w:color="auto"/>
              <w:right w:val="single" w:sz="4" w:space="0" w:color="auto"/>
            </w:tcBorders>
            <w:vAlign w:val="center"/>
          </w:tcPr>
          <w:p w14:paraId="1ABD7BAA" w14:textId="77777777" w:rsidR="00ED4FF4" w:rsidRPr="006B6D61" w:rsidRDefault="00ED4FF4"/>
        </w:tc>
        <w:tc>
          <w:tcPr>
            <w:tcW w:w="1098" w:type="dxa"/>
            <w:tcBorders>
              <w:top w:val="single" w:sz="8"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3C8E6185" w14:textId="628129F2"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schválený</w:t>
            </w:r>
          </w:p>
        </w:tc>
        <w:tc>
          <w:tcPr>
            <w:tcW w:w="1098" w:type="dxa"/>
            <w:tcBorders>
              <w:top w:val="nil"/>
              <w:left w:val="single" w:sz="4" w:space="0" w:color="auto"/>
              <w:bottom w:val="single" w:sz="4" w:space="0" w:color="auto"/>
              <w:right w:val="single" w:sz="4" w:space="0" w:color="auto"/>
            </w:tcBorders>
            <w:shd w:val="clear" w:color="auto" w:fill="DFDFDF"/>
            <w:tcMar>
              <w:left w:w="70" w:type="dxa"/>
              <w:right w:w="70" w:type="dxa"/>
            </w:tcMar>
            <w:vAlign w:val="center"/>
          </w:tcPr>
          <w:p w14:paraId="27448627" w14:textId="2ECD9F68" w:rsidR="3C089982" w:rsidRPr="006B6D61" w:rsidRDefault="00BB23E3"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po změnách</w:t>
            </w:r>
          </w:p>
        </w:tc>
        <w:tc>
          <w:tcPr>
            <w:tcW w:w="1098" w:type="dxa"/>
            <w:tcBorders>
              <w:top w:val="nil"/>
              <w:left w:val="single" w:sz="4" w:space="0" w:color="auto"/>
              <w:bottom w:val="single" w:sz="4" w:space="0" w:color="auto"/>
              <w:right w:val="single" w:sz="4" w:space="0" w:color="auto"/>
            </w:tcBorders>
            <w:shd w:val="clear" w:color="auto" w:fill="DFDFDF"/>
            <w:tcMar>
              <w:left w:w="70" w:type="dxa"/>
              <w:right w:w="70" w:type="dxa"/>
            </w:tcMar>
            <w:vAlign w:val="center"/>
          </w:tcPr>
          <w:p w14:paraId="3A4A52A2" w14:textId="57F83260" w:rsidR="3C089982" w:rsidRPr="006B6D61" w:rsidRDefault="3C089982" w:rsidP="00BA4E5A">
            <w:pPr>
              <w:spacing w:after="0" w:line="257" w:lineRule="auto"/>
              <w:jc w:val="center"/>
              <w:rPr>
                <w:rFonts w:ascii="Calibri" w:eastAsia="Calibri" w:hAnsi="Calibri" w:cs="Calibri"/>
                <w:b/>
                <w:bCs/>
                <w:sz w:val="20"/>
                <w:szCs w:val="20"/>
              </w:rPr>
            </w:pPr>
            <w:r w:rsidRPr="006B6D61">
              <w:rPr>
                <w:rFonts w:ascii="Calibri" w:eastAsia="Calibri" w:hAnsi="Calibri" w:cs="Calibri"/>
                <w:b/>
                <w:bCs/>
                <w:sz w:val="20"/>
                <w:szCs w:val="20"/>
              </w:rPr>
              <w:t>konečný</w:t>
            </w:r>
          </w:p>
        </w:tc>
        <w:tc>
          <w:tcPr>
            <w:tcW w:w="1098" w:type="dxa"/>
            <w:vMerge/>
            <w:tcBorders>
              <w:left w:val="single" w:sz="4" w:space="0" w:color="auto"/>
              <w:bottom w:val="single" w:sz="4" w:space="0" w:color="auto"/>
              <w:right w:val="single" w:sz="4" w:space="0" w:color="auto"/>
            </w:tcBorders>
            <w:vAlign w:val="center"/>
          </w:tcPr>
          <w:p w14:paraId="79538279" w14:textId="77777777" w:rsidR="00ED4FF4" w:rsidRPr="006B6D61" w:rsidRDefault="00ED4FF4"/>
        </w:tc>
        <w:tc>
          <w:tcPr>
            <w:tcW w:w="677" w:type="dxa"/>
            <w:vMerge/>
            <w:tcBorders>
              <w:left w:val="single" w:sz="4" w:space="0" w:color="auto"/>
              <w:right w:val="single" w:sz="4" w:space="0" w:color="auto"/>
            </w:tcBorders>
            <w:vAlign w:val="center"/>
          </w:tcPr>
          <w:p w14:paraId="656C096B" w14:textId="77777777" w:rsidR="00ED4FF4" w:rsidRPr="006B6D61" w:rsidRDefault="00ED4FF4"/>
        </w:tc>
      </w:tr>
      <w:tr w:rsidR="002F1BE7" w:rsidRPr="0044012B" w14:paraId="3C89D85D" w14:textId="77777777" w:rsidTr="00D3010F">
        <w:trPr>
          <w:trHeight w:val="105"/>
        </w:trPr>
        <w:tc>
          <w:tcPr>
            <w:tcW w:w="2830" w:type="dxa"/>
            <w:gridSpan w:val="2"/>
            <w:tcBorders>
              <w:top w:val="single" w:sz="4" w:space="0" w:color="auto"/>
              <w:left w:val="single" w:sz="4" w:space="0" w:color="auto"/>
              <w:bottom w:val="single" w:sz="4" w:space="0" w:color="auto"/>
              <w:right w:val="single" w:sz="4" w:space="0" w:color="auto"/>
            </w:tcBorders>
            <w:tcMar>
              <w:left w:w="70" w:type="dxa"/>
              <w:right w:w="70" w:type="dxa"/>
            </w:tcMar>
          </w:tcPr>
          <w:p w14:paraId="18C07F7B" w14:textId="14B3EAF3"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a</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508F6AB9" w14:textId="59641936"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1</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3DC05387" w14:textId="4E2DA4FA"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2</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36910E92" w14:textId="2564FF7E"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3</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2C4004DA" w14:textId="23BDAC68"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4</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6F9FF601" w14:textId="2606BE13"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5</w:t>
            </w:r>
          </w:p>
        </w:tc>
        <w:tc>
          <w:tcPr>
            <w:tcW w:w="677" w:type="dxa"/>
            <w:tcBorders>
              <w:top w:val="single" w:sz="4" w:space="0" w:color="auto"/>
              <w:left w:val="single" w:sz="4" w:space="0" w:color="auto"/>
              <w:bottom w:val="single" w:sz="4" w:space="0" w:color="auto"/>
              <w:right w:val="single" w:sz="4" w:space="0" w:color="auto"/>
            </w:tcBorders>
            <w:tcMar>
              <w:left w:w="70" w:type="dxa"/>
              <w:right w:w="70" w:type="dxa"/>
            </w:tcMar>
          </w:tcPr>
          <w:p w14:paraId="6E5C7BEC" w14:textId="422399E4" w:rsidR="3C089982" w:rsidRPr="006B6D61" w:rsidRDefault="3C089982" w:rsidP="00BA4E5A">
            <w:pPr>
              <w:spacing w:after="0" w:line="257" w:lineRule="auto"/>
              <w:jc w:val="center"/>
              <w:rPr>
                <w:rFonts w:ascii="Calibri" w:eastAsia="Calibri" w:hAnsi="Calibri" w:cs="Calibri"/>
                <w:sz w:val="20"/>
                <w:szCs w:val="20"/>
              </w:rPr>
            </w:pPr>
            <w:r w:rsidRPr="006B6D61">
              <w:rPr>
                <w:rFonts w:ascii="Calibri" w:eastAsia="Calibri" w:hAnsi="Calibri" w:cs="Calibri"/>
                <w:sz w:val="20"/>
                <w:szCs w:val="20"/>
              </w:rPr>
              <w:t>5/1</w:t>
            </w:r>
          </w:p>
        </w:tc>
      </w:tr>
      <w:tr w:rsidR="004F260B" w:rsidRPr="0044012B" w14:paraId="2235661C" w14:textId="77777777" w:rsidTr="00D3010F">
        <w:trPr>
          <w:trHeight w:val="390"/>
        </w:trPr>
        <w:tc>
          <w:tcPr>
            <w:tcW w:w="2830" w:type="dxa"/>
            <w:gridSpan w:val="2"/>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50BC83A3" w14:textId="12E6D65E" w:rsidR="004F260B" w:rsidRPr="006B6D61" w:rsidRDefault="004F260B" w:rsidP="004F260B">
            <w:pPr>
              <w:spacing w:after="0" w:line="257" w:lineRule="auto"/>
              <w:rPr>
                <w:rFonts w:ascii="Calibri" w:eastAsia="Calibri" w:hAnsi="Calibri" w:cs="Calibri"/>
                <w:sz w:val="20"/>
                <w:szCs w:val="20"/>
              </w:rPr>
            </w:pPr>
            <w:r w:rsidRPr="006B6D61">
              <w:rPr>
                <w:rFonts w:ascii="Calibri" w:eastAsia="Calibri" w:hAnsi="Calibri" w:cs="Calibri"/>
                <w:b/>
                <w:bCs/>
                <w:sz w:val="20"/>
                <w:szCs w:val="20"/>
              </w:rPr>
              <w:t xml:space="preserve">Výdaje celkem </w:t>
            </w:r>
            <w:r w:rsidRPr="006B6D61">
              <w:rPr>
                <w:rFonts w:ascii="Calibri" w:eastAsia="Calibri" w:hAnsi="Calibri" w:cs="Calibri"/>
                <w:sz w:val="20"/>
                <w:szCs w:val="20"/>
              </w:rPr>
              <w:t>(v tom:)</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1E8FFC96" w14:textId="15F2D7DF" w:rsidR="004F260B" w:rsidRPr="006B6D61" w:rsidRDefault="004F260B" w:rsidP="004F260B">
            <w:pPr>
              <w:spacing w:after="0" w:line="257" w:lineRule="auto"/>
              <w:jc w:val="right"/>
              <w:rPr>
                <w:rFonts w:ascii="Calibri" w:eastAsia="Calibri" w:hAnsi="Calibri" w:cs="Calibri"/>
                <w:b/>
                <w:bCs/>
                <w:sz w:val="20"/>
                <w:szCs w:val="20"/>
              </w:rPr>
            </w:pPr>
            <w:r w:rsidRPr="006B6D61">
              <w:rPr>
                <w:rFonts w:ascii="Calibri" w:eastAsia="Calibri" w:hAnsi="Calibri" w:cs="Calibri"/>
                <w:b/>
                <w:bCs/>
                <w:sz w:val="20"/>
                <w:szCs w:val="20"/>
              </w:rPr>
              <w:t>25 550</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039062C8" w14:textId="303FA6C4" w:rsidR="004F260B" w:rsidRPr="0077128B" w:rsidRDefault="00D72003"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24 632</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68826E7C" w14:textId="1161E90B" w:rsidR="004F260B" w:rsidRPr="0077128B" w:rsidRDefault="005E7D7B"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28 170</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42ACC4FF" w14:textId="3996CF8A" w:rsidR="004F260B" w:rsidRPr="0077128B" w:rsidRDefault="005E0592"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41 124</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5D495609" w14:textId="431B4C7C" w:rsidR="004F260B" w:rsidRPr="0077128B" w:rsidRDefault="00887096"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37 154</w:t>
            </w:r>
          </w:p>
        </w:tc>
        <w:tc>
          <w:tcPr>
            <w:tcW w:w="677"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61A74D45" w14:textId="23EBD086" w:rsidR="004F260B" w:rsidRPr="0077128B" w:rsidRDefault="004D7FBC"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145,4</w:t>
            </w:r>
          </w:p>
        </w:tc>
      </w:tr>
      <w:tr w:rsidR="004F260B" w:rsidRPr="0044012B" w14:paraId="034B0E3C" w14:textId="77777777" w:rsidTr="00D3010F">
        <w:trPr>
          <w:trHeight w:val="390"/>
        </w:trPr>
        <w:tc>
          <w:tcPr>
            <w:tcW w:w="2830" w:type="dxa"/>
            <w:gridSpan w:val="2"/>
            <w:tcBorders>
              <w:top w:val="single" w:sz="4" w:space="0" w:color="auto"/>
              <w:left w:val="single" w:sz="4" w:space="0" w:color="auto"/>
              <w:bottom w:val="nil"/>
              <w:right w:val="single" w:sz="4" w:space="0" w:color="auto"/>
            </w:tcBorders>
            <w:tcMar>
              <w:left w:w="70" w:type="dxa"/>
              <w:right w:w="70" w:type="dxa"/>
            </w:tcMar>
            <w:vAlign w:val="center"/>
          </w:tcPr>
          <w:p w14:paraId="4FB42DB9" w14:textId="78D9640E" w:rsidR="004F260B" w:rsidRPr="006B6D61" w:rsidRDefault="004F260B" w:rsidP="004F260B">
            <w:pPr>
              <w:spacing w:after="0" w:line="257" w:lineRule="auto"/>
              <w:rPr>
                <w:rFonts w:ascii="Calibri" w:eastAsia="Calibri" w:hAnsi="Calibri" w:cs="Calibri"/>
                <w:sz w:val="20"/>
                <w:szCs w:val="20"/>
              </w:rPr>
            </w:pPr>
            <w:r w:rsidRPr="006B6D61">
              <w:rPr>
                <w:rFonts w:ascii="Calibri" w:eastAsia="Calibri" w:hAnsi="Calibri" w:cs="Calibri"/>
                <w:b/>
                <w:bCs/>
                <w:sz w:val="20"/>
                <w:szCs w:val="20"/>
              </w:rPr>
              <w:t xml:space="preserve">Běžné výdaje </w:t>
            </w:r>
            <w:r w:rsidRPr="006B6D61">
              <w:rPr>
                <w:rFonts w:ascii="Calibri" w:eastAsia="Calibri" w:hAnsi="Calibri" w:cs="Calibri"/>
                <w:sz w:val="20"/>
                <w:szCs w:val="20"/>
              </w:rPr>
              <w:t>(v tom)</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22B5310A" w14:textId="28AB72D5" w:rsidR="004F260B" w:rsidRPr="006B6D61" w:rsidRDefault="004F260B" w:rsidP="004F260B">
            <w:pPr>
              <w:spacing w:after="0" w:line="257" w:lineRule="auto"/>
              <w:jc w:val="right"/>
              <w:rPr>
                <w:rFonts w:ascii="Calibri" w:eastAsia="Calibri" w:hAnsi="Calibri" w:cs="Calibri"/>
                <w:b/>
                <w:bCs/>
                <w:sz w:val="20"/>
                <w:szCs w:val="20"/>
              </w:rPr>
            </w:pPr>
            <w:r w:rsidRPr="006B6D61">
              <w:rPr>
                <w:rFonts w:ascii="Calibri" w:eastAsia="Calibri" w:hAnsi="Calibri" w:cs="Calibri"/>
                <w:b/>
                <w:bCs/>
                <w:sz w:val="20"/>
                <w:szCs w:val="20"/>
              </w:rPr>
              <w:t>25 089</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7BE8DC0D" w14:textId="1D7CBC92" w:rsidR="004F260B" w:rsidRPr="0077128B" w:rsidRDefault="002701A5"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23 412</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4CB231FC" w14:textId="31D25B24" w:rsidR="004F260B" w:rsidRPr="0077128B" w:rsidRDefault="00B856B9"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27 220</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438FAC01" w14:textId="73807986" w:rsidR="004F260B" w:rsidRPr="0077128B" w:rsidRDefault="00D80F53" w:rsidP="004F260B">
            <w:pPr>
              <w:spacing w:after="0" w:line="257" w:lineRule="auto"/>
              <w:jc w:val="right"/>
              <w:rPr>
                <w:rFonts w:ascii="Calibri" w:eastAsia="Calibri" w:hAnsi="Calibri" w:cs="Calibri"/>
                <w:b/>
                <w:bCs/>
                <w:color w:val="FF0000"/>
                <w:sz w:val="20"/>
                <w:szCs w:val="20"/>
                <w:highlight w:val="yellow"/>
              </w:rPr>
            </w:pPr>
            <w:r>
              <w:rPr>
                <w:rFonts w:ascii="Calibri" w:eastAsia="Calibri" w:hAnsi="Calibri" w:cs="Calibri"/>
                <w:b/>
                <w:bCs/>
                <w:sz w:val="20"/>
                <w:szCs w:val="20"/>
              </w:rPr>
              <w:t>35 469</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0FDAC681" w14:textId="7C656641" w:rsidR="004F260B" w:rsidRPr="0077128B" w:rsidRDefault="00F35A7E"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34 336</w:t>
            </w:r>
          </w:p>
        </w:tc>
        <w:tc>
          <w:tcPr>
            <w:tcW w:w="677" w:type="dxa"/>
            <w:tcBorders>
              <w:top w:val="single" w:sz="4" w:space="0" w:color="auto"/>
              <w:left w:val="single" w:sz="4" w:space="0" w:color="auto"/>
              <w:bottom w:val="nil"/>
              <w:right w:val="single" w:sz="4" w:space="0" w:color="auto"/>
            </w:tcBorders>
            <w:tcMar>
              <w:left w:w="70" w:type="dxa"/>
              <w:right w:w="70" w:type="dxa"/>
            </w:tcMar>
            <w:vAlign w:val="center"/>
          </w:tcPr>
          <w:p w14:paraId="71E480F6" w14:textId="2F5FED1E" w:rsidR="004F260B" w:rsidRPr="0077128B" w:rsidRDefault="00704D17" w:rsidP="004F260B">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136,9</w:t>
            </w:r>
          </w:p>
        </w:tc>
      </w:tr>
      <w:tr w:rsidR="004F260B" w:rsidRPr="0044012B" w14:paraId="6DEAC199" w14:textId="77777777" w:rsidTr="00D3010F">
        <w:trPr>
          <w:trHeight w:val="300"/>
        </w:trPr>
        <w:tc>
          <w:tcPr>
            <w:tcW w:w="2830" w:type="dxa"/>
            <w:gridSpan w:val="2"/>
            <w:tcBorders>
              <w:top w:val="nil"/>
              <w:left w:val="single" w:sz="4" w:space="0" w:color="auto"/>
              <w:bottom w:val="nil"/>
              <w:right w:val="single" w:sz="4" w:space="0" w:color="auto"/>
            </w:tcBorders>
            <w:tcMar>
              <w:left w:w="70" w:type="dxa"/>
              <w:right w:w="70" w:type="dxa"/>
            </w:tcMar>
            <w:vAlign w:val="center"/>
          </w:tcPr>
          <w:p w14:paraId="35CBEF02" w14:textId="01F9E923" w:rsidR="004F260B" w:rsidRPr="006B6D61" w:rsidRDefault="004F260B" w:rsidP="004F260B">
            <w:pPr>
              <w:spacing w:after="0" w:line="257" w:lineRule="auto"/>
              <w:ind w:firstLine="4"/>
              <w:rPr>
                <w:rFonts w:ascii="Calibri" w:eastAsia="Calibri" w:hAnsi="Calibri" w:cs="Calibri"/>
                <w:sz w:val="20"/>
                <w:szCs w:val="20"/>
              </w:rPr>
            </w:pPr>
            <w:r w:rsidRPr="006B6D61">
              <w:rPr>
                <w:rFonts w:ascii="Calibri" w:eastAsia="Calibri" w:hAnsi="Calibri" w:cs="Calibri"/>
                <w:sz w:val="20"/>
                <w:szCs w:val="20"/>
              </w:rPr>
              <w:t xml:space="preserve">platy zaměstnanců a ostatní </w:t>
            </w:r>
          </w:p>
          <w:p w14:paraId="7BBE99D2" w14:textId="32762FD0" w:rsidR="004F260B" w:rsidRPr="006B6D61" w:rsidRDefault="004F260B" w:rsidP="004F260B">
            <w:pPr>
              <w:spacing w:after="0" w:line="257" w:lineRule="auto"/>
              <w:rPr>
                <w:rFonts w:ascii="Calibri" w:eastAsia="Calibri" w:hAnsi="Calibri" w:cs="Calibri"/>
                <w:sz w:val="20"/>
                <w:szCs w:val="20"/>
              </w:rPr>
            </w:pPr>
            <w:r w:rsidRPr="006B6D61">
              <w:rPr>
                <w:rFonts w:ascii="Calibri" w:eastAsia="Calibri" w:hAnsi="Calibri" w:cs="Calibri"/>
                <w:sz w:val="20"/>
                <w:szCs w:val="20"/>
              </w:rPr>
              <w:t>platby za provedenou práci</w:t>
            </w:r>
          </w:p>
        </w:tc>
        <w:tc>
          <w:tcPr>
            <w:tcW w:w="1098" w:type="dxa"/>
            <w:tcBorders>
              <w:top w:val="nil"/>
              <w:left w:val="single" w:sz="4" w:space="0" w:color="auto"/>
              <w:bottom w:val="nil"/>
              <w:right w:val="single" w:sz="4" w:space="0" w:color="auto"/>
            </w:tcBorders>
            <w:tcMar>
              <w:left w:w="70" w:type="dxa"/>
              <w:right w:w="70" w:type="dxa"/>
            </w:tcMar>
            <w:vAlign w:val="center"/>
          </w:tcPr>
          <w:p w14:paraId="51E82D6D" w14:textId="0E185B90" w:rsidR="004F260B" w:rsidRPr="006B6D61" w:rsidRDefault="004F260B" w:rsidP="004F260B">
            <w:pPr>
              <w:spacing w:after="0" w:line="257" w:lineRule="auto"/>
              <w:jc w:val="right"/>
              <w:rPr>
                <w:rFonts w:ascii="Calibri" w:eastAsia="Calibri" w:hAnsi="Calibri" w:cs="Calibri"/>
                <w:sz w:val="20"/>
                <w:szCs w:val="20"/>
              </w:rPr>
            </w:pPr>
            <w:r w:rsidRPr="006B6D61">
              <w:rPr>
                <w:rFonts w:ascii="Calibri" w:eastAsia="Calibri" w:hAnsi="Calibri" w:cs="Calibri"/>
                <w:sz w:val="20"/>
                <w:szCs w:val="20"/>
              </w:rPr>
              <w:t xml:space="preserve">6 963 </w:t>
            </w:r>
          </w:p>
        </w:tc>
        <w:tc>
          <w:tcPr>
            <w:tcW w:w="1098" w:type="dxa"/>
            <w:tcBorders>
              <w:top w:val="nil"/>
              <w:left w:val="single" w:sz="4" w:space="0" w:color="auto"/>
              <w:bottom w:val="nil"/>
              <w:right w:val="single" w:sz="4" w:space="0" w:color="auto"/>
            </w:tcBorders>
            <w:tcMar>
              <w:left w:w="70" w:type="dxa"/>
              <w:right w:w="70" w:type="dxa"/>
            </w:tcMar>
            <w:vAlign w:val="center"/>
          </w:tcPr>
          <w:p w14:paraId="092462B8" w14:textId="577D579D" w:rsidR="004F260B" w:rsidRPr="0077128B" w:rsidRDefault="004F260B" w:rsidP="004F260B">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7 211</w:t>
            </w:r>
            <w:r w:rsidRPr="00FF794E">
              <w:rPr>
                <w:rFonts w:ascii="Calibri" w:eastAsia="Calibri" w:hAnsi="Calibri" w:cs="Calibri"/>
                <w:sz w:val="20"/>
                <w:szCs w:val="20"/>
              </w:rPr>
              <w:t xml:space="preserve"> </w:t>
            </w:r>
          </w:p>
        </w:tc>
        <w:tc>
          <w:tcPr>
            <w:tcW w:w="1098" w:type="dxa"/>
            <w:tcBorders>
              <w:top w:val="nil"/>
              <w:left w:val="single" w:sz="4" w:space="0" w:color="auto"/>
              <w:bottom w:val="nil"/>
              <w:right w:val="single" w:sz="4" w:space="0" w:color="auto"/>
            </w:tcBorders>
            <w:tcMar>
              <w:left w:w="70" w:type="dxa"/>
              <w:right w:w="70" w:type="dxa"/>
            </w:tcMar>
            <w:vAlign w:val="center"/>
          </w:tcPr>
          <w:p w14:paraId="7C20BE72" w14:textId="7E96F3A1" w:rsidR="004F260B" w:rsidRPr="0077128B" w:rsidRDefault="004F260B" w:rsidP="004F260B">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7 211</w:t>
            </w:r>
          </w:p>
        </w:tc>
        <w:tc>
          <w:tcPr>
            <w:tcW w:w="1098" w:type="dxa"/>
            <w:tcBorders>
              <w:top w:val="nil"/>
              <w:left w:val="single" w:sz="4" w:space="0" w:color="auto"/>
              <w:bottom w:val="nil"/>
              <w:right w:val="single" w:sz="4" w:space="0" w:color="auto"/>
            </w:tcBorders>
            <w:tcMar>
              <w:left w:w="70" w:type="dxa"/>
              <w:right w:w="70" w:type="dxa"/>
            </w:tcMar>
            <w:vAlign w:val="center"/>
          </w:tcPr>
          <w:p w14:paraId="63C1D1B8" w14:textId="000D6047" w:rsidR="004F260B" w:rsidRPr="0077128B" w:rsidRDefault="004F260B" w:rsidP="004F260B">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7 211</w:t>
            </w:r>
          </w:p>
        </w:tc>
        <w:tc>
          <w:tcPr>
            <w:tcW w:w="1098" w:type="dxa"/>
            <w:tcBorders>
              <w:top w:val="nil"/>
              <w:left w:val="single" w:sz="4" w:space="0" w:color="auto"/>
              <w:bottom w:val="nil"/>
              <w:right w:val="single" w:sz="4" w:space="0" w:color="auto"/>
            </w:tcBorders>
            <w:tcMar>
              <w:left w:w="70" w:type="dxa"/>
              <w:right w:w="70" w:type="dxa"/>
            </w:tcMar>
            <w:vAlign w:val="center"/>
          </w:tcPr>
          <w:p w14:paraId="2C6F5C4B" w14:textId="1C332FC7" w:rsidR="004F260B" w:rsidRPr="0077128B" w:rsidRDefault="004F260B" w:rsidP="004F260B">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 xml:space="preserve">7 211 </w:t>
            </w:r>
          </w:p>
        </w:tc>
        <w:tc>
          <w:tcPr>
            <w:tcW w:w="677" w:type="dxa"/>
            <w:tcBorders>
              <w:top w:val="nil"/>
              <w:left w:val="single" w:sz="4" w:space="0" w:color="auto"/>
              <w:bottom w:val="nil"/>
              <w:right w:val="single" w:sz="4" w:space="0" w:color="auto"/>
            </w:tcBorders>
            <w:tcMar>
              <w:left w:w="70" w:type="dxa"/>
              <w:right w:w="70" w:type="dxa"/>
            </w:tcMar>
            <w:vAlign w:val="center"/>
          </w:tcPr>
          <w:p w14:paraId="6FFA9CC6" w14:textId="68760C35" w:rsidR="004F260B" w:rsidRPr="0077128B" w:rsidRDefault="00BC465E" w:rsidP="004F260B">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103,1</w:t>
            </w:r>
          </w:p>
        </w:tc>
      </w:tr>
      <w:tr w:rsidR="004F260B" w:rsidRPr="0044012B" w14:paraId="3D2F5CA7" w14:textId="77777777" w:rsidTr="00D3010F">
        <w:trPr>
          <w:trHeight w:val="300"/>
        </w:trPr>
        <w:tc>
          <w:tcPr>
            <w:tcW w:w="2830" w:type="dxa"/>
            <w:gridSpan w:val="2"/>
            <w:tcBorders>
              <w:top w:val="nil"/>
              <w:left w:val="single" w:sz="4" w:space="0" w:color="auto"/>
              <w:bottom w:val="nil"/>
              <w:right w:val="single" w:sz="4" w:space="0" w:color="auto"/>
            </w:tcBorders>
            <w:tcMar>
              <w:left w:w="70" w:type="dxa"/>
              <w:right w:w="70" w:type="dxa"/>
            </w:tcMar>
            <w:vAlign w:val="center"/>
          </w:tcPr>
          <w:p w14:paraId="405F0EEF" w14:textId="5420DC33" w:rsidR="004F260B" w:rsidRPr="006B6D61" w:rsidRDefault="004F260B" w:rsidP="004F260B">
            <w:pPr>
              <w:spacing w:after="0" w:line="257" w:lineRule="auto"/>
              <w:ind w:firstLine="4"/>
              <w:rPr>
                <w:rFonts w:ascii="Calibri" w:eastAsia="Calibri" w:hAnsi="Calibri" w:cs="Calibri"/>
                <w:sz w:val="20"/>
                <w:szCs w:val="20"/>
              </w:rPr>
            </w:pPr>
            <w:proofErr w:type="spellStart"/>
            <w:r w:rsidRPr="006B6D61">
              <w:rPr>
                <w:rFonts w:ascii="Calibri" w:eastAsia="Calibri" w:hAnsi="Calibri" w:cs="Calibri"/>
                <w:sz w:val="20"/>
                <w:szCs w:val="20"/>
              </w:rPr>
              <w:t>pov</w:t>
            </w:r>
            <w:proofErr w:type="spellEnd"/>
            <w:r w:rsidRPr="006B6D61">
              <w:rPr>
                <w:rFonts w:ascii="Calibri" w:eastAsia="Calibri" w:hAnsi="Calibri" w:cs="Calibri"/>
                <w:sz w:val="20"/>
                <w:szCs w:val="20"/>
              </w:rPr>
              <w:t>. poj. placené zaměstnav.</w:t>
            </w:r>
          </w:p>
        </w:tc>
        <w:tc>
          <w:tcPr>
            <w:tcW w:w="1098" w:type="dxa"/>
            <w:tcBorders>
              <w:top w:val="nil"/>
              <w:left w:val="single" w:sz="4" w:space="0" w:color="auto"/>
              <w:bottom w:val="nil"/>
              <w:right w:val="single" w:sz="4" w:space="0" w:color="auto"/>
            </w:tcBorders>
            <w:tcMar>
              <w:left w:w="70" w:type="dxa"/>
              <w:right w:w="70" w:type="dxa"/>
            </w:tcMar>
            <w:vAlign w:val="center"/>
          </w:tcPr>
          <w:p w14:paraId="08C285B1" w14:textId="13BF381B" w:rsidR="004F260B" w:rsidRPr="006B6D61" w:rsidRDefault="004F260B" w:rsidP="004F260B">
            <w:pPr>
              <w:spacing w:after="0" w:line="257" w:lineRule="auto"/>
              <w:jc w:val="right"/>
              <w:rPr>
                <w:rFonts w:ascii="Calibri" w:eastAsia="Calibri" w:hAnsi="Calibri" w:cs="Calibri"/>
                <w:sz w:val="20"/>
                <w:szCs w:val="20"/>
              </w:rPr>
            </w:pPr>
            <w:r w:rsidRPr="006B6D61">
              <w:rPr>
                <w:rFonts w:ascii="Calibri" w:eastAsia="Calibri" w:hAnsi="Calibri" w:cs="Calibri"/>
                <w:sz w:val="20"/>
                <w:szCs w:val="20"/>
              </w:rPr>
              <w:t xml:space="preserve">2 353 </w:t>
            </w:r>
          </w:p>
        </w:tc>
        <w:tc>
          <w:tcPr>
            <w:tcW w:w="1098" w:type="dxa"/>
            <w:tcBorders>
              <w:top w:val="nil"/>
              <w:left w:val="single" w:sz="4" w:space="0" w:color="auto"/>
              <w:bottom w:val="nil"/>
              <w:right w:val="single" w:sz="4" w:space="0" w:color="auto"/>
            </w:tcBorders>
            <w:tcMar>
              <w:left w:w="70" w:type="dxa"/>
              <w:right w:w="70" w:type="dxa"/>
            </w:tcMar>
            <w:vAlign w:val="center"/>
          </w:tcPr>
          <w:p w14:paraId="1D5D221D" w14:textId="54E6DD19" w:rsidR="004F260B" w:rsidRPr="0077128B" w:rsidRDefault="004F260B" w:rsidP="004F260B">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2 43</w:t>
            </w:r>
            <w:r w:rsidR="00CF2FC8">
              <w:rPr>
                <w:rFonts w:ascii="Calibri" w:eastAsia="Calibri" w:hAnsi="Calibri" w:cs="Calibri"/>
                <w:sz w:val="20"/>
                <w:szCs w:val="20"/>
              </w:rPr>
              <w:t>7</w:t>
            </w:r>
          </w:p>
        </w:tc>
        <w:tc>
          <w:tcPr>
            <w:tcW w:w="1098" w:type="dxa"/>
            <w:tcBorders>
              <w:top w:val="nil"/>
              <w:left w:val="single" w:sz="4" w:space="0" w:color="auto"/>
              <w:bottom w:val="nil"/>
              <w:right w:val="single" w:sz="4" w:space="0" w:color="auto"/>
            </w:tcBorders>
            <w:tcMar>
              <w:left w:w="70" w:type="dxa"/>
              <w:right w:w="70" w:type="dxa"/>
            </w:tcMar>
            <w:vAlign w:val="center"/>
          </w:tcPr>
          <w:p w14:paraId="60E2843E" w14:textId="630619FC" w:rsidR="004F260B" w:rsidRPr="0077128B" w:rsidRDefault="004F260B" w:rsidP="004F260B">
            <w:pPr>
              <w:spacing w:after="0" w:line="257" w:lineRule="auto"/>
              <w:jc w:val="right"/>
              <w:rPr>
                <w:rFonts w:ascii="Calibri" w:eastAsia="Calibri" w:hAnsi="Calibri" w:cs="Calibri"/>
                <w:color w:val="FF0000"/>
                <w:sz w:val="20"/>
                <w:szCs w:val="20"/>
              </w:rPr>
            </w:pPr>
            <w:r w:rsidRPr="00941983">
              <w:rPr>
                <w:rFonts w:ascii="Calibri" w:eastAsia="Calibri" w:hAnsi="Calibri" w:cs="Calibri"/>
                <w:sz w:val="20"/>
                <w:szCs w:val="20"/>
              </w:rPr>
              <w:t>2 43</w:t>
            </w:r>
            <w:r w:rsidR="00CF2FC8">
              <w:rPr>
                <w:rFonts w:ascii="Calibri" w:eastAsia="Calibri" w:hAnsi="Calibri" w:cs="Calibri"/>
                <w:sz w:val="20"/>
                <w:szCs w:val="20"/>
              </w:rPr>
              <w:t>7</w:t>
            </w:r>
          </w:p>
        </w:tc>
        <w:tc>
          <w:tcPr>
            <w:tcW w:w="1098" w:type="dxa"/>
            <w:tcBorders>
              <w:top w:val="nil"/>
              <w:left w:val="single" w:sz="4" w:space="0" w:color="auto"/>
              <w:bottom w:val="nil"/>
              <w:right w:val="single" w:sz="4" w:space="0" w:color="auto"/>
            </w:tcBorders>
            <w:tcMar>
              <w:left w:w="70" w:type="dxa"/>
              <w:right w:w="70" w:type="dxa"/>
            </w:tcMar>
            <w:vAlign w:val="center"/>
          </w:tcPr>
          <w:p w14:paraId="3A05AB20" w14:textId="68951FEB" w:rsidR="004F260B" w:rsidRPr="0077128B" w:rsidRDefault="004F260B" w:rsidP="004F260B">
            <w:pPr>
              <w:spacing w:after="0" w:line="257" w:lineRule="auto"/>
              <w:jc w:val="right"/>
              <w:rPr>
                <w:rFonts w:ascii="Calibri" w:eastAsia="Calibri" w:hAnsi="Calibri" w:cs="Calibri"/>
                <w:color w:val="FF0000"/>
                <w:sz w:val="20"/>
                <w:szCs w:val="20"/>
              </w:rPr>
            </w:pPr>
            <w:r w:rsidRPr="00941983">
              <w:rPr>
                <w:rFonts w:ascii="Calibri" w:eastAsia="Calibri" w:hAnsi="Calibri" w:cs="Calibri"/>
                <w:sz w:val="20"/>
                <w:szCs w:val="20"/>
              </w:rPr>
              <w:t>2 43</w:t>
            </w:r>
            <w:r w:rsidR="00CF2FC8">
              <w:rPr>
                <w:rFonts w:ascii="Calibri" w:eastAsia="Calibri" w:hAnsi="Calibri" w:cs="Calibri"/>
                <w:sz w:val="20"/>
                <w:szCs w:val="20"/>
              </w:rPr>
              <w:t>7</w:t>
            </w:r>
          </w:p>
        </w:tc>
        <w:tc>
          <w:tcPr>
            <w:tcW w:w="1098" w:type="dxa"/>
            <w:tcBorders>
              <w:top w:val="nil"/>
              <w:left w:val="single" w:sz="4" w:space="0" w:color="auto"/>
              <w:bottom w:val="nil"/>
              <w:right w:val="single" w:sz="4" w:space="0" w:color="auto"/>
            </w:tcBorders>
            <w:tcMar>
              <w:left w:w="70" w:type="dxa"/>
              <w:right w:w="70" w:type="dxa"/>
            </w:tcMar>
            <w:vAlign w:val="center"/>
          </w:tcPr>
          <w:p w14:paraId="5E464CE9" w14:textId="759BDB2E" w:rsidR="004F260B" w:rsidRPr="0077128B" w:rsidRDefault="004F260B" w:rsidP="004F260B">
            <w:pPr>
              <w:spacing w:after="0" w:line="257" w:lineRule="auto"/>
              <w:jc w:val="right"/>
              <w:rPr>
                <w:rFonts w:ascii="Calibri" w:eastAsia="Calibri" w:hAnsi="Calibri" w:cs="Calibri"/>
                <w:color w:val="FF0000"/>
                <w:sz w:val="20"/>
                <w:szCs w:val="20"/>
              </w:rPr>
            </w:pPr>
            <w:r w:rsidRPr="00941983">
              <w:rPr>
                <w:rFonts w:ascii="Calibri" w:eastAsia="Calibri" w:hAnsi="Calibri" w:cs="Calibri"/>
                <w:sz w:val="20"/>
                <w:szCs w:val="20"/>
              </w:rPr>
              <w:t>2 43</w:t>
            </w:r>
            <w:r w:rsidR="00CF2FC8">
              <w:rPr>
                <w:rFonts w:ascii="Calibri" w:eastAsia="Calibri" w:hAnsi="Calibri" w:cs="Calibri"/>
                <w:sz w:val="20"/>
                <w:szCs w:val="20"/>
              </w:rPr>
              <w:t>7</w:t>
            </w:r>
          </w:p>
        </w:tc>
        <w:tc>
          <w:tcPr>
            <w:tcW w:w="677" w:type="dxa"/>
            <w:tcBorders>
              <w:top w:val="nil"/>
              <w:left w:val="single" w:sz="4" w:space="0" w:color="auto"/>
              <w:bottom w:val="nil"/>
              <w:right w:val="single" w:sz="4" w:space="0" w:color="auto"/>
            </w:tcBorders>
            <w:tcMar>
              <w:left w:w="70" w:type="dxa"/>
              <w:right w:w="70" w:type="dxa"/>
            </w:tcMar>
            <w:vAlign w:val="center"/>
          </w:tcPr>
          <w:p w14:paraId="0CFBD4C5" w14:textId="02097065" w:rsidR="004F260B" w:rsidRPr="0077128B" w:rsidRDefault="005C40D1" w:rsidP="004F260B">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103,</w:t>
            </w:r>
            <w:r w:rsidR="004F260B" w:rsidRPr="00C511FC">
              <w:rPr>
                <w:rFonts w:ascii="Calibri" w:eastAsia="Calibri" w:hAnsi="Calibri" w:cs="Calibri"/>
                <w:sz w:val="20"/>
                <w:szCs w:val="20"/>
              </w:rPr>
              <w:t>6</w:t>
            </w:r>
          </w:p>
        </w:tc>
      </w:tr>
      <w:tr w:rsidR="004F260B" w:rsidRPr="0044012B" w14:paraId="63B37767" w14:textId="77777777" w:rsidTr="006B6D61">
        <w:trPr>
          <w:trHeight w:val="300"/>
        </w:trPr>
        <w:tc>
          <w:tcPr>
            <w:tcW w:w="2830" w:type="dxa"/>
            <w:gridSpan w:val="2"/>
            <w:tcBorders>
              <w:top w:val="nil"/>
              <w:left w:val="single" w:sz="4" w:space="0" w:color="auto"/>
              <w:bottom w:val="nil"/>
              <w:right w:val="single" w:sz="4" w:space="0" w:color="auto"/>
            </w:tcBorders>
            <w:tcMar>
              <w:left w:w="70" w:type="dxa"/>
              <w:right w:w="70" w:type="dxa"/>
            </w:tcMar>
            <w:vAlign w:val="center"/>
          </w:tcPr>
          <w:p w14:paraId="0A3AC48A" w14:textId="6AA6C9E5" w:rsidR="004F260B" w:rsidRPr="006B6D61" w:rsidRDefault="004F260B" w:rsidP="004F260B">
            <w:pPr>
              <w:spacing w:after="0" w:line="257" w:lineRule="auto"/>
              <w:ind w:firstLine="4"/>
              <w:rPr>
                <w:rFonts w:ascii="Calibri" w:eastAsia="Calibri" w:hAnsi="Calibri" w:cs="Calibri"/>
                <w:sz w:val="20"/>
                <w:szCs w:val="20"/>
              </w:rPr>
            </w:pPr>
            <w:r w:rsidRPr="006B6D61">
              <w:rPr>
                <w:rFonts w:ascii="Calibri" w:eastAsia="Calibri" w:hAnsi="Calibri" w:cs="Calibri"/>
                <w:sz w:val="20"/>
                <w:szCs w:val="20"/>
              </w:rPr>
              <w:t>základní příděl FKSP</w:t>
            </w:r>
          </w:p>
        </w:tc>
        <w:tc>
          <w:tcPr>
            <w:tcW w:w="1098" w:type="dxa"/>
            <w:tcBorders>
              <w:top w:val="nil"/>
              <w:left w:val="single" w:sz="4" w:space="0" w:color="auto"/>
              <w:bottom w:val="nil"/>
              <w:right w:val="single" w:sz="4" w:space="0" w:color="auto"/>
            </w:tcBorders>
            <w:tcMar>
              <w:left w:w="70" w:type="dxa"/>
              <w:right w:w="70" w:type="dxa"/>
            </w:tcMar>
            <w:vAlign w:val="center"/>
          </w:tcPr>
          <w:p w14:paraId="7F91DCDC" w14:textId="3F2973A9" w:rsidR="004F260B" w:rsidRPr="006B6D61" w:rsidRDefault="004F260B" w:rsidP="004F260B">
            <w:pPr>
              <w:spacing w:after="0" w:line="257" w:lineRule="auto"/>
              <w:jc w:val="right"/>
              <w:rPr>
                <w:rFonts w:ascii="Calibri" w:eastAsia="Calibri" w:hAnsi="Calibri" w:cs="Calibri"/>
                <w:sz w:val="20"/>
                <w:szCs w:val="20"/>
              </w:rPr>
            </w:pPr>
            <w:r w:rsidRPr="006B6D61">
              <w:rPr>
                <w:rFonts w:ascii="Calibri" w:eastAsia="Calibri" w:hAnsi="Calibri" w:cs="Calibri"/>
                <w:sz w:val="20"/>
                <w:szCs w:val="20"/>
              </w:rPr>
              <w:t>139</w:t>
            </w:r>
          </w:p>
        </w:tc>
        <w:tc>
          <w:tcPr>
            <w:tcW w:w="1098" w:type="dxa"/>
            <w:tcBorders>
              <w:top w:val="nil"/>
              <w:left w:val="single" w:sz="4" w:space="0" w:color="auto"/>
              <w:bottom w:val="nil"/>
              <w:right w:val="single" w:sz="4" w:space="0" w:color="auto"/>
            </w:tcBorders>
            <w:tcMar>
              <w:left w:w="70" w:type="dxa"/>
              <w:right w:w="70" w:type="dxa"/>
            </w:tcMar>
            <w:vAlign w:val="center"/>
          </w:tcPr>
          <w:p w14:paraId="28FAEC40" w14:textId="3446F13D" w:rsidR="004F260B" w:rsidRPr="0077128B" w:rsidRDefault="004F260B" w:rsidP="004F260B">
            <w:pPr>
              <w:spacing w:after="0" w:line="257" w:lineRule="auto"/>
              <w:jc w:val="right"/>
              <w:rPr>
                <w:rFonts w:ascii="Calibri" w:eastAsia="Calibri" w:hAnsi="Calibri" w:cs="Calibri"/>
                <w:color w:val="FF0000"/>
                <w:sz w:val="20"/>
                <w:szCs w:val="20"/>
              </w:rPr>
            </w:pPr>
            <w:r w:rsidRPr="00BE09F5">
              <w:rPr>
                <w:rFonts w:ascii="Calibri" w:eastAsia="Calibri" w:hAnsi="Calibri" w:cs="Calibri"/>
                <w:sz w:val="20"/>
                <w:szCs w:val="20"/>
              </w:rPr>
              <w:t>1</w:t>
            </w:r>
            <w:r>
              <w:rPr>
                <w:rFonts w:ascii="Calibri" w:eastAsia="Calibri" w:hAnsi="Calibri" w:cs="Calibri"/>
                <w:sz w:val="20"/>
                <w:szCs w:val="20"/>
              </w:rPr>
              <w:t>44</w:t>
            </w:r>
          </w:p>
        </w:tc>
        <w:tc>
          <w:tcPr>
            <w:tcW w:w="1098" w:type="dxa"/>
            <w:tcBorders>
              <w:top w:val="nil"/>
              <w:left w:val="single" w:sz="4" w:space="0" w:color="auto"/>
              <w:bottom w:val="nil"/>
              <w:right w:val="single" w:sz="4" w:space="0" w:color="auto"/>
            </w:tcBorders>
            <w:tcMar>
              <w:left w:w="70" w:type="dxa"/>
              <w:right w:w="70" w:type="dxa"/>
            </w:tcMar>
          </w:tcPr>
          <w:p w14:paraId="2E1640D7" w14:textId="20A18FA6" w:rsidR="004F260B" w:rsidRPr="0077128B" w:rsidRDefault="004F260B" w:rsidP="004F260B">
            <w:pPr>
              <w:spacing w:after="0" w:line="257" w:lineRule="auto"/>
              <w:jc w:val="right"/>
              <w:rPr>
                <w:rFonts w:ascii="Calibri" w:eastAsia="Calibri" w:hAnsi="Calibri" w:cs="Calibri"/>
                <w:color w:val="FF0000"/>
                <w:sz w:val="20"/>
                <w:szCs w:val="20"/>
              </w:rPr>
            </w:pPr>
            <w:r w:rsidRPr="00D9602B">
              <w:rPr>
                <w:rFonts w:ascii="Calibri" w:eastAsia="Calibri" w:hAnsi="Calibri" w:cs="Calibri"/>
                <w:sz w:val="20"/>
                <w:szCs w:val="20"/>
              </w:rPr>
              <w:t>14</w:t>
            </w:r>
            <w:r>
              <w:rPr>
                <w:rFonts w:ascii="Calibri" w:eastAsia="Calibri" w:hAnsi="Calibri" w:cs="Calibri"/>
                <w:sz w:val="20"/>
                <w:szCs w:val="20"/>
              </w:rPr>
              <w:t>4</w:t>
            </w:r>
          </w:p>
        </w:tc>
        <w:tc>
          <w:tcPr>
            <w:tcW w:w="1098" w:type="dxa"/>
            <w:tcBorders>
              <w:top w:val="nil"/>
              <w:left w:val="single" w:sz="4" w:space="0" w:color="auto"/>
              <w:bottom w:val="nil"/>
              <w:right w:val="single" w:sz="4" w:space="0" w:color="auto"/>
            </w:tcBorders>
            <w:tcMar>
              <w:left w:w="70" w:type="dxa"/>
              <w:right w:w="70" w:type="dxa"/>
            </w:tcMar>
          </w:tcPr>
          <w:p w14:paraId="59FDEBBE" w14:textId="711088A7" w:rsidR="004F260B" w:rsidRPr="0077128B" w:rsidRDefault="004F260B" w:rsidP="004F260B">
            <w:pPr>
              <w:spacing w:after="0" w:line="257" w:lineRule="auto"/>
              <w:jc w:val="right"/>
              <w:rPr>
                <w:rFonts w:ascii="Calibri" w:eastAsia="Calibri" w:hAnsi="Calibri" w:cs="Calibri"/>
                <w:color w:val="FF0000"/>
                <w:sz w:val="20"/>
                <w:szCs w:val="20"/>
              </w:rPr>
            </w:pPr>
            <w:r w:rsidRPr="00D9602B">
              <w:rPr>
                <w:rFonts w:ascii="Calibri" w:eastAsia="Calibri" w:hAnsi="Calibri" w:cs="Calibri"/>
                <w:sz w:val="20"/>
                <w:szCs w:val="20"/>
              </w:rPr>
              <w:t>14</w:t>
            </w:r>
            <w:r>
              <w:rPr>
                <w:rFonts w:ascii="Calibri" w:eastAsia="Calibri" w:hAnsi="Calibri" w:cs="Calibri"/>
                <w:sz w:val="20"/>
                <w:szCs w:val="20"/>
              </w:rPr>
              <w:t>4</w:t>
            </w:r>
          </w:p>
        </w:tc>
        <w:tc>
          <w:tcPr>
            <w:tcW w:w="1098" w:type="dxa"/>
            <w:tcBorders>
              <w:top w:val="nil"/>
              <w:left w:val="single" w:sz="4" w:space="0" w:color="auto"/>
              <w:bottom w:val="nil"/>
              <w:right w:val="single" w:sz="4" w:space="0" w:color="auto"/>
            </w:tcBorders>
            <w:tcMar>
              <w:left w:w="70" w:type="dxa"/>
              <w:right w:w="70" w:type="dxa"/>
            </w:tcMar>
          </w:tcPr>
          <w:p w14:paraId="7B579AD8" w14:textId="22575519" w:rsidR="004F260B" w:rsidRPr="0077128B" w:rsidRDefault="004F260B" w:rsidP="004F260B">
            <w:pPr>
              <w:spacing w:after="0" w:line="257" w:lineRule="auto"/>
              <w:jc w:val="right"/>
              <w:rPr>
                <w:rFonts w:ascii="Calibri" w:eastAsia="Calibri" w:hAnsi="Calibri" w:cs="Calibri"/>
                <w:color w:val="FF0000"/>
                <w:sz w:val="20"/>
                <w:szCs w:val="20"/>
              </w:rPr>
            </w:pPr>
            <w:r w:rsidRPr="00D9602B">
              <w:rPr>
                <w:rFonts w:ascii="Calibri" w:eastAsia="Calibri" w:hAnsi="Calibri" w:cs="Calibri"/>
                <w:sz w:val="20"/>
                <w:szCs w:val="20"/>
              </w:rPr>
              <w:t>14</w:t>
            </w:r>
            <w:r>
              <w:rPr>
                <w:rFonts w:ascii="Calibri" w:eastAsia="Calibri" w:hAnsi="Calibri" w:cs="Calibri"/>
                <w:sz w:val="20"/>
                <w:szCs w:val="20"/>
              </w:rPr>
              <w:t>4</w:t>
            </w:r>
          </w:p>
        </w:tc>
        <w:tc>
          <w:tcPr>
            <w:tcW w:w="677" w:type="dxa"/>
            <w:tcBorders>
              <w:top w:val="nil"/>
              <w:left w:val="single" w:sz="4" w:space="0" w:color="auto"/>
              <w:bottom w:val="nil"/>
              <w:right w:val="single" w:sz="4" w:space="0" w:color="auto"/>
            </w:tcBorders>
            <w:tcMar>
              <w:left w:w="70" w:type="dxa"/>
              <w:right w:w="70" w:type="dxa"/>
            </w:tcMar>
            <w:vAlign w:val="center"/>
          </w:tcPr>
          <w:p w14:paraId="4ED512A3" w14:textId="26084219" w:rsidR="004F260B" w:rsidRPr="0077128B" w:rsidRDefault="00BA24F0" w:rsidP="004F260B">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103,</w:t>
            </w:r>
            <w:r w:rsidR="00D05A89">
              <w:rPr>
                <w:rFonts w:ascii="Calibri" w:eastAsia="Calibri" w:hAnsi="Calibri" w:cs="Calibri"/>
                <w:sz w:val="20"/>
                <w:szCs w:val="20"/>
              </w:rPr>
              <w:t>6</w:t>
            </w:r>
          </w:p>
        </w:tc>
      </w:tr>
      <w:tr w:rsidR="004F260B" w:rsidRPr="0044012B" w14:paraId="3D3C09C7" w14:textId="77777777" w:rsidTr="00D3010F">
        <w:trPr>
          <w:trHeight w:val="300"/>
        </w:trPr>
        <w:tc>
          <w:tcPr>
            <w:tcW w:w="2830" w:type="dxa"/>
            <w:gridSpan w:val="2"/>
            <w:tcBorders>
              <w:top w:val="nil"/>
              <w:left w:val="single" w:sz="4" w:space="0" w:color="auto"/>
              <w:bottom w:val="nil"/>
              <w:right w:val="single" w:sz="4" w:space="0" w:color="auto"/>
            </w:tcBorders>
            <w:tcMar>
              <w:left w:w="70" w:type="dxa"/>
              <w:right w:w="70" w:type="dxa"/>
            </w:tcMar>
            <w:vAlign w:val="center"/>
          </w:tcPr>
          <w:p w14:paraId="1B25090A" w14:textId="2C271CFE" w:rsidR="004F260B" w:rsidRPr="006B6D61" w:rsidRDefault="004F260B" w:rsidP="004F260B">
            <w:pPr>
              <w:spacing w:after="0" w:line="257" w:lineRule="auto"/>
              <w:ind w:firstLine="4"/>
              <w:rPr>
                <w:rFonts w:ascii="Calibri" w:eastAsia="Calibri" w:hAnsi="Calibri" w:cs="Calibri"/>
                <w:sz w:val="20"/>
                <w:szCs w:val="20"/>
              </w:rPr>
            </w:pPr>
            <w:r w:rsidRPr="006B6D61">
              <w:rPr>
                <w:rFonts w:ascii="Calibri" w:eastAsia="Calibri" w:hAnsi="Calibri" w:cs="Calibri"/>
                <w:sz w:val="20"/>
                <w:szCs w:val="20"/>
              </w:rPr>
              <w:t>ostatní neinvestiční výdaje</w:t>
            </w:r>
          </w:p>
        </w:tc>
        <w:tc>
          <w:tcPr>
            <w:tcW w:w="1098" w:type="dxa"/>
            <w:tcBorders>
              <w:top w:val="nil"/>
              <w:left w:val="single" w:sz="4" w:space="0" w:color="auto"/>
              <w:bottom w:val="nil"/>
              <w:right w:val="single" w:sz="4" w:space="0" w:color="auto"/>
            </w:tcBorders>
            <w:tcMar>
              <w:left w:w="70" w:type="dxa"/>
              <w:right w:w="70" w:type="dxa"/>
            </w:tcMar>
            <w:vAlign w:val="center"/>
          </w:tcPr>
          <w:p w14:paraId="13F6AC29" w14:textId="25DC7507" w:rsidR="004F260B" w:rsidRPr="006B6D61" w:rsidRDefault="004F260B" w:rsidP="004F260B">
            <w:pPr>
              <w:spacing w:after="0" w:line="257" w:lineRule="auto"/>
              <w:jc w:val="right"/>
              <w:rPr>
                <w:rFonts w:ascii="Calibri" w:eastAsia="Calibri" w:hAnsi="Calibri" w:cs="Calibri"/>
                <w:sz w:val="20"/>
                <w:szCs w:val="20"/>
              </w:rPr>
            </w:pPr>
            <w:r w:rsidRPr="006B6D61">
              <w:rPr>
                <w:rFonts w:ascii="Calibri" w:eastAsia="Calibri" w:hAnsi="Calibri" w:cs="Calibri"/>
                <w:sz w:val="20"/>
                <w:szCs w:val="20"/>
              </w:rPr>
              <w:t>15 633</w:t>
            </w:r>
          </w:p>
        </w:tc>
        <w:tc>
          <w:tcPr>
            <w:tcW w:w="1098" w:type="dxa"/>
            <w:tcBorders>
              <w:top w:val="nil"/>
              <w:left w:val="single" w:sz="4" w:space="0" w:color="auto"/>
              <w:bottom w:val="nil"/>
              <w:right w:val="single" w:sz="4" w:space="0" w:color="auto"/>
            </w:tcBorders>
            <w:tcMar>
              <w:left w:w="70" w:type="dxa"/>
              <w:right w:w="70" w:type="dxa"/>
            </w:tcMar>
            <w:vAlign w:val="center"/>
          </w:tcPr>
          <w:p w14:paraId="1B630072" w14:textId="6AD7794E" w:rsidR="004F260B" w:rsidRPr="0077128B" w:rsidRDefault="00C2487A" w:rsidP="004F260B">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13 620</w:t>
            </w:r>
          </w:p>
        </w:tc>
        <w:tc>
          <w:tcPr>
            <w:tcW w:w="1098" w:type="dxa"/>
            <w:tcBorders>
              <w:top w:val="nil"/>
              <w:left w:val="single" w:sz="4" w:space="0" w:color="auto"/>
              <w:bottom w:val="nil"/>
              <w:right w:val="single" w:sz="4" w:space="0" w:color="auto"/>
            </w:tcBorders>
            <w:tcMar>
              <w:left w:w="70" w:type="dxa"/>
              <w:right w:w="70" w:type="dxa"/>
            </w:tcMar>
            <w:vAlign w:val="center"/>
          </w:tcPr>
          <w:p w14:paraId="24ACD91A" w14:textId="2501A3AB" w:rsidR="004F260B" w:rsidRPr="0077128B" w:rsidRDefault="00D65E26" w:rsidP="004F260B">
            <w:pPr>
              <w:spacing w:after="0" w:line="257" w:lineRule="auto"/>
              <w:jc w:val="right"/>
              <w:rPr>
                <w:rFonts w:ascii="Calibri" w:eastAsia="Calibri" w:hAnsi="Calibri" w:cs="Calibri"/>
                <w:color w:val="FF0000"/>
                <w:sz w:val="20"/>
                <w:szCs w:val="20"/>
                <w:highlight w:val="yellow"/>
              </w:rPr>
            </w:pPr>
            <w:r>
              <w:rPr>
                <w:rFonts w:ascii="Calibri" w:eastAsia="Calibri" w:hAnsi="Calibri" w:cs="Calibri"/>
                <w:sz w:val="20"/>
                <w:szCs w:val="20"/>
              </w:rPr>
              <w:t>17 428</w:t>
            </w:r>
          </w:p>
        </w:tc>
        <w:tc>
          <w:tcPr>
            <w:tcW w:w="1098" w:type="dxa"/>
            <w:tcBorders>
              <w:top w:val="nil"/>
              <w:left w:val="single" w:sz="4" w:space="0" w:color="auto"/>
              <w:bottom w:val="nil"/>
              <w:right w:val="single" w:sz="4" w:space="0" w:color="auto"/>
            </w:tcBorders>
            <w:tcMar>
              <w:left w:w="70" w:type="dxa"/>
              <w:right w:w="70" w:type="dxa"/>
            </w:tcMar>
            <w:vAlign w:val="center"/>
          </w:tcPr>
          <w:p w14:paraId="232719B7" w14:textId="4B9E8039" w:rsidR="004F260B" w:rsidRPr="0077128B" w:rsidRDefault="00AC0FC5" w:rsidP="004F260B">
            <w:pPr>
              <w:spacing w:after="0" w:line="257" w:lineRule="auto"/>
              <w:jc w:val="right"/>
              <w:rPr>
                <w:rFonts w:ascii="Calibri" w:eastAsia="Calibri" w:hAnsi="Calibri" w:cs="Calibri"/>
                <w:color w:val="FF0000"/>
                <w:sz w:val="20"/>
                <w:szCs w:val="20"/>
                <w:highlight w:val="yellow"/>
              </w:rPr>
            </w:pPr>
            <w:r>
              <w:rPr>
                <w:rFonts w:ascii="Calibri" w:eastAsia="Calibri" w:hAnsi="Calibri" w:cs="Calibri"/>
                <w:sz w:val="20"/>
                <w:szCs w:val="20"/>
              </w:rPr>
              <w:t xml:space="preserve">25 </w:t>
            </w:r>
            <w:r w:rsidR="00A16BF2">
              <w:rPr>
                <w:rFonts w:ascii="Calibri" w:eastAsia="Calibri" w:hAnsi="Calibri" w:cs="Calibri"/>
                <w:sz w:val="20"/>
                <w:szCs w:val="20"/>
              </w:rPr>
              <w:t>676</w:t>
            </w:r>
          </w:p>
        </w:tc>
        <w:tc>
          <w:tcPr>
            <w:tcW w:w="1098" w:type="dxa"/>
            <w:tcBorders>
              <w:top w:val="nil"/>
              <w:left w:val="single" w:sz="4" w:space="0" w:color="auto"/>
              <w:bottom w:val="nil"/>
              <w:right w:val="single" w:sz="4" w:space="0" w:color="auto"/>
            </w:tcBorders>
            <w:tcMar>
              <w:left w:w="70" w:type="dxa"/>
              <w:right w:w="70" w:type="dxa"/>
            </w:tcMar>
            <w:vAlign w:val="center"/>
          </w:tcPr>
          <w:p w14:paraId="7B30EAEA" w14:textId="0020D205" w:rsidR="004F260B" w:rsidRPr="0077128B" w:rsidRDefault="00551127" w:rsidP="004F260B">
            <w:pPr>
              <w:spacing w:after="0" w:line="257" w:lineRule="auto"/>
              <w:jc w:val="right"/>
              <w:rPr>
                <w:rFonts w:ascii="Calibri" w:eastAsia="Calibri" w:hAnsi="Calibri" w:cs="Calibri"/>
                <w:color w:val="FF0000"/>
                <w:sz w:val="20"/>
                <w:szCs w:val="20"/>
                <w:highlight w:val="yellow"/>
              </w:rPr>
            </w:pPr>
            <w:r>
              <w:rPr>
                <w:rFonts w:ascii="Calibri" w:eastAsia="Calibri" w:hAnsi="Calibri" w:cs="Calibri"/>
                <w:sz w:val="20"/>
                <w:szCs w:val="20"/>
              </w:rPr>
              <w:t>24</w:t>
            </w:r>
            <w:r w:rsidR="006F26D6">
              <w:rPr>
                <w:rFonts w:ascii="Calibri" w:eastAsia="Calibri" w:hAnsi="Calibri" w:cs="Calibri"/>
                <w:sz w:val="20"/>
                <w:szCs w:val="20"/>
              </w:rPr>
              <w:t xml:space="preserve"> 544</w:t>
            </w:r>
          </w:p>
        </w:tc>
        <w:tc>
          <w:tcPr>
            <w:tcW w:w="677" w:type="dxa"/>
            <w:tcBorders>
              <w:top w:val="nil"/>
              <w:left w:val="single" w:sz="4" w:space="0" w:color="auto"/>
              <w:bottom w:val="nil"/>
              <w:right w:val="single" w:sz="4" w:space="0" w:color="auto"/>
            </w:tcBorders>
            <w:tcMar>
              <w:left w:w="70" w:type="dxa"/>
              <w:right w:w="70" w:type="dxa"/>
            </w:tcMar>
            <w:vAlign w:val="center"/>
          </w:tcPr>
          <w:p w14:paraId="15BA79F1" w14:textId="06FEEDE5" w:rsidR="004F260B" w:rsidRPr="0077128B" w:rsidRDefault="00551127" w:rsidP="004F260B">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157,0</w:t>
            </w:r>
          </w:p>
        </w:tc>
      </w:tr>
      <w:tr w:rsidR="004F260B" w:rsidRPr="0044012B" w14:paraId="2D9825E6" w14:textId="77777777" w:rsidTr="00D3010F">
        <w:trPr>
          <w:trHeight w:val="300"/>
        </w:trPr>
        <w:tc>
          <w:tcPr>
            <w:tcW w:w="2830" w:type="dxa"/>
            <w:gridSpan w:val="2"/>
            <w:tcBorders>
              <w:top w:val="nil"/>
              <w:left w:val="single" w:sz="4" w:space="0" w:color="auto"/>
              <w:bottom w:val="single" w:sz="4" w:space="0" w:color="auto"/>
              <w:right w:val="single" w:sz="4" w:space="0" w:color="auto"/>
            </w:tcBorders>
            <w:tcMar>
              <w:left w:w="70" w:type="dxa"/>
              <w:right w:w="70" w:type="dxa"/>
            </w:tcMar>
            <w:vAlign w:val="center"/>
          </w:tcPr>
          <w:p w14:paraId="5B13087E" w14:textId="24CE6982" w:rsidR="004F260B" w:rsidRPr="006B6D61" w:rsidRDefault="004F260B" w:rsidP="004F260B">
            <w:pPr>
              <w:spacing w:after="0" w:line="257" w:lineRule="auto"/>
              <w:ind w:firstLine="4"/>
              <w:rPr>
                <w:rFonts w:ascii="Calibri" w:eastAsia="Calibri" w:hAnsi="Calibri" w:cs="Calibri"/>
                <w:sz w:val="20"/>
                <w:szCs w:val="20"/>
              </w:rPr>
            </w:pPr>
            <w:r w:rsidRPr="006B6D61">
              <w:rPr>
                <w:rFonts w:ascii="Calibri" w:eastAsia="Calibri" w:hAnsi="Calibri" w:cs="Calibri"/>
                <w:sz w:val="20"/>
                <w:szCs w:val="20"/>
              </w:rPr>
              <w:t>z toho: RISPF</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035DF136" w14:textId="308D89DB" w:rsidR="004F260B" w:rsidRPr="006B6D61" w:rsidRDefault="004F260B" w:rsidP="004F260B">
            <w:pPr>
              <w:spacing w:after="0" w:line="257" w:lineRule="auto"/>
              <w:jc w:val="right"/>
              <w:rPr>
                <w:rFonts w:ascii="Calibri" w:eastAsia="Calibri" w:hAnsi="Calibri" w:cs="Calibri"/>
                <w:sz w:val="20"/>
                <w:szCs w:val="20"/>
              </w:rPr>
            </w:pPr>
            <w:r w:rsidRPr="006B6D61">
              <w:rPr>
                <w:rFonts w:ascii="Calibri" w:eastAsia="Calibri" w:hAnsi="Calibri" w:cs="Calibri"/>
                <w:sz w:val="20"/>
                <w:szCs w:val="20"/>
              </w:rPr>
              <w:t>0</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1BF4A414" w14:textId="40EE5B58" w:rsidR="004F260B" w:rsidRPr="006B6D61" w:rsidRDefault="004F260B" w:rsidP="004F260B">
            <w:pPr>
              <w:spacing w:after="0" w:line="257" w:lineRule="auto"/>
              <w:jc w:val="right"/>
              <w:rPr>
                <w:rFonts w:ascii="Calibri" w:eastAsia="Calibri" w:hAnsi="Calibri" w:cs="Calibri"/>
                <w:sz w:val="20"/>
                <w:szCs w:val="20"/>
              </w:rPr>
            </w:pPr>
            <w:r w:rsidRPr="00A53FAE">
              <w:rPr>
                <w:rFonts w:ascii="Calibri" w:eastAsia="Calibri" w:hAnsi="Calibri" w:cs="Calibri"/>
                <w:sz w:val="20"/>
                <w:szCs w:val="20"/>
              </w:rPr>
              <w:t>0</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43DA1444" w14:textId="13330F12" w:rsidR="004F260B" w:rsidRPr="006B6D61" w:rsidRDefault="004F260B" w:rsidP="004F260B">
            <w:pPr>
              <w:spacing w:after="0" w:line="257" w:lineRule="auto"/>
              <w:jc w:val="right"/>
              <w:rPr>
                <w:rFonts w:ascii="Calibri" w:eastAsia="Calibri" w:hAnsi="Calibri" w:cs="Calibri"/>
                <w:sz w:val="20"/>
                <w:szCs w:val="20"/>
              </w:rPr>
            </w:pPr>
            <w:r w:rsidRPr="00A53FAE">
              <w:rPr>
                <w:rFonts w:ascii="Calibri" w:eastAsia="Calibri" w:hAnsi="Calibri" w:cs="Calibri"/>
                <w:sz w:val="20"/>
                <w:szCs w:val="20"/>
              </w:rPr>
              <w:t>0</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3302B3E6" w14:textId="28D5DFAF" w:rsidR="004F260B" w:rsidRPr="0077128B" w:rsidRDefault="004F260B" w:rsidP="004F260B">
            <w:pPr>
              <w:spacing w:after="0" w:line="257" w:lineRule="auto"/>
              <w:jc w:val="right"/>
              <w:rPr>
                <w:rFonts w:ascii="Calibri" w:eastAsia="Calibri" w:hAnsi="Calibri" w:cs="Calibri"/>
                <w:color w:val="FF0000"/>
                <w:sz w:val="20"/>
                <w:szCs w:val="20"/>
              </w:rPr>
            </w:pPr>
            <w:r w:rsidRPr="00E55359">
              <w:rPr>
                <w:rFonts w:ascii="Calibri" w:eastAsia="Calibri" w:hAnsi="Calibri" w:cs="Calibri"/>
                <w:sz w:val="20"/>
                <w:szCs w:val="20"/>
              </w:rPr>
              <w:t>0</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3DF09F24" w14:textId="2FF3149E" w:rsidR="004F260B" w:rsidRPr="0077128B" w:rsidRDefault="004F260B" w:rsidP="004F260B">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0</w:t>
            </w:r>
          </w:p>
        </w:tc>
        <w:tc>
          <w:tcPr>
            <w:tcW w:w="677" w:type="dxa"/>
            <w:tcBorders>
              <w:top w:val="nil"/>
              <w:left w:val="single" w:sz="4" w:space="0" w:color="auto"/>
              <w:bottom w:val="single" w:sz="4" w:space="0" w:color="auto"/>
              <w:right w:val="single" w:sz="4" w:space="0" w:color="auto"/>
            </w:tcBorders>
            <w:tcMar>
              <w:left w:w="70" w:type="dxa"/>
              <w:right w:w="70" w:type="dxa"/>
            </w:tcMar>
            <w:vAlign w:val="center"/>
          </w:tcPr>
          <w:p w14:paraId="1621E777" w14:textId="1B6AB549" w:rsidR="004F260B" w:rsidRPr="0077128B" w:rsidRDefault="004F260B" w:rsidP="004F260B">
            <w:pPr>
              <w:spacing w:after="0" w:line="257" w:lineRule="auto"/>
              <w:jc w:val="right"/>
              <w:rPr>
                <w:rFonts w:ascii="Calibri" w:eastAsia="Calibri" w:hAnsi="Calibri" w:cs="Calibri"/>
                <w:color w:val="FF0000"/>
                <w:sz w:val="20"/>
                <w:szCs w:val="20"/>
              </w:rPr>
            </w:pPr>
            <w:r w:rsidRPr="000D6537">
              <w:rPr>
                <w:rFonts w:ascii="Calibri" w:eastAsia="Calibri" w:hAnsi="Calibri" w:cs="Calibri"/>
                <w:sz w:val="20"/>
                <w:szCs w:val="20"/>
              </w:rPr>
              <w:t>x</w:t>
            </w:r>
          </w:p>
        </w:tc>
      </w:tr>
      <w:tr w:rsidR="004E29DE" w:rsidRPr="0044012B" w14:paraId="5E0E279D" w14:textId="77777777" w:rsidTr="006B6D61">
        <w:trPr>
          <w:trHeight w:val="260"/>
        </w:trPr>
        <w:tc>
          <w:tcPr>
            <w:tcW w:w="2830" w:type="dxa"/>
            <w:gridSpan w:val="2"/>
            <w:tcBorders>
              <w:top w:val="single" w:sz="4" w:space="0" w:color="auto"/>
              <w:left w:val="single" w:sz="4" w:space="0" w:color="auto"/>
              <w:bottom w:val="nil"/>
              <w:right w:val="single" w:sz="4" w:space="0" w:color="auto"/>
            </w:tcBorders>
            <w:tcMar>
              <w:left w:w="70" w:type="dxa"/>
              <w:right w:w="70" w:type="dxa"/>
            </w:tcMar>
            <w:vAlign w:val="center"/>
          </w:tcPr>
          <w:p w14:paraId="2CB567D7" w14:textId="3093A04B" w:rsidR="004E29DE" w:rsidRPr="006B6D61" w:rsidRDefault="004E29DE" w:rsidP="004E29DE">
            <w:pPr>
              <w:spacing w:after="0" w:line="257" w:lineRule="auto"/>
              <w:rPr>
                <w:rFonts w:ascii="Calibri" w:eastAsia="Calibri" w:hAnsi="Calibri" w:cs="Calibri"/>
                <w:sz w:val="20"/>
                <w:szCs w:val="20"/>
              </w:rPr>
            </w:pPr>
            <w:r w:rsidRPr="006B6D61">
              <w:rPr>
                <w:rFonts w:ascii="Calibri" w:eastAsia="Calibri" w:hAnsi="Calibri" w:cs="Calibri"/>
                <w:b/>
                <w:bCs/>
                <w:sz w:val="20"/>
                <w:szCs w:val="20"/>
              </w:rPr>
              <w:t xml:space="preserve">Kapitálové výdaje </w:t>
            </w:r>
            <w:r w:rsidRPr="006B6D61">
              <w:rPr>
                <w:rFonts w:ascii="Calibri" w:eastAsia="Calibri" w:hAnsi="Calibri" w:cs="Calibri"/>
                <w:sz w:val="20"/>
                <w:szCs w:val="20"/>
              </w:rPr>
              <w:t>(v tom:)</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12C8FC97" w14:textId="67B97AB9" w:rsidR="004E29DE" w:rsidRPr="006B6D61" w:rsidRDefault="004E29DE" w:rsidP="004E29DE">
            <w:pPr>
              <w:spacing w:after="0" w:line="257" w:lineRule="auto"/>
              <w:jc w:val="right"/>
              <w:rPr>
                <w:rFonts w:ascii="Calibri" w:eastAsia="Calibri" w:hAnsi="Calibri" w:cs="Calibri"/>
                <w:b/>
                <w:bCs/>
                <w:sz w:val="20"/>
                <w:szCs w:val="20"/>
              </w:rPr>
            </w:pPr>
            <w:r w:rsidRPr="006B6D61">
              <w:rPr>
                <w:rFonts w:ascii="Calibri" w:eastAsia="Calibri" w:hAnsi="Calibri" w:cs="Calibri"/>
                <w:b/>
                <w:bCs/>
                <w:sz w:val="20"/>
                <w:szCs w:val="20"/>
              </w:rPr>
              <w:t>461</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035ACD42" w14:textId="51A5F6CE" w:rsidR="004E29DE" w:rsidRPr="006B6D61" w:rsidRDefault="004E29DE" w:rsidP="004E29DE">
            <w:pPr>
              <w:spacing w:after="0" w:line="257" w:lineRule="auto"/>
              <w:jc w:val="right"/>
              <w:rPr>
                <w:rFonts w:ascii="Calibri" w:eastAsia="Calibri" w:hAnsi="Calibri" w:cs="Calibri"/>
                <w:b/>
                <w:bCs/>
                <w:sz w:val="20"/>
                <w:szCs w:val="20"/>
              </w:rPr>
            </w:pPr>
            <w:r w:rsidRPr="006B6D61">
              <w:rPr>
                <w:rFonts w:ascii="Calibri" w:eastAsia="Calibri" w:hAnsi="Calibri" w:cs="Calibri"/>
                <w:b/>
                <w:bCs/>
                <w:sz w:val="20"/>
                <w:szCs w:val="20"/>
              </w:rPr>
              <w:t>950</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4A0B65F8" w14:textId="66FA1061" w:rsidR="004E29DE" w:rsidRPr="006B6D61" w:rsidRDefault="004E29DE" w:rsidP="004E29DE">
            <w:pPr>
              <w:spacing w:after="0" w:line="257" w:lineRule="auto"/>
              <w:jc w:val="right"/>
              <w:rPr>
                <w:rFonts w:ascii="Calibri" w:eastAsia="Calibri" w:hAnsi="Calibri" w:cs="Calibri"/>
                <w:b/>
                <w:bCs/>
                <w:sz w:val="20"/>
                <w:szCs w:val="20"/>
              </w:rPr>
            </w:pPr>
            <w:r w:rsidRPr="00C511FC">
              <w:rPr>
                <w:rFonts w:ascii="Calibri" w:eastAsia="Calibri" w:hAnsi="Calibri" w:cs="Calibri"/>
                <w:b/>
                <w:bCs/>
                <w:sz w:val="20"/>
                <w:szCs w:val="20"/>
              </w:rPr>
              <w:t>950</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4C319F3B" w14:textId="6FE654E3" w:rsidR="004E29DE" w:rsidRPr="0077128B" w:rsidRDefault="00E607D5" w:rsidP="004E29DE">
            <w:pPr>
              <w:spacing w:after="0" w:line="257" w:lineRule="auto"/>
              <w:jc w:val="right"/>
              <w:rPr>
                <w:rFonts w:ascii="Calibri" w:eastAsia="Calibri" w:hAnsi="Calibri" w:cs="Calibri"/>
                <w:b/>
                <w:bCs/>
                <w:color w:val="FF0000"/>
                <w:sz w:val="20"/>
                <w:szCs w:val="20"/>
              </w:rPr>
            </w:pPr>
            <w:r>
              <w:rPr>
                <w:rFonts w:ascii="Calibri" w:eastAsia="Calibri" w:hAnsi="Calibri" w:cs="Calibri"/>
                <w:b/>
                <w:bCs/>
                <w:sz w:val="20"/>
                <w:szCs w:val="20"/>
              </w:rPr>
              <w:t>5 655</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13752701" w14:textId="725383F2" w:rsidR="004E29DE" w:rsidRPr="0077128B" w:rsidRDefault="004E29DE" w:rsidP="004E29DE">
            <w:pPr>
              <w:spacing w:after="0" w:line="257" w:lineRule="auto"/>
              <w:jc w:val="right"/>
              <w:rPr>
                <w:rFonts w:ascii="Calibri" w:eastAsia="Calibri" w:hAnsi="Calibri" w:cs="Calibri"/>
                <w:b/>
                <w:bCs/>
                <w:color w:val="FF0000"/>
                <w:sz w:val="20"/>
                <w:szCs w:val="20"/>
              </w:rPr>
            </w:pPr>
            <w:r w:rsidRPr="00C63907">
              <w:rPr>
                <w:rFonts w:ascii="Calibri" w:eastAsia="Calibri" w:hAnsi="Calibri" w:cs="Calibri"/>
                <w:b/>
                <w:bCs/>
                <w:sz w:val="20"/>
                <w:szCs w:val="20"/>
              </w:rPr>
              <w:t>2 818</w:t>
            </w:r>
          </w:p>
        </w:tc>
        <w:tc>
          <w:tcPr>
            <w:tcW w:w="677" w:type="dxa"/>
            <w:tcBorders>
              <w:top w:val="single" w:sz="4" w:space="0" w:color="auto"/>
              <w:left w:val="single" w:sz="4" w:space="0" w:color="auto"/>
              <w:bottom w:val="nil"/>
              <w:right w:val="single" w:sz="4" w:space="0" w:color="auto"/>
            </w:tcBorders>
            <w:tcMar>
              <w:left w:w="70" w:type="dxa"/>
              <w:right w:w="70" w:type="dxa"/>
            </w:tcMar>
            <w:vAlign w:val="center"/>
          </w:tcPr>
          <w:p w14:paraId="0EAD7A56" w14:textId="2DC0A20A" w:rsidR="004E29DE" w:rsidRPr="006B6D61" w:rsidRDefault="006D70DF" w:rsidP="004E29DE">
            <w:pPr>
              <w:spacing w:after="0" w:line="257" w:lineRule="auto"/>
              <w:jc w:val="right"/>
              <w:rPr>
                <w:rFonts w:ascii="Calibri" w:eastAsia="Calibri" w:hAnsi="Calibri" w:cs="Calibri"/>
                <w:b/>
                <w:sz w:val="20"/>
                <w:szCs w:val="20"/>
              </w:rPr>
            </w:pPr>
            <w:r>
              <w:rPr>
                <w:rFonts w:ascii="Calibri" w:eastAsia="Calibri" w:hAnsi="Calibri" w:cs="Calibri"/>
                <w:b/>
                <w:sz w:val="20"/>
                <w:szCs w:val="20"/>
              </w:rPr>
              <w:t>611,3</w:t>
            </w:r>
          </w:p>
        </w:tc>
      </w:tr>
      <w:tr w:rsidR="004E29DE" w:rsidRPr="0044012B" w14:paraId="5032A147" w14:textId="77777777" w:rsidTr="00D3010F">
        <w:trPr>
          <w:trHeight w:val="300"/>
        </w:trPr>
        <w:tc>
          <w:tcPr>
            <w:tcW w:w="2830" w:type="dxa"/>
            <w:gridSpan w:val="2"/>
            <w:tcBorders>
              <w:top w:val="nil"/>
              <w:left w:val="single" w:sz="4" w:space="0" w:color="auto"/>
              <w:bottom w:val="single" w:sz="8" w:space="0" w:color="auto"/>
              <w:right w:val="single" w:sz="4" w:space="0" w:color="auto"/>
            </w:tcBorders>
            <w:tcMar>
              <w:left w:w="70" w:type="dxa"/>
              <w:right w:w="70" w:type="dxa"/>
            </w:tcMar>
            <w:vAlign w:val="center"/>
          </w:tcPr>
          <w:p w14:paraId="116217C8" w14:textId="47A2638E" w:rsidR="004E29DE" w:rsidRPr="006B6D61" w:rsidRDefault="004E29DE" w:rsidP="004E29DE">
            <w:pPr>
              <w:spacing w:after="0" w:line="257" w:lineRule="auto"/>
              <w:ind w:left="6" w:hanging="6"/>
              <w:rPr>
                <w:rFonts w:ascii="Calibri" w:eastAsia="Calibri" w:hAnsi="Calibri" w:cs="Calibri"/>
                <w:sz w:val="20"/>
                <w:szCs w:val="20"/>
              </w:rPr>
            </w:pPr>
            <w:r w:rsidRPr="006B6D61">
              <w:rPr>
                <w:rFonts w:ascii="Calibri" w:eastAsia="Calibri" w:hAnsi="Calibri" w:cs="Calibri"/>
                <w:sz w:val="20"/>
                <w:szCs w:val="20"/>
              </w:rPr>
              <w:t>RISPF</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25FD7E74" w14:textId="52151919" w:rsidR="004E29DE" w:rsidRPr="006B6D61" w:rsidRDefault="004E29DE" w:rsidP="004E29DE">
            <w:pPr>
              <w:spacing w:after="0" w:line="257" w:lineRule="auto"/>
              <w:jc w:val="right"/>
              <w:rPr>
                <w:rFonts w:ascii="Calibri" w:eastAsia="Calibri" w:hAnsi="Calibri" w:cs="Calibri"/>
                <w:sz w:val="20"/>
                <w:szCs w:val="20"/>
              </w:rPr>
            </w:pPr>
            <w:r w:rsidRPr="006B6D61">
              <w:rPr>
                <w:rFonts w:ascii="Calibri" w:eastAsia="Calibri" w:hAnsi="Calibri" w:cs="Calibri"/>
                <w:sz w:val="20"/>
                <w:szCs w:val="20"/>
              </w:rPr>
              <w:t>461</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6924E542" w14:textId="0E70A828" w:rsidR="004E29DE" w:rsidRPr="005C6628" w:rsidRDefault="004E29DE" w:rsidP="004E29DE">
            <w:pPr>
              <w:spacing w:after="0" w:line="257" w:lineRule="auto"/>
              <w:jc w:val="right"/>
              <w:rPr>
                <w:rFonts w:ascii="Calibri" w:eastAsia="Calibri" w:hAnsi="Calibri" w:cs="Calibri"/>
                <w:color w:val="FF0000"/>
                <w:sz w:val="20"/>
                <w:szCs w:val="20"/>
              </w:rPr>
            </w:pPr>
            <w:r w:rsidRPr="006B6D61">
              <w:rPr>
                <w:rFonts w:ascii="Calibri" w:eastAsia="Calibri" w:hAnsi="Calibri" w:cs="Calibri"/>
                <w:sz w:val="20"/>
                <w:szCs w:val="20"/>
              </w:rPr>
              <w:t>950</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70883D0D" w14:textId="12EFB25E" w:rsidR="004E29DE" w:rsidRPr="005C6628" w:rsidRDefault="004E29DE" w:rsidP="004E29DE">
            <w:pPr>
              <w:spacing w:after="0" w:line="257" w:lineRule="auto"/>
              <w:jc w:val="right"/>
              <w:rPr>
                <w:rFonts w:ascii="Calibri" w:eastAsia="Calibri" w:hAnsi="Calibri" w:cs="Calibri"/>
                <w:color w:val="FF0000"/>
                <w:sz w:val="20"/>
                <w:szCs w:val="20"/>
              </w:rPr>
            </w:pPr>
            <w:r w:rsidRPr="00C511FC">
              <w:rPr>
                <w:rFonts w:ascii="Calibri" w:eastAsia="Calibri" w:hAnsi="Calibri" w:cs="Calibri"/>
                <w:sz w:val="20"/>
                <w:szCs w:val="20"/>
              </w:rPr>
              <w:t>950</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6DCF82A9" w14:textId="11D0E19A" w:rsidR="004E29DE" w:rsidRPr="005C6628" w:rsidRDefault="00507A2A" w:rsidP="004E29DE">
            <w:pPr>
              <w:spacing w:after="0" w:line="257" w:lineRule="auto"/>
              <w:jc w:val="right"/>
              <w:rPr>
                <w:rFonts w:ascii="Calibri" w:eastAsia="Calibri" w:hAnsi="Calibri" w:cs="Calibri"/>
                <w:color w:val="FF0000"/>
                <w:sz w:val="20"/>
                <w:szCs w:val="20"/>
              </w:rPr>
            </w:pPr>
            <w:r>
              <w:rPr>
                <w:rFonts w:ascii="Calibri" w:eastAsia="Calibri" w:hAnsi="Calibri" w:cs="Calibri"/>
                <w:sz w:val="20"/>
                <w:szCs w:val="20"/>
              </w:rPr>
              <w:t>5 655</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567594FE" w14:textId="156B78F6" w:rsidR="004E29DE" w:rsidRPr="0077128B" w:rsidRDefault="004E29DE" w:rsidP="004E29DE">
            <w:pPr>
              <w:spacing w:after="0" w:line="257" w:lineRule="auto"/>
              <w:jc w:val="right"/>
              <w:rPr>
                <w:rFonts w:ascii="Calibri" w:eastAsia="Calibri" w:hAnsi="Calibri" w:cs="Calibri"/>
                <w:color w:val="FF0000"/>
                <w:sz w:val="20"/>
                <w:szCs w:val="20"/>
              </w:rPr>
            </w:pPr>
            <w:r w:rsidRPr="00C63907">
              <w:rPr>
                <w:rFonts w:ascii="Calibri" w:eastAsia="Calibri" w:hAnsi="Calibri" w:cs="Calibri"/>
                <w:sz w:val="20"/>
                <w:szCs w:val="20"/>
              </w:rPr>
              <w:t>2 818</w:t>
            </w:r>
          </w:p>
        </w:tc>
        <w:tc>
          <w:tcPr>
            <w:tcW w:w="677" w:type="dxa"/>
            <w:tcBorders>
              <w:top w:val="nil"/>
              <w:left w:val="single" w:sz="4" w:space="0" w:color="auto"/>
              <w:bottom w:val="single" w:sz="8" w:space="0" w:color="auto"/>
              <w:right w:val="single" w:sz="4" w:space="0" w:color="auto"/>
            </w:tcBorders>
            <w:tcMar>
              <w:left w:w="70" w:type="dxa"/>
              <w:right w:w="70" w:type="dxa"/>
            </w:tcMar>
            <w:vAlign w:val="center"/>
          </w:tcPr>
          <w:p w14:paraId="6C1C1038" w14:textId="7D2342AF" w:rsidR="004E29DE" w:rsidRPr="006B6D61" w:rsidRDefault="00E77BBA" w:rsidP="004E29DE">
            <w:pPr>
              <w:spacing w:after="0" w:line="257" w:lineRule="auto"/>
              <w:jc w:val="right"/>
              <w:rPr>
                <w:rFonts w:ascii="Calibri" w:eastAsia="Calibri" w:hAnsi="Calibri" w:cs="Calibri"/>
                <w:sz w:val="20"/>
                <w:szCs w:val="20"/>
              </w:rPr>
            </w:pPr>
            <w:r>
              <w:rPr>
                <w:rFonts w:ascii="Calibri" w:eastAsia="Calibri" w:hAnsi="Calibri" w:cs="Calibri"/>
                <w:sz w:val="20"/>
                <w:szCs w:val="20"/>
              </w:rPr>
              <w:t>611,3</w:t>
            </w:r>
          </w:p>
        </w:tc>
      </w:tr>
    </w:tbl>
    <w:p w14:paraId="0DC1270B" w14:textId="59334B5D" w:rsidR="00C95EF0" w:rsidRPr="00C511FC" w:rsidRDefault="00C95EF0" w:rsidP="00C95EF0">
      <w:pPr>
        <w:pStyle w:val="KOMtext"/>
      </w:pPr>
      <w:r w:rsidRPr="00DB2C0E">
        <w:rPr>
          <w:rFonts w:eastAsia="Calibri"/>
        </w:rPr>
        <w:lastRenderedPageBreak/>
        <w:t xml:space="preserve">Schválený rozpočet Ředitelství vodních cest ČR byl ve výši </w:t>
      </w:r>
      <w:r w:rsidR="008B6ED3">
        <w:rPr>
          <w:rFonts w:eastAsia="Calibri"/>
        </w:rPr>
        <w:t>24 632</w:t>
      </w:r>
      <w:r w:rsidRPr="00C511FC">
        <w:rPr>
          <w:rFonts w:eastAsia="Calibri"/>
        </w:rPr>
        <w:t xml:space="preserve"> </w:t>
      </w:r>
      <w:r w:rsidRPr="003C7734">
        <w:rPr>
          <w:rFonts w:eastAsia="Calibri"/>
        </w:rPr>
        <w:t xml:space="preserve">tis. Kč. </w:t>
      </w:r>
      <w:r w:rsidRPr="00DB2C0E">
        <w:rPr>
          <w:rFonts w:eastAsia="Calibri"/>
        </w:rPr>
        <w:t xml:space="preserve">V průběhu roku byl rozpočet navýšen </w:t>
      </w:r>
      <w:r w:rsidRPr="000E1360">
        <w:rPr>
          <w:rFonts w:eastAsia="Calibri"/>
        </w:rPr>
        <w:t xml:space="preserve">o </w:t>
      </w:r>
      <w:r w:rsidR="009019E9">
        <w:rPr>
          <w:rFonts w:eastAsia="Calibri"/>
        </w:rPr>
        <w:t>3 538</w:t>
      </w:r>
      <w:r w:rsidRPr="000E1360">
        <w:rPr>
          <w:rFonts w:eastAsia="Calibri"/>
        </w:rPr>
        <w:t xml:space="preserve"> tis. Kč na částku </w:t>
      </w:r>
      <w:r w:rsidR="00DF1A25">
        <w:rPr>
          <w:rFonts w:eastAsia="Calibri"/>
        </w:rPr>
        <w:t>28 170</w:t>
      </w:r>
      <w:r w:rsidRPr="000E1360">
        <w:rPr>
          <w:rFonts w:eastAsia="Calibri"/>
        </w:rPr>
        <w:t xml:space="preserve"> tis. Kč. </w:t>
      </w:r>
      <w:r w:rsidRPr="00DB2C0E">
        <w:rPr>
          <w:rFonts w:eastAsia="Calibri"/>
        </w:rPr>
        <w:t xml:space="preserve">Skutečné čerpání bylo ve výši </w:t>
      </w:r>
      <w:r w:rsidRPr="00C511FC">
        <w:rPr>
          <w:color w:val="FF0000"/>
        </w:rPr>
        <w:br/>
      </w:r>
      <w:r w:rsidR="00F05287">
        <w:rPr>
          <w:rFonts w:eastAsia="Calibri"/>
        </w:rPr>
        <w:t>37 154</w:t>
      </w:r>
      <w:r w:rsidRPr="00466889">
        <w:rPr>
          <w:rFonts w:eastAsia="Calibri"/>
        </w:rPr>
        <w:t xml:space="preserve"> tis. Kč, </w:t>
      </w:r>
      <w:r w:rsidRPr="00DA2B9F">
        <w:rPr>
          <w:rFonts w:eastAsia="Calibri"/>
        </w:rPr>
        <w:t xml:space="preserve">tj. </w:t>
      </w:r>
      <w:r w:rsidR="00815D29">
        <w:rPr>
          <w:rFonts w:eastAsia="Calibri"/>
        </w:rPr>
        <w:t>131,9</w:t>
      </w:r>
      <w:r w:rsidRPr="00DA2B9F">
        <w:rPr>
          <w:rFonts w:eastAsia="Calibri"/>
        </w:rPr>
        <w:t xml:space="preserve"> % </w:t>
      </w:r>
      <w:r w:rsidRPr="00DB2C0E">
        <w:rPr>
          <w:rFonts w:eastAsia="Calibri"/>
        </w:rPr>
        <w:t xml:space="preserve">rozpočtu po změnách, a to včetně čerpání nároků </w:t>
      </w:r>
      <w:r>
        <w:rPr>
          <w:rFonts w:eastAsia="Calibri"/>
        </w:rPr>
        <w:br/>
      </w:r>
      <w:r w:rsidRPr="00DB2C0E">
        <w:rPr>
          <w:rFonts w:eastAsia="Calibri"/>
        </w:rPr>
        <w:t xml:space="preserve">z nespotřebovaných výdajů ve výši </w:t>
      </w:r>
      <w:r w:rsidR="003E50CD">
        <w:rPr>
          <w:rFonts w:eastAsia="Calibri"/>
        </w:rPr>
        <w:t>11 067</w:t>
      </w:r>
      <w:r w:rsidRPr="00C511FC">
        <w:rPr>
          <w:rFonts w:eastAsia="Calibri"/>
        </w:rPr>
        <w:t xml:space="preserve"> tis. Kč.  </w:t>
      </w:r>
      <w:r w:rsidRPr="00DB2C0E">
        <w:rPr>
          <w:rFonts w:eastAsia="Calibri"/>
        </w:rPr>
        <w:t>Prostředky byly</w:t>
      </w:r>
      <w:r w:rsidRPr="00C511FC">
        <w:rPr>
          <w:rFonts w:eastAsia="Calibri"/>
          <w:color w:val="FF0000"/>
        </w:rPr>
        <w:t xml:space="preserve"> </w:t>
      </w:r>
      <w:r w:rsidRPr="006B6D61">
        <w:rPr>
          <w:rFonts w:eastAsia="Calibri"/>
        </w:rPr>
        <w:t>nejméně čerpané v průběhu 1. čtvrtletí 202</w:t>
      </w:r>
      <w:r w:rsidR="00070D90" w:rsidRPr="006B6D61">
        <w:rPr>
          <w:rFonts w:eastAsia="Calibri"/>
        </w:rPr>
        <w:t>3</w:t>
      </w:r>
      <w:r w:rsidRPr="006B6D61">
        <w:rPr>
          <w:rFonts w:eastAsia="Calibri"/>
        </w:rPr>
        <w:t xml:space="preserve"> a nejvyšší čerpání se uskutečnilo ve 2. čtvrtletí, podíl činil </w:t>
      </w:r>
      <w:r w:rsidR="007B49B5" w:rsidRPr="006B6D61">
        <w:rPr>
          <w:rFonts w:eastAsia="Calibri"/>
        </w:rPr>
        <w:t>4</w:t>
      </w:r>
      <w:r w:rsidR="0090328E" w:rsidRPr="006B6D61">
        <w:rPr>
          <w:rFonts w:eastAsia="Calibri"/>
        </w:rPr>
        <w:t>1,1</w:t>
      </w:r>
      <w:r w:rsidRPr="006B6D61">
        <w:rPr>
          <w:rFonts w:eastAsia="Calibri"/>
        </w:rPr>
        <w:t xml:space="preserve"> %. Oproti roku 2022 došlo ke </w:t>
      </w:r>
      <w:r w:rsidR="00527EB9">
        <w:rPr>
          <w:rFonts w:eastAsia="Calibri"/>
        </w:rPr>
        <w:t>zvýšení</w:t>
      </w:r>
      <w:r w:rsidRPr="006B6D61">
        <w:rPr>
          <w:rFonts w:eastAsia="Calibri"/>
        </w:rPr>
        <w:t xml:space="preserve"> čerpaných výdajů o </w:t>
      </w:r>
      <w:r w:rsidR="00E20BDA">
        <w:rPr>
          <w:rFonts w:eastAsia="Calibri"/>
        </w:rPr>
        <w:t>11 604</w:t>
      </w:r>
      <w:r w:rsidRPr="006B6D61">
        <w:rPr>
          <w:rFonts w:eastAsia="Calibri"/>
        </w:rPr>
        <w:t xml:space="preserve"> tis. Kč, tj. o </w:t>
      </w:r>
      <w:r w:rsidR="00A3690C">
        <w:rPr>
          <w:rFonts w:eastAsia="Calibri"/>
        </w:rPr>
        <w:t>45</w:t>
      </w:r>
      <w:r w:rsidR="00057849" w:rsidRPr="006B6D61">
        <w:rPr>
          <w:rFonts w:eastAsia="Calibri"/>
        </w:rPr>
        <w:t>,</w:t>
      </w:r>
      <w:r w:rsidR="009D64EA">
        <w:rPr>
          <w:rFonts w:eastAsia="Calibri"/>
        </w:rPr>
        <w:t>4</w:t>
      </w:r>
      <w:r w:rsidRPr="006B6D61">
        <w:rPr>
          <w:rFonts w:eastAsia="Calibri"/>
        </w:rPr>
        <w:t xml:space="preserve"> %.</w:t>
      </w:r>
      <w:r w:rsidRPr="006B6D61">
        <w:t xml:space="preserve"> </w:t>
      </w:r>
      <w:r w:rsidRPr="00C511FC">
        <w:t>Zvýšené výdaje se týkaly mj. výdajů na elektrickou energii, pohonné hmoty a maziva</w:t>
      </w:r>
      <w:r w:rsidR="00C91B44">
        <w:t xml:space="preserve">, </w:t>
      </w:r>
      <w:r w:rsidR="00827FB1">
        <w:t xml:space="preserve">výdajů </w:t>
      </w:r>
      <w:r w:rsidRPr="00C511FC">
        <w:t>na nákup ostatních služeb</w:t>
      </w:r>
      <w:r w:rsidR="00C91B44">
        <w:t xml:space="preserve"> a dále osobní</w:t>
      </w:r>
      <w:r w:rsidR="00E516A3">
        <w:t xml:space="preserve">ho a užitkového automobilu. </w:t>
      </w:r>
    </w:p>
    <w:p w14:paraId="7252552F" w14:textId="77777777" w:rsidR="00A57F21" w:rsidRPr="00C511FC" w:rsidRDefault="00A57F21" w:rsidP="008A0E44">
      <w:pPr>
        <w:pStyle w:val="KOMnadp4"/>
      </w:pPr>
      <w:r w:rsidRPr="00C511FC">
        <w:t>Běžné výdaje</w:t>
      </w:r>
    </w:p>
    <w:p w14:paraId="5B9AEC93" w14:textId="16DD7A4F" w:rsidR="00A57F21" w:rsidRPr="00C511FC" w:rsidRDefault="00A57F21" w:rsidP="00A57F21">
      <w:pPr>
        <w:pStyle w:val="KOMtext"/>
        <w:rPr>
          <w:rFonts w:eastAsia="Calibri"/>
        </w:rPr>
      </w:pPr>
      <w:r w:rsidRPr="00C511FC">
        <w:rPr>
          <w:rFonts w:eastAsia="Calibri"/>
        </w:rPr>
        <w:t xml:space="preserve">Schválený rozpočet ve výši </w:t>
      </w:r>
      <w:r w:rsidR="00F46640">
        <w:rPr>
          <w:rFonts w:eastAsia="Calibri"/>
        </w:rPr>
        <w:t>23 412</w:t>
      </w:r>
      <w:r w:rsidRPr="00C511FC">
        <w:rPr>
          <w:rFonts w:eastAsia="Calibri"/>
        </w:rPr>
        <w:t xml:space="preserve"> tis. Kč byl v průběhu roku navýšen o </w:t>
      </w:r>
      <w:r w:rsidR="00D7381D">
        <w:rPr>
          <w:rFonts w:eastAsia="Calibri"/>
        </w:rPr>
        <w:t>3 808</w:t>
      </w:r>
      <w:r w:rsidRPr="00C511FC">
        <w:rPr>
          <w:rFonts w:eastAsia="Calibri"/>
        </w:rPr>
        <w:t xml:space="preserve"> tis. Kč na částku </w:t>
      </w:r>
      <w:r w:rsidRPr="00C511FC">
        <w:br/>
      </w:r>
      <w:r w:rsidR="00BA51BC">
        <w:rPr>
          <w:rFonts w:eastAsia="Calibri"/>
        </w:rPr>
        <w:t>27 220</w:t>
      </w:r>
      <w:r w:rsidRPr="00C511FC">
        <w:rPr>
          <w:rFonts w:eastAsia="Calibri"/>
        </w:rPr>
        <w:t xml:space="preserve"> tis. Kč. </w:t>
      </w:r>
      <w:r w:rsidR="00965D76">
        <w:rPr>
          <w:rFonts w:eastAsia="Calibri"/>
        </w:rPr>
        <w:t xml:space="preserve">Důvodem bylo </w:t>
      </w:r>
      <w:r w:rsidR="00965D76" w:rsidRPr="00965D76">
        <w:rPr>
          <w:rFonts w:eastAsia="Calibri"/>
        </w:rPr>
        <w:t xml:space="preserve">navýšení provozních prostředků z důvodu penále za prodlení </w:t>
      </w:r>
      <w:r w:rsidR="001A5112">
        <w:rPr>
          <w:rFonts w:eastAsia="Calibri"/>
        </w:rPr>
        <w:br/>
      </w:r>
      <w:r w:rsidR="00965D76" w:rsidRPr="00965D76">
        <w:rPr>
          <w:rFonts w:eastAsia="Calibri"/>
        </w:rPr>
        <w:t>s odvodem za porušení rozpočtové kázně</w:t>
      </w:r>
      <w:r w:rsidR="00965D76">
        <w:rPr>
          <w:rFonts w:eastAsia="Calibri"/>
        </w:rPr>
        <w:t>.</w:t>
      </w:r>
      <w:r w:rsidRPr="00C511FC">
        <w:rPr>
          <w:rFonts w:eastAsia="Calibri"/>
        </w:rPr>
        <w:t xml:space="preserve"> Běžné výdaje byly čerpané ve výši </w:t>
      </w:r>
      <w:r w:rsidR="00573FD5">
        <w:rPr>
          <w:rFonts w:eastAsia="Calibri"/>
        </w:rPr>
        <w:t>34 336</w:t>
      </w:r>
      <w:r w:rsidRPr="00C511FC">
        <w:rPr>
          <w:rFonts w:eastAsia="Calibri"/>
        </w:rPr>
        <w:t xml:space="preserve"> tis. Kč, </w:t>
      </w:r>
      <w:r w:rsidR="00520B1D">
        <w:rPr>
          <w:rFonts w:eastAsia="Calibri"/>
        </w:rPr>
        <w:br/>
      </w:r>
      <w:r w:rsidRPr="00C511FC">
        <w:rPr>
          <w:rFonts w:eastAsia="Calibri"/>
        </w:rPr>
        <w:t xml:space="preserve">tj. </w:t>
      </w:r>
      <w:r w:rsidR="00521CC8">
        <w:rPr>
          <w:rFonts w:eastAsia="Calibri"/>
        </w:rPr>
        <w:t>126,1</w:t>
      </w:r>
      <w:r w:rsidRPr="00C511FC">
        <w:rPr>
          <w:rFonts w:eastAsia="Calibri"/>
        </w:rPr>
        <w:t xml:space="preserve"> % rozpočtu po změnách, a to včetně čerpání nároků z nespotřebovaných výdajů ve výši </w:t>
      </w:r>
      <w:r w:rsidR="00CF323F">
        <w:rPr>
          <w:rFonts w:eastAsia="Calibri"/>
        </w:rPr>
        <w:t>8 249</w:t>
      </w:r>
      <w:r w:rsidRPr="00C511FC">
        <w:rPr>
          <w:rFonts w:eastAsia="Calibri"/>
        </w:rPr>
        <w:t xml:space="preserve"> tis. Kč.  </w:t>
      </w:r>
    </w:p>
    <w:p w14:paraId="6172B105" w14:textId="2218301A" w:rsidR="00A57F21" w:rsidRPr="00C511FC" w:rsidRDefault="00A57F21" w:rsidP="00A57F21">
      <w:pPr>
        <w:pStyle w:val="KOMtext"/>
        <w:rPr>
          <w:rFonts w:eastAsia="Calibri"/>
          <w:color w:val="FF0000"/>
        </w:rPr>
      </w:pPr>
      <w:r w:rsidRPr="00D96BB3">
        <w:rPr>
          <w:rFonts w:eastAsia="Calibri"/>
        </w:rPr>
        <w:t xml:space="preserve">Čerpání prostředků běžných výdajů tvořily </w:t>
      </w:r>
      <w:r w:rsidRPr="00C511FC">
        <w:rPr>
          <w:rFonts w:eastAsia="Calibri"/>
        </w:rPr>
        <w:t xml:space="preserve">zejména výdaje na platy zaměstnanců a ostatní platby za provedenou práci a s tím související povinné platby (pojistné a převod FKSP), které se podílely na celkovém objemu čerpání běžných výdajů </w:t>
      </w:r>
      <w:r w:rsidR="00B32654">
        <w:rPr>
          <w:rFonts w:eastAsia="Calibri"/>
        </w:rPr>
        <w:t>28</w:t>
      </w:r>
      <w:r w:rsidRPr="00C511FC">
        <w:rPr>
          <w:rFonts w:eastAsia="Calibri"/>
        </w:rPr>
        <w:t xml:space="preserve">,5 % (tj. ve výši </w:t>
      </w:r>
      <w:r w:rsidR="009C4550">
        <w:rPr>
          <w:rFonts w:eastAsia="Calibri"/>
        </w:rPr>
        <w:t>9 792</w:t>
      </w:r>
      <w:r w:rsidRPr="00C511FC">
        <w:rPr>
          <w:rFonts w:eastAsia="Calibri"/>
        </w:rPr>
        <w:t xml:space="preserve"> tis. Kč). </w:t>
      </w:r>
      <w:r w:rsidRPr="00C511FC">
        <w:br/>
      </w:r>
      <w:r w:rsidRPr="00C511FC">
        <w:rPr>
          <w:rFonts w:eastAsia="Calibri"/>
        </w:rPr>
        <w:t xml:space="preserve">V rámci ostatních běžných výdajů byly čerpány prostředky na ostatní služby </w:t>
      </w:r>
      <w:r w:rsidRPr="006B6D61">
        <w:rPr>
          <w:rFonts w:eastAsia="Calibri"/>
        </w:rPr>
        <w:t xml:space="preserve">(zejména za služby spojené s provozováním říčních přístavů), na nájemné (zejména za pozemky pronajaté </w:t>
      </w:r>
      <w:r w:rsidRPr="006B6D61">
        <w:br/>
      </w:r>
      <w:r w:rsidRPr="006B6D61">
        <w:rPr>
          <w:rFonts w:eastAsia="Calibri"/>
        </w:rPr>
        <w:t>v Hamburku), na konzultační, poradenské a právní služby související s řešením právních sporů, které vznikají při přípravě a výstavbě staveb nutných pro provoz na vodních cestách.</w:t>
      </w:r>
    </w:p>
    <w:p w14:paraId="67DE2D8A" w14:textId="77777777" w:rsidR="00723383" w:rsidRPr="00C511FC" w:rsidRDefault="00723383" w:rsidP="008A0E44">
      <w:pPr>
        <w:pStyle w:val="KOMnadp4"/>
      </w:pPr>
      <w:r w:rsidRPr="00C511FC">
        <w:t>Kapitálové výdaje</w:t>
      </w:r>
    </w:p>
    <w:p w14:paraId="7BCB799D" w14:textId="73F0E5E7" w:rsidR="003B334E" w:rsidRDefault="003B334E" w:rsidP="00723383">
      <w:pPr>
        <w:pStyle w:val="KOMtext"/>
      </w:pPr>
      <w:r>
        <w:t>Schválený</w:t>
      </w:r>
      <w:r w:rsidR="0024392C">
        <w:t xml:space="preserve"> objem kapitálových</w:t>
      </w:r>
      <w:r w:rsidR="000A62DF">
        <w:t xml:space="preserve"> výdajů ve výši </w:t>
      </w:r>
      <w:r w:rsidR="000C1AB1">
        <w:t>950 tis. Kč nebyl v průběhu roku 2023</w:t>
      </w:r>
      <w:r w:rsidR="00DB20E4">
        <w:t xml:space="preserve"> uprav</w:t>
      </w:r>
      <w:r w:rsidR="00850BF5">
        <w:t xml:space="preserve">ován. </w:t>
      </w:r>
    </w:p>
    <w:p w14:paraId="5185E577" w14:textId="1A5AF61F" w:rsidR="00723383" w:rsidRPr="00C511FC" w:rsidRDefault="00723383" w:rsidP="00723383">
      <w:pPr>
        <w:pStyle w:val="KOMtext"/>
      </w:pPr>
      <w:r w:rsidRPr="00C511FC">
        <w:t xml:space="preserve">Prostředky byly určeny v rámci programu 127 </w:t>
      </w:r>
      <w:r w:rsidR="001B50B7">
        <w:t>07</w:t>
      </w:r>
      <w:r w:rsidRPr="00C511FC">
        <w:t xml:space="preserve"> “</w:t>
      </w:r>
      <w:r w:rsidR="001B50B7" w:rsidRPr="001B50B7">
        <w:t xml:space="preserve"> Rozvoj a obnova materiálně technické základny systému řízení </w:t>
      </w:r>
      <w:proofErr w:type="gramStart"/>
      <w:r w:rsidR="001B50B7" w:rsidRPr="001B50B7">
        <w:t>MD - OSS</w:t>
      </w:r>
      <w:proofErr w:type="gramEnd"/>
      <w:r w:rsidRPr="00C511FC">
        <w:t>“ na obnovu výpočetní techniky a pořízení dopravních prostředků.</w:t>
      </w:r>
      <w:r w:rsidR="00F06EF7">
        <w:t xml:space="preserve"> </w:t>
      </w:r>
    </w:p>
    <w:p w14:paraId="54D210F6" w14:textId="6960C1DE" w:rsidR="00FD7B5C" w:rsidRDefault="00723383" w:rsidP="00723383">
      <w:pPr>
        <w:pStyle w:val="KOMtext"/>
      </w:pPr>
      <w:r w:rsidRPr="00D96BB3">
        <w:t xml:space="preserve">Ředitelství vodních cest ČR čerpalo kapitálové výdaje ve výši </w:t>
      </w:r>
      <w:r w:rsidRPr="00C511FC">
        <w:t xml:space="preserve">2 818 </w:t>
      </w:r>
      <w:r w:rsidRPr="00C82DD5">
        <w:t>tis. Kč</w:t>
      </w:r>
      <w:r w:rsidR="00567558">
        <w:t xml:space="preserve"> (vše nároky z nespotřebovaných výdajů minulých let</w:t>
      </w:r>
      <w:r w:rsidR="00D00A64">
        <w:t>)</w:t>
      </w:r>
      <w:r w:rsidRPr="008A4952">
        <w:t xml:space="preserve">, </w:t>
      </w:r>
      <w:r w:rsidRPr="006B6D61">
        <w:t xml:space="preserve">tj. </w:t>
      </w:r>
      <w:r w:rsidR="00466938" w:rsidRPr="006B6D61">
        <w:t>296,6</w:t>
      </w:r>
      <w:r w:rsidRPr="006B6D61">
        <w:t xml:space="preserve"> </w:t>
      </w:r>
      <w:r>
        <w:t xml:space="preserve">% </w:t>
      </w:r>
      <w:r w:rsidRPr="006B6D61">
        <w:t xml:space="preserve">rozpočtu po změnách. </w:t>
      </w:r>
      <w:r w:rsidRPr="002D4DD0">
        <w:t xml:space="preserve">Prostředky byly čerpány na </w:t>
      </w:r>
      <w:r w:rsidR="002D4DD0" w:rsidRPr="006B6D61">
        <w:t>nákup</w:t>
      </w:r>
      <w:r w:rsidRPr="006B6D61">
        <w:t xml:space="preserve"> </w:t>
      </w:r>
      <w:r w:rsidR="001E14C6" w:rsidRPr="006B6D61">
        <w:t>dopravních prostředků</w:t>
      </w:r>
      <w:r w:rsidR="002D4DD0" w:rsidRPr="006B6D61">
        <w:t>.</w:t>
      </w:r>
      <w:r w:rsidRPr="006B6D61">
        <w:t xml:space="preserve"> </w:t>
      </w:r>
      <w:r w:rsidR="00DF67D6">
        <w:t>K nárůstu skutečného čerpání v roce 2023 oproti předchozímu roku došlu vlivem</w:t>
      </w:r>
      <w:r w:rsidR="00DF4121">
        <w:t xml:space="preserve"> dokončování akcí, jejichž realizace započala v</w:t>
      </w:r>
      <w:r w:rsidR="007B56B9">
        <w:t xml:space="preserve"> roce 2022. </w:t>
      </w:r>
      <w:r w:rsidRPr="006B6D61">
        <w:t xml:space="preserve"> </w:t>
      </w:r>
    </w:p>
    <w:p w14:paraId="5BD1ABCF" w14:textId="488ABD89" w:rsidR="009D2008" w:rsidRPr="00C511FC" w:rsidRDefault="05EDE527" w:rsidP="009D2008">
      <w:pPr>
        <w:pStyle w:val="KOMGrafy"/>
      </w:pPr>
      <w:bookmarkStart w:id="927" w:name="_Toc160457143"/>
      <w:r w:rsidRPr="00C511FC">
        <w:lastRenderedPageBreak/>
        <w:t xml:space="preserve">Graf č. </w:t>
      </w:r>
      <w:r w:rsidR="00CC6D8E" w:rsidRPr="00C511FC">
        <w:fldChar w:fldCharType="begin"/>
      </w:r>
      <w:r w:rsidR="00CC6D8E" w:rsidRPr="006B6D61">
        <w:rPr>
          <w:noProof/>
        </w:rPr>
        <w:instrText xml:space="preserve"> SEQ Graf_č. \* ARABIC </w:instrText>
      </w:r>
      <w:r w:rsidR="00CC6D8E" w:rsidRPr="00C511FC">
        <w:fldChar w:fldCharType="separate"/>
      </w:r>
      <w:r w:rsidR="00013820">
        <w:rPr>
          <w:noProof/>
        </w:rPr>
        <w:t>26</w:t>
      </w:r>
      <w:r w:rsidR="00CC6D8E" w:rsidRPr="00C511FC">
        <w:fldChar w:fldCharType="end"/>
      </w:r>
      <w:r w:rsidR="009D2008" w:rsidRPr="00C511FC">
        <w:t>: Srovnání skutečností v letech 2022 a 2023 u Ředitelství vodních cest (v tis. Kč)</w:t>
      </w:r>
      <w:bookmarkEnd w:id="927"/>
    </w:p>
    <w:p w14:paraId="15B917F7" w14:textId="77777777" w:rsidR="009D2008" w:rsidRDefault="009D2008" w:rsidP="009D2008">
      <w:pPr>
        <w:pStyle w:val="KOMtext"/>
        <w:rPr>
          <w:color w:val="FF0000"/>
        </w:rPr>
      </w:pPr>
      <w:r w:rsidRPr="002F1BE7">
        <w:rPr>
          <w:noProof/>
          <w:color w:val="FF0000"/>
        </w:rPr>
        <w:drawing>
          <wp:inline distT="0" distB="0" distL="0" distR="0" wp14:anchorId="78D92A8E" wp14:editId="63D9FBE1">
            <wp:extent cx="5760000" cy="2160000"/>
            <wp:effectExtent l="0" t="0" r="12700" b="12065"/>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14:paraId="7BC7BC36" w14:textId="6FDB9B00" w:rsidR="00EC75CF" w:rsidRDefault="00EC75CF" w:rsidP="00E20BD6">
      <w:pPr>
        <w:pStyle w:val="KOMnadp3"/>
      </w:pPr>
      <w:bookmarkStart w:id="928" w:name="_Toc128660451"/>
      <w:bookmarkStart w:id="929" w:name="_Toc128660749"/>
      <w:bookmarkStart w:id="930" w:name="_Toc128660966"/>
      <w:bookmarkStart w:id="931" w:name="_Toc128661181"/>
      <w:bookmarkStart w:id="932" w:name="_Toc128661396"/>
      <w:bookmarkStart w:id="933" w:name="_Toc128666854"/>
      <w:bookmarkStart w:id="934" w:name="_Toc128667086"/>
      <w:bookmarkStart w:id="935" w:name="_Toc128670356"/>
      <w:bookmarkStart w:id="936" w:name="_Toc128397724"/>
      <w:bookmarkStart w:id="937" w:name="_Toc128397857"/>
      <w:bookmarkStart w:id="938" w:name="_Toc128398078"/>
      <w:bookmarkStart w:id="939" w:name="_Toc128398421"/>
      <w:bookmarkStart w:id="940" w:name="_Toc128398547"/>
      <w:bookmarkStart w:id="941" w:name="_Toc128398761"/>
      <w:bookmarkStart w:id="942" w:name="_Toc128400077"/>
      <w:bookmarkStart w:id="943" w:name="_Toc128401317"/>
      <w:bookmarkStart w:id="944" w:name="_Toc128401445"/>
      <w:bookmarkStart w:id="945" w:name="_Toc128401932"/>
      <w:bookmarkStart w:id="946" w:name="_Toc128397725"/>
      <w:bookmarkStart w:id="947" w:name="_Toc128397858"/>
      <w:bookmarkStart w:id="948" w:name="_Toc128398079"/>
      <w:bookmarkStart w:id="949" w:name="_Toc128398422"/>
      <w:bookmarkStart w:id="950" w:name="_Toc128398548"/>
      <w:bookmarkStart w:id="951" w:name="_Toc128398762"/>
      <w:bookmarkStart w:id="952" w:name="_Toc128400078"/>
      <w:bookmarkStart w:id="953" w:name="_Toc128401318"/>
      <w:bookmarkStart w:id="954" w:name="_Toc128401446"/>
      <w:bookmarkStart w:id="955" w:name="_Toc128401933"/>
      <w:bookmarkStart w:id="956" w:name="_Toc128397726"/>
      <w:bookmarkStart w:id="957" w:name="_Toc128397859"/>
      <w:bookmarkStart w:id="958" w:name="_Toc128398080"/>
      <w:bookmarkStart w:id="959" w:name="_Toc128398423"/>
      <w:bookmarkStart w:id="960" w:name="_Toc128398549"/>
      <w:bookmarkStart w:id="961" w:name="_Toc128398763"/>
      <w:bookmarkStart w:id="962" w:name="_Toc128400079"/>
      <w:bookmarkStart w:id="963" w:name="_Toc128401319"/>
      <w:bookmarkStart w:id="964" w:name="_Toc128401447"/>
      <w:bookmarkStart w:id="965" w:name="_Toc128401934"/>
      <w:bookmarkStart w:id="966" w:name="_Toc128397727"/>
      <w:bookmarkStart w:id="967" w:name="_Toc128397860"/>
      <w:bookmarkStart w:id="968" w:name="_Toc128398081"/>
      <w:bookmarkStart w:id="969" w:name="_Toc128398424"/>
      <w:bookmarkStart w:id="970" w:name="_Toc128398550"/>
      <w:bookmarkStart w:id="971" w:name="_Toc128398764"/>
      <w:bookmarkStart w:id="972" w:name="_Toc128400080"/>
      <w:bookmarkStart w:id="973" w:name="_Toc128401320"/>
      <w:bookmarkStart w:id="974" w:name="_Toc128401448"/>
      <w:bookmarkStart w:id="975" w:name="_Toc128401935"/>
      <w:bookmarkStart w:id="976" w:name="_Toc162269269"/>
      <w:bookmarkStart w:id="977" w:name="_Toc128400081"/>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r w:rsidRPr="003A054C">
        <w:t xml:space="preserve">Dopravní a energetický </w:t>
      </w:r>
      <w:r w:rsidR="00E1228D">
        <w:t xml:space="preserve">stavební </w:t>
      </w:r>
      <w:r w:rsidRPr="003A054C">
        <w:t>úřad</w:t>
      </w:r>
      <w:bookmarkEnd w:id="976"/>
    </w:p>
    <w:p w14:paraId="64B77BF7" w14:textId="77777777" w:rsidR="00BE0378" w:rsidRDefault="00BE0378">
      <w:pPr>
        <w:pStyle w:val="KOMtext"/>
      </w:pPr>
      <w:r w:rsidRPr="006B6D61">
        <w:t xml:space="preserve">Dopravní a energetický stavební úřad byl zřízen od 1. července 2023. Od 1.1.2024 bude vykonávat působnost stavebního úřadu ve věcech vyhrazených staveb, tedy staveb stanovených přílohou č. 3 zákona č. 283/2021 Sb., stavební zákon, ve znění zákona </w:t>
      </w:r>
      <w:r w:rsidRPr="006B6D61">
        <w:br/>
        <w:t>č. 195/2022 Sb. a č. 152/2023 Sb., kterými jsou např. stavby dálnic, stavby drah, civilní letecké stavby, stavby přenosové a přepravní soustavy, výrobny elektřiny o celkovém instalovaném výkonu 100 MW a více, stavby produktovodů, stavby jaderného zařízení, stavby některých výroben z obnovitelných zdrojů energie, stavby některých zařízení rozvodného tepelného zařízení. Tuto působnost bude vykonávat rovněž i u souborů staveb, kde hlavní stavbou bude stavba vyhrazená a u staveb souvisejících s vyhrazenou stavbou. Organizační složka státu bude rovněž nadřízeným správním orgánem krajských stavebních úřadů ve věcech silnic, místních komunikací a veřejně přístupných účelových komunikací, ve věcech výroben z obnovitelných zdrojů energií a ve věcech technické infrastruktury pro energetiku a elektronické komunikace.</w:t>
      </w:r>
    </w:p>
    <w:tbl>
      <w:tblPr>
        <w:tblW w:w="8997" w:type="dxa"/>
        <w:tblInd w:w="75" w:type="dxa"/>
        <w:tblLayout w:type="fixed"/>
        <w:tblLook w:val="06A0" w:firstRow="1" w:lastRow="0" w:firstColumn="1" w:lastColumn="0" w:noHBand="1" w:noVBand="1"/>
      </w:tblPr>
      <w:tblGrid>
        <w:gridCol w:w="2830"/>
        <w:gridCol w:w="1098"/>
        <w:gridCol w:w="1098"/>
        <w:gridCol w:w="1098"/>
        <w:gridCol w:w="1098"/>
        <w:gridCol w:w="1098"/>
        <w:gridCol w:w="677"/>
      </w:tblGrid>
      <w:tr w:rsidR="008016ED" w:rsidRPr="0044012B" w14:paraId="5BAFF6F9" w14:textId="77777777" w:rsidTr="006B6D61">
        <w:trPr>
          <w:trHeight w:val="300"/>
        </w:trPr>
        <w:tc>
          <w:tcPr>
            <w:tcW w:w="8997" w:type="dxa"/>
            <w:gridSpan w:val="7"/>
            <w:tcBorders>
              <w:bottom w:val="nil"/>
            </w:tcBorders>
            <w:shd w:val="clear" w:color="auto" w:fill="FFFFFF" w:themeFill="background1"/>
            <w:tcMar>
              <w:left w:w="70" w:type="dxa"/>
              <w:right w:w="70" w:type="dxa"/>
            </w:tcMar>
            <w:vAlign w:val="center"/>
          </w:tcPr>
          <w:p w14:paraId="14E97812" w14:textId="77777777" w:rsidR="008016ED" w:rsidRPr="008016ED" w:rsidRDefault="008016ED" w:rsidP="002B5904">
            <w:pPr>
              <w:spacing w:after="0" w:line="257" w:lineRule="auto"/>
              <w:jc w:val="right"/>
              <w:rPr>
                <w:rFonts w:ascii="Calibri" w:eastAsia="Calibri" w:hAnsi="Calibri" w:cs="Calibri"/>
                <w:bCs/>
                <w:sz w:val="20"/>
                <w:szCs w:val="20"/>
              </w:rPr>
            </w:pPr>
            <w:r w:rsidRPr="008016ED">
              <w:rPr>
                <w:rFonts w:ascii="Calibri" w:eastAsia="Calibri" w:hAnsi="Calibri" w:cs="Calibri"/>
                <w:bCs/>
                <w:sz w:val="20"/>
                <w:szCs w:val="20"/>
              </w:rPr>
              <w:t>v tis. Kč</w:t>
            </w:r>
          </w:p>
        </w:tc>
      </w:tr>
      <w:tr w:rsidR="008016ED" w:rsidRPr="0044012B" w14:paraId="530A8C13" w14:textId="77777777" w:rsidTr="00277DB2">
        <w:trPr>
          <w:trHeight w:val="421"/>
        </w:trPr>
        <w:tc>
          <w:tcPr>
            <w:tcW w:w="2830" w:type="dxa"/>
            <w:vMerge w:val="restart"/>
            <w:tcBorders>
              <w:top w:val="single" w:sz="8" w:space="0" w:color="auto"/>
              <w:left w:val="single" w:sz="4" w:space="0" w:color="auto"/>
              <w:bottom w:val="nil"/>
              <w:right w:val="single" w:sz="4" w:space="0" w:color="auto"/>
            </w:tcBorders>
            <w:shd w:val="clear" w:color="auto" w:fill="DFDFDF"/>
            <w:tcMar>
              <w:left w:w="70" w:type="dxa"/>
              <w:right w:w="70" w:type="dxa"/>
            </w:tcMar>
            <w:vAlign w:val="center"/>
          </w:tcPr>
          <w:p w14:paraId="08A2944A"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Ukazatel</w:t>
            </w:r>
          </w:p>
        </w:tc>
        <w:tc>
          <w:tcPr>
            <w:tcW w:w="1098" w:type="dxa"/>
            <w:vMerge w:val="restart"/>
            <w:tcBorders>
              <w:top w:val="single" w:sz="4" w:space="0" w:color="auto"/>
              <w:left w:val="single" w:sz="4" w:space="0" w:color="auto"/>
              <w:bottom w:val="nil"/>
              <w:right w:val="single" w:sz="4" w:space="0" w:color="auto"/>
            </w:tcBorders>
            <w:shd w:val="clear" w:color="auto" w:fill="DFDFDF"/>
            <w:tcMar>
              <w:left w:w="70" w:type="dxa"/>
              <w:right w:w="70" w:type="dxa"/>
            </w:tcMar>
            <w:vAlign w:val="center"/>
          </w:tcPr>
          <w:p w14:paraId="601F8896"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Skutečnost</w:t>
            </w:r>
          </w:p>
          <w:p w14:paraId="34C7DB0E"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2022</w:t>
            </w:r>
          </w:p>
        </w:tc>
        <w:tc>
          <w:tcPr>
            <w:tcW w:w="3294" w:type="dxa"/>
            <w:gridSpan w:val="3"/>
            <w:tcBorders>
              <w:top w:val="single" w:sz="4" w:space="0" w:color="auto"/>
              <w:left w:val="single" w:sz="4" w:space="0" w:color="auto"/>
              <w:bottom w:val="single" w:sz="8" w:space="0" w:color="auto"/>
              <w:right w:val="single" w:sz="4" w:space="0" w:color="auto"/>
            </w:tcBorders>
            <w:shd w:val="clear" w:color="auto" w:fill="DFDFDF"/>
            <w:tcMar>
              <w:left w:w="70" w:type="dxa"/>
              <w:right w:w="70" w:type="dxa"/>
            </w:tcMar>
            <w:vAlign w:val="center"/>
          </w:tcPr>
          <w:p w14:paraId="722B6586"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Rozpočet 2023</w:t>
            </w:r>
          </w:p>
        </w:tc>
        <w:tc>
          <w:tcPr>
            <w:tcW w:w="1098" w:type="dxa"/>
            <w:vMerge w:val="restart"/>
            <w:tcBorders>
              <w:top w:val="single" w:sz="4" w:space="0" w:color="auto"/>
              <w:left w:val="single" w:sz="4" w:space="0" w:color="auto"/>
              <w:bottom w:val="nil"/>
              <w:right w:val="single" w:sz="4" w:space="0" w:color="auto"/>
            </w:tcBorders>
            <w:shd w:val="clear" w:color="auto" w:fill="DFDFDF"/>
            <w:tcMar>
              <w:left w:w="70" w:type="dxa"/>
              <w:right w:w="70" w:type="dxa"/>
            </w:tcMar>
            <w:vAlign w:val="center"/>
          </w:tcPr>
          <w:p w14:paraId="05E2C3CA"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Skutečnost</w:t>
            </w:r>
          </w:p>
          <w:p w14:paraId="677DC478"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2023</w:t>
            </w:r>
          </w:p>
        </w:tc>
        <w:tc>
          <w:tcPr>
            <w:tcW w:w="677" w:type="dxa"/>
            <w:vMerge w:val="restart"/>
            <w:tcBorders>
              <w:top w:val="single" w:sz="4" w:space="0" w:color="auto"/>
              <w:left w:val="single" w:sz="4" w:space="0" w:color="auto"/>
              <w:bottom w:val="nil"/>
              <w:right w:val="single" w:sz="4" w:space="0" w:color="auto"/>
            </w:tcBorders>
            <w:shd w:val="clear" w:color="auto" w:fill="DFDFDF"/>
            <w:tcMar>
              <w:left w:w="70" w:type="dxa"/>
              <w:right w:w="70" w:type="dxa"/>
            </w:tcMar>
            <w:vAlign w:val="center"/>
          </w:tcPr>
          <w:p w14:paraId="5EE71040"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Index</w:t>
            </w:r>
          </w:p>
          <w:p w14:paraId="61674D3A"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(v %)</w:t>
            </w:r>
          </w:p>
        </w:tc>
      </w:tr>
      <w:tr w:rsidR="008016ED" w:rsidRPr="0044012B" w14:paraId="798329FF" w14:textId="77777777" w:rsidTr="006B6D61">
        <w:trPr>
          <w:trHeight w:val="406"/>
        </w:trPr>
        <w:tc>
          <w:tcPr>
            <w:tcW w:w="2830" w:type="dxa"/>
            <w:vMerge/>
            <w:tcBorders>
              <w:left w:val="single" w:sz="4" w:space="0" w:color="auto"/>
              <w:bottom w:val="single" w:sz="4" w:space="0" w:color="auto"/>
              <w:right w:val="single" w:sz="4" w:space="0" w:color="auto"/>
            </w:tcBorders>
            <w:vAlign w:val="center"/>
          </w:tcPr>
          <w:p w14:paraId="56ACA538" w14:textId="77777777" w:rsidR="008016ED" w:rsidRPr="00FB7DCC" w:rsidRDefault="008016ED" w:rsidP="002B5904"/>
        </w:tc>
        <w:tc>
          <w:tcPr>
            <w:tcW w:w="1098" w:type="dxa"/>
            <w:vMerge/>
            <w:tcBorders>
              <w:left w:val="single" w:sz="4" w:space="0" w:color="auto"/>
              <w:bottom w:val="single" w:sz="4" w:space="0" w:color="auto"/>
              <w:right w:val="single" w:sz="4" w:space="0" w:color="auto"/>
            </w:tcBorders>
            <w:vAlign w:val="center"/>
          </w:tcPr>
          <w:p w14:paraId="384B39E6" w14:textId="77777777" w:rsidR="008016ED" w:rsidRPr="00FB7DCC" w:rsidRDefault="008016ED" w:rsidP="002B5904"/>
        </w:tc>
        <w:tc>
          <w:tcPr>
            <w:tcW w:w="1098" w:type="dxa"/>
            <w:tcBorders>
              <w:top w:val="single" w:sz="8"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38F8FD41"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schválený</w:t>
            </w:r>
          </w:p>
        </w:tc>
        <w:tc>
          <w:tcPr>
            <w:tcW w:w="1098" w:type="dxa"/>
            <w:tcBorders>
              <w:top w:val="nil"/>
              <w:left w:val="single" w:sz="4" w:space="0" w:color="auto"/>
              <w:bottom w:val="single" w:sz="4" w:space="0" w:color="auto"/>
              <w:right w:val="single" w:sz="4" w:space="0" w:color="auto"/>
            </w:tcBorders>
            <w:shd w:val="clear" w:color="auto" w:fill="DFDFDF"/>
            <w:tcMar>
              <w:left w:w="70" w:type="dxa"/>
              <w:right w:w="70" w:type="dxa"/>
            </w:tcMar>
            <w:vAlign w:val="center"/>
          </w:tcPr>
          <w:p w14:paraId="43187224"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po změnách</w:t>
            </w:r>
          </w:p>
        </w:tc>
        <w:tc>
          <w:tcPr>
            <w:tcW w:w="1098" w:type="dxa"/>
            <w:tcBorders>
              <w:top w:val="nil"/>
              <w:left w:val="single" w:sz="4" w:space="0" w:color="auto"/>
              <w:bottom w:val="single" w:sz="4" w:space="0" w:color="auto"/>
              <w:right w:val="single" w:sz="4" w:space="0" w:color="auto"/>
            </w:tcBorders>
            <w:shd w:val="clear" w:color="auto" w:fill="DFDFDF"/>
            <w:tcMar>
              <w:left w:w="70" w:type="dxa"/>
              <w:right w:w="70" w:type="dxa"/>
            </w:tcMar>
            <w:vAlign w:val="center"/>
          </w:tcPr>
          <w:p w14:paraId="1BDFAC84" w14:textId="77777777" w:rsidR="008016ED" w:rsidRPr="00FB7DCC" w:rsidRDefault="008016ED" w:rsidP="002B5904">
            <w:pPr>
              <w:spacing w:after="0" w:line="257" w:lineRule="auto"/>
              <w:jc w:val="center"/>
              <w:rPr>
                <w:rFonts w:ascii="Calibri" w:eastAsia="Calibri" w:hAnsi="Calibri" w:cs="Calibri"/>
                <w:b/>
                <w:bCs/>
                <w:sz w:val="20"/>
                <w:szCs w:val="20"/>
              </w:rPr>
            </w:pPr>
            <w:r w:rsidRPr="00FB7DCC">
              <w:rPr>
                <w:rFonts w:ascii="Calibri" w:eastAsia="Calibri" w:hAnsi="Calibri" w:cs="Calibri"/>
                <w:b/>
                <w:bCs/>
                <w:sz w:val="20"/>
                <w:szCs w:val="20"/>
              </w:rPr>
              <w:t>konečný</w:t>
            </w:r>
          </w:p>
        </w:tc>
        <w:tc>
          <w:tcPr>
            <w:tcW w:w="1098" w:type="dxa"/>
            <w:vMerge/>
            <w:tcBorders>
              <w:left w:val="single" w:sz="4" w:space="0" w:color="auto"/>
              <w:bottom w:val="single" w:sz="4" w:space="0" w:color="auto"/>
              <w:right w:val="single" w:sz="4" w:space="0" w:color="auto"/>
            </w:tcBorders>
            <w:vAlign w:val="center"/>
          </w:tcPr>
          <w:p w14:paraId="6EEA0AD5" w14:textId="77777777" w:rsidR="008016ED" w:rsidRPr="00FB7DCC" w:rsidRDefault="008016ED" w:rsidP="002B5904"/>
        </w:tc>
        <w:tc>
          <w:tcPr>
            <w:tcW w:w="677" w:type="dxa"/>
            <w:vMerge/>
            <w:tcBorders>
              <w:left w:val="single" w:sz="4" w:space="0" w:color="auto"/>
              <w:right w:val="single" w:sz="4" w:space="0" w:color="auto"/>
            </w:tcBorders>
            <w:vAlign w:val="center"/>
          </w:tcPr>
          <w:p w14:paraId="23AE8724" w14:textId="77777777" w:rsidR="008016ED" w:rsidRPr="00FB7DCC" w:rsidRDefault="008016ED" w:rsidP="002B5904"/>
        </w:tc>
      </w:tr>
      <w:tr w:rsidR="008016ED" w:rsidRPr="0044012B" w14:paraId="3D172358" w14:textId="77777777" w:rsidTr="006B6D61">
        <w:trPr>
          <w:trHeight w:val="105"/>
        </w:trPr>
        <w:tc>
          <w:tcPr>
            <w:tcW w:w="2830" w:type="dxa"/>
            <w:tcBorders>
              <w:top w:val="single" w:sz="4" w:space="0" w:color="auto"/>
              <w:left w:val="single" w:sz="4" w:space="0" w:color="auto"/>
              <w:bottom w:val="single" w:sz="4" w:space="0" w:color="auto"/>
              <w:right w:val="single" w:sz="4" w:space="0" w:color="auto"/>
            </w:tcBorders>
            <w:tcMar>
              <w:left w:w="70" w:type="dxa"/>
              <w:right w:w="70" w:type="dxa"/>
            </w:tcMar>
          </w:tcPr>
          <w:p w14:paraId="37EF0523"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a</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67A4DFF6"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1</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3B30CED0"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2</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5A7AD15C"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3</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34BEA16C"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4</w:t>
            </w:r>
          </w:p>
        </w:tc>
        <w:tc>
          <w:tcPr>
            <w:tcW w:w="1098" w:type="dxa"/>
            <w:tcBorders>
              <w:top w:val="single" w:sz="4" w:space="0" w:color="auto"/>
              <w:left w:val="single" w:sz="4" w:space="0" w:color="auto"/>
              <w:bottom w:val="single" w:sz="4" w:space="0" w:color="auto"/>
              <w:right w:val="single" w:sz="4" w:space="0" w:color="auto"/>
            </w:tcBorders>
            <w:tcMar>
              <w:left w:w="70" w:type="dxa"/>
              <w:right w:w="70" w:type="dxa"/>
            </w:tcMar>
          </w:tcPr>
          <w:p w14:paraId="10436E66"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5</w:t>
            </w:r>
          </w:p>
        </w:tc>
        <w:tc>
          <w:tcPr>
            <w:tcW w:w="677" w:type="dxa"/>
            <w:tcBorders>
              <w:top w:val="single" w:sz="4" w:space="0" w:color="auto"/>
              <w:left w:val="single" w:sz="4" w:space="0" w:color="auto"/>
              <w:bottom w:val="single" w:sz="4" w:space="0" w:color="auto"/>
              <w:right w:val="single" w:sz="4" w:space="0" w:color="auto"/>
            </w:tcBorders>
            <w:tcMar>
              <w:left w:w="70" w:type="dxa"/>
              <w:right w:w="70" w:type="dxa"/>
            </w:tcMar>
          </w:tcPr>
          <w:p w14:paraId="05EF0172" w14:textId="77777777" w:rsidR="008016ED" w:rsidRPr="00FB7DCC" w:rsidRDefault="008016ED" w:rsidP="002B5904">
            <w:pPr>
              <w:spacing w:after="0" w:line="257" w:lineRule="auto"/>
              <w:jc w:val="center"/>
              <w:rPr>
                <w:rFonts w:ascii="Calibri" w:eastAsia="Calibri" w:hAnsi="Calibri" w:cs="Calibri"/>
                <w:sz w:val="20"/>
                <w:szCs w:val="20"/>
              </w:rPr>
            </w:pPr>
            <w:r w:rsidRPr="00FB7DCC">
              <w:rPr>
                <w:rFonts w:ascii="Calibri" w:eastAsia="Calibri" w:hAnsi="Calibri" w:cs="Calibri"/>
                <w:sz w:val="20"/>
                <w:szCs w:val="20"/>
              </w:rPr>
              <w:t>5/1</w:t>
            </w:r>
          </w:p>
        </w:tc>
      </w:tr>
      <w:tr w:rsidR="00695296" w:rsidRPr="00695296" w14:paraId="5750D614" w14:textId="77777777" w:rsidTr="006B6D61">
        <w:trPr>
          <w:trHeight w:val="390"/>
        </w:trPr>
        <w:tc>
          <w:tcPr>
            <w:tcW w:w="2830"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3BB3B1E6" w14:textId="77777777" w:rsidR="00223974" w:rsidRPr="00FB7DCC" w:rsidRDefault="00223974" w:rsidP="00223974">
            <w:pPr>
              <w:spacing w:after="0" w:line="257" w:lineRule="auto"/>
              <w:rPr>
                <w:rFonts w:ascii="Calibri" w:eastAsia="Calibri" w:hAnsi="Calibri" w:cs="Calibri"/>
                <w:sz w:val="20"/>
                <w:szCs w:val="20"/>
              </w:rPr>
            </w:pPr>
            <w:r w:rsidRPr="00FB7DCC">
              <w:rPr>
                <w:rFonts w:ascii="Calibri" w:eastAsia="Calibri" w:hAnsi="Calibri" w:cs="Calibri"/>
                <w:b/>
                <w:bCs/>
                <w:sz w:val="20"/>
                <w:szCs w:val="20"/>
              </w:rPr>
              <w:t xml:space="preserve">Výdaje celkem </w:t>
            </w:r>
            <w:r w:rsidRPr="00FB7DCC">
              <w:rPr>
                <w:rFonts w:ascii="Calibri" w:eastAsia="Calibri" w:hAnsi="Calibri" w:cs="Calibri"/>
                <w:sz w:val="20"/>
                <w:szCs w:val="20"/>
              </w:rPr>
              <w:t>(v tom:)</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77BC909B" w14:textId="48E7F277"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x</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18047229" w14:textId="15D03872"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x</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7D9C5F70" w14:textId="03FA4BB1"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30 557</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73065601" w14:textId="28E6BA6A"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114 821</w:t>
            </w:r>
          </w:p>
        </w:tc>
        <w:tc>
          <w:tcPr>
            <w:tcW w:w="1098"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551E4A31" w14:textId="7131D1EB"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14 493</w:t>
            </w:r>
          </w:p>
        </w:tc>
        <w:tc>
          <w:tcPr>
            <w:tcW w:w="677" w:type="dxa"/>
            <w:tcBorders>
              <w:top w:val="single" w:sz="4" w:space="0" w:color="auto"/>
              <w:left w:val="single" w:sz="4" w:space="0" w:color="auto"/>
              <w:bottom w:val="single" w:sz="4" w:space="0" w:color="auto"/>
              <w:right w:val="single" w:sz="4" w:space="0" w:color="auto"/>
            </w:tcBorders>
            <w:shd w:val="clear" w:color="auto" w:fill="DFDFDF"/>
            <w:tcMar>
              <w:left w:w="70" w:type="dxa"/>
              <w:right w:w="70" w:type="dxa"/>
            </w:tcMar>
            <w:vAlign w:val="center"/>
          </w:tcPr>
          <w:p w14:paraId="06110DF3" w14:textId="37890C30"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sz w:val="20"/>
                <w:szCs w:val="20"/>
              </w:rPr>
              <w:t>x</w:t>
            </w:r>
          </w:p>
        </w:tc>
      </w:tr>
      <w:tr w:rsidR="00695296" w:rsidRPr="00695296" w14:paraId="39E997B3" w14:textId="77777777" w:rsidTr="006B6D61">
        <w:trPr>
          <w:trHeight w:val="390"/>
        </w:trPr>
        <w:tc>
          <w:tcPr>
            <w:tcW w:w="2830" w:type="dxa"/>
            <w:tcBorders>
              <w:top w:val="single" w:sz="4" w:space="0" w:color="auto"/>
              <w:left w:val="single" w:sz="4" w:space="0" w:color="auto"/>
              <w:bottom w:val="nil"/>
              <w:right w:val="single" w:sz="4" w:space="0" w:color="auto"/>
            </w:tcBorders>
            <w:tcMar>
              <w:left w:w="70" w:type="dxa"/>
              <w:right w:w="70" w:type="dxa"/>
            </w:tcMar>
            <w:vAlign w:val="center"/>
          </w:tcPr>
          <w:p w14:paraId="53319CF3" w14:textId="77777777" w:rsidR="00223974" w:rsidRPr="00FB7DCC" w:rsidRDefault="00223974" w:rsidP="00223974">
            <w:pPr>
              <w:spacing w:after="0" w:line="257" w:lineRule="auto"/>
              <w:rPr>
                <w:rFonts w:ascii="Calibri" w:eastAsia="Calibri" w:hAnsi="Calibri" w:cs="Calibri"/>
                <w:sz w:val="20"/>
                <w:szCs w:val="20"/>
              </w:rPr>
            </w:pPr>
            <w:r w:rsidRPr="00FB7DCC">
              <w:rPr>
                <w:rFonts w:ascii="Calibri" w:eastAsia="Calibri" w:hAnsi="Calibri" w:cs="Calibri"/>
                <w:b/>
                <w:bCs/>
                <w:sz w:val="20"/>
                <w:szCs w:val="20"/>
              </w:rPr>
              <w:t xml:space="preserve">Běžné výdaje </w:t>
            </w:r>
            <w:r w:rsidRPr="00FB7DCC">
              <w:rPr>
                <w:rFonts w:ascii="Calibri" w:eastAsia="Calibri" w:hAnsi="Calibri" w:cs="Calibri"/>
                <w:sz w:val="20"/>
                <w:szCs w:val="20"/>
              </w:rPr>
              <w:t>(v tom)</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315EEE65" w14:textId="0B554BF7"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x</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21EC638C" w14:textId="273003B3"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x</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04B3B6F2" w14:textId="4E28E2EB"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13 491</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7D7E2785" w14:textId="489D0CF2" w:rsidR="00223974" w:rsidRPr="006B6D61" w:rsidRDefault="00223974" w:rsidP="00223974">
            <w:pPr>
              <w:spacing w:after="0" w:line="257" w:lineRule="auto"/>
              <w:jc w:val="right"/>
              <w:rPr>
                <w:rFonts w:eastAsia="Calibri" w:cstheme="minorHAnsi"/>
                <w:b/>
                <w:bCs/>
                <w:sz w:val="20"/>
                <w:szCs w:val="20"/>
                <w:highlight w:val="yellow"/>
              </w:rPr>
            </w:pPr>
            <w:r w:rsidRPr="006B6D61">
              <w:rPr>
                <w:rFonts w:eastAsia="Calibri" w:cstheme="minorHAnsi"/>
                <w:b/>
                <w:bCs/>
                <w:sz w:val="20"/>
                <w:szCs w:val="20"/>
              </w:rPr>
              <w:t>46 668</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6BBF0FB3" w14:textId="2EA4FC5B"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6 377</w:t>
            </w:r>
          </w:p>
        </w:tc>
        <w:tc>
          <w:tcPr>
            <w:tcW w:w="677" w:type="dxa"/>
            <w:tcBorders>
              <w:top w:val="single" w:sz="4" w:space="0" w:color="auto"/>
              <w:left w:val="single" w:sz="4" w:space="0" w:color="auto"/>
              <w:bottom w:val="nil"/>
              <w:right w:val="single" w:sz="4" w:space="0" w:color="auto"/>
            </w:tcBorders>
            <w:tcMar>
              <w:left w:w="70" w:type="dxa"/>
              <w:right w:w="70" w:type="dxa"/>
            </w:tcMar>
            <w:vAlign w:val="center"/>
          </w:tcPr>
          <w:p w14:paraId="1BCA45EF" w14:textId="5370355D"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sz w:val="20"/>
                <w:szCs w:val="20"/>
              </w:rPr>
              <w:t>x</w:t>
            </w:r>
          </w:p>
        </w:tc>
      </w:tr>
      <w:tr w:rsidR="00695296" w:rsidRPr="00695296" w14:paraId="2A5A827D" w14:textId="77777777" w:rsidTr="006B6D61">
        <w:trPr>
          <w:trHeight w:val="300"/>
        </w:trPr>
        <w:tc>
          <w:tcPr>
            <w:tcW w:w="2830" w:type="dxa"/>
            <w:tcBorders>
              <w:top w:val="nil"/>
              <w:left w:val="single" w:sz="4" w:space="0" w:color="auto"/>
              <w:bottom w:val="nil"/>
              <w:right w:val="single" w:sz="4" w:space="0" w:color="auto"/>
            </w:tcBorders>
            <w:tcMar>
              <w:left w:w="70" w:type="dxa"/>
              <w:right w:w="70" w:type="dxa"/>
            </w:tcMar>
            <w:vAlign w:val="center"/>
          </w:tcPr>
          <w:p w14:paraId="516D7881" w14:textId="77777777" w:rsidR="00223974" w:rsidRPr="00FB7DCC" w:rsidRDefault="00223974" w:rsidP="00223974">
            <w:pPr>
              <w:spacing w:after="0" w:line="257" w:lineRule="auto"/>
              <w:ind w:firstLine="4"/>
              <w:rPr>
                <w:rFonts w:ascii="Calibri" w:eastAsia="Calibri" w:hAnsi="Calibri" w:cs="Calibri"/>
                <w:sz w:val="20"/>
                <w:szCs w:val="20"/>
              </w:rPr>
            </w:pPr>
            <w:r w:rsidRPr="00FB7DCC">
              <w:rPr>
                <w:rFonts w:ascii="Calibri" w:eastAsia="Calibri" w:hAnsi="Calibri" w:cs="Calibri"/>
                <w:sz w:val="20"/>
                <w:szCs w:val="20"/>
              </w:rPr>
              <w:t xml:space="preserve">platy zaměstnanců a ostatní </w:t>
            </w:r>
          </w:p>
          <w:p w14:paraId="6FB4DBD4" w14:textId="77777777" w:rsidR="00223974" w:rsidRPr="00FB7DCC" w:rsidRDefault="00223974" w:rsidP="00223974">
            <w:pPr>
              <w:spacing w:after="0" w:line="257" w:lineRule="auto"/>
              <w:rPr>
                <w:rFonts w:ascii="Calibri" w:eastAsia="Calibri" w:hAnsi="Calibri" w:cs="Calibri"/>
                <w:sz w:val="20"/>
                <w:szCs w:val="20"/>
              </w:rPr>
            </w:pPr>
            <w:r w:rsidRPr="00FB7DCC">
              <w:rPr>
                <w:rFonts w:ascii="Calibri" w:eastAsia="Calibri" w:hAnsi="Calibri" w:cs="Calibri"/>
                <w:sz w:val="20"/>
                <w:szCs w:val="20"/>
              </w:rPr>
              <w:t>platby za provedenou práci</w:t>
            </w:r>
          </w:p>
        </w:tc>
        <w:tc>
          <w:tcPr>
            <w:tcW w:w="1098" w:type="dxa"/>
            <w:tcBorders>
              <w:top w:val="nil"/>
              <w:left w:val="single" w:sz="4" w:space="0" w:color="auto"/>
              <w:bottom w:val="nil"/>
              <w:right w:val="single" w:sz="4" w:space="0" w:color="auto"/>
            </w:tcBorders>
            <w:tcMar>
              <w:left w:w="70" w:type="dxa"/>
              <w:right w:w="70" w:type="dxa"/>
            </w:tcMar>
            <w:vAlign w:val="center"/>
          </w:tcPr>
          <w:p w14:paraId="08625499" w14:textId="33E3DB8D"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x </w:t>
            </w:r>
          </w:p>
        </w:tc>
        <w:tc>
          <w:tcPr>
            <w:tcW w:w="1098" w:type="dxa"/>
            <w:tcBorders>
              <w:top w:val="nil"/>
              <w:left w:val="single" w:sz="4" w:space="0" w:color="auto"/>
              <w:bottom w:val="nil"/>
              <w:right w:val="single" w:sz="4" w:space="0" w:color="auto"/>
            </w:tcBorders>
            <w:tcMar>
              <w:left w:w="70" w:type="dxa"/>
              <w:right w:w="70" w:type="dxa"/>
            </w:tcMar>
            <w:vAlign w:val="center"/>
          </w:tcPr>
          <w:p w14:paraId="3F54195F" w14:textId="54A730AA"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x </w:t>
            </w:r>
          </w:p>
        </w:tc>
        <w:tc>
          <w:tcPr>
            <w:tcW w:w="1098" w:type="dxa"/>
            <w:tcBorders>
              <w:top w:val="nil"/>
              <w:left w:val="single" w:sz="4" w:space="0" w:color="auto"/>
              <w:bottom w:val="nil"/>
              <w:right w:val="single" w:sz="4" w:space="0" w:color="auto"/>
            </w:tcBorders>
            <w:tcMar>
              <w:left w:w="70" w:type="dxa"/>
              <w:right w:w="70" w:type="dxa"/>
            </w:tcMar>
            <w:vAlign w:val="center"/>
          </w:tcPr>
          <w:p w14:paraId="185E164C" w14:textId="5D16C1C3"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3 273 </w:t>
            </w:r>
          </w:p>
        </w:tc>
        <w:tc>
          <w:tcPr>
            <w:tcW w:w="1098" w:type="dxa"/>
            <w:tcBorders>
              <w:top w:val="nil"/>
              <w:left w:val="single" w:sz="4" w:space="0" w:color="auto"/>
              <w:bottom w:val="nil"/>
              <w:right w:val="single" w:sz="4" w:space="0" w:color="auto"/>
            </w:tcBorders>
            <w:tcMar>
              <w:left w:w="70" w:type="dxa"/>
              <w:right w:w="70" w:type="dxa"/>
            </w:tcMar>
            <w:vAlign w:val="center"/>
          </w:tcPr>
          <w:p w14:paraId="6C8A31B5" w14:textId="1D9DB38B"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2 863 </w:t>
            </w:r>
          </w:p>
        </w:tc>
        <w:tc>
          <w:tcPr>
            <w:tcW w:w="1098" w:type="dxa"/>
            <w:tcBorders>
              <w:top w:val="nil"/>
              <w:left w:val="single" w:sz="4" w:space="0" w:color="auto"/>
              <w:bottom w:val="nil"/>
              <w:right w:val="single" w:sz="4" w:space="0" w:color="auto"/>
            </w:tcBorders>
            <w:tcMar>
              <w:left w:w="70" w:type="dxa"/>
              <w:right w:w="70" w:type="dxa"/>
            </w:tcMar>
            <w:vAlign w:val="center"/>
          </w:tcPr>
          <w:p w14:paraId="0CA1CD44" w14:textId="300022FA"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2 213 </w:t>
            </w:r>
          </w:p>
        </w:tc>
        <w:tc>
          <w:tcPr>
            <w:tcW w:w="677" w:type="dxa"/>
            <w:tcBorders>
              <w:top w:val="nil"/>
              <w:left w:val="single" w:sz="4" w:space="0" w:color="auto"/>
              <w:bottom w:val="nil"/>
              <w:right w:val="single" w:sz="4" w:space="0" w:color="auto"/>
            </w:tcBorders>
            <w:tcMar>
              <w:left w:w="70" w:type="dxa"/>
              <w:right w:w="70" w:type="dxa"/>
            </w:tcMar>
            <w:vAlign w:val="center"/>
          </w:tcPr>
          <w:p w14:paraId="364C5B62" w14:textId="1A9351CE"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r>
      <w:tr w:rsidR="00695296" w:rsidRPr="00695296" w14:paraId="3BE0629E" w14:textId="77777777" w:rsidTr="006B6D61">
        <w:trPr>
          <w:trHeight w:val="300"/>
        </w:trPr>
        <w:tc>
          <w:tcPr>
            <w:tcW w:w="2830" w:type="dxa"/>
            <w:tcBorders>
              <w:top w:val="nil"/>
              <w:left w:val="single" w:sz="4" w:space="0" w:color="auto"/>
              <w:bottom w:val="nil"/>
              <w:right w:val="single" w:sz="4" w:space="0" w:color="auto"/>
            </w:tcBorders>
            <w:tcMar>
              <w:left w:w="70" w:type="dxa"/>
              <w:right w:w="70" w:type="dxa"/>
            </w:tcMar>
            <w:vAlign w:val="center"/>
          </w:tcPr>
          <w:p w14:paraId="6D4CBE9D" w14:textId="77777777" w:rsidR="00223974" w:rsidRPr="00FB7DCC" w:rsidRDefault="00223974" w:rsidP="00223974">
            <w:pPr>
              <w:spacing w:after="0" w:line="257" w:lineRule="auto"/>
              <w:ind w:firstLine="4"/>
              <w:rPr>
                <w:rFonts w:ascii="Calibri" w:eastAsia="Calibri" w:hAnsi="Calibri" w:cs="Calibri"/>
                <w:sz w:val="20"/>
                <w:szCs w:val="20"/>
              </w:rPr>
            </w:pPr>
            <w:proofErr w:type="spellStart"/>
            <w:r w:rsidRPr="00FB7DCC">
              <w:rPr>
                <w:rFonts w:ascii="Calibri" w:eastAsia="Calibri" w:hAnsi="Calibri" w:cs="Calibri"/>
                <w:sz w:val="20"/>
                <w:szCs w:val="20"/>
              </w:rPr>
              <w:t>pov</w:t>
            </w:r>
            <w:proofErr w:type="spellEnd"/>
            <w:r w:rsidRPr="00FB7DCC">
              <w:rPr>
                <w:rFonts w:ascii="Calibri" w:eastAsia="Calibri" w:hAnsi="Calibri" w:cs="Calibri"/>
                <w:sz w:val="20"/>
                <w:szCs w:val="20"/>
              </w:rPr>
              <w:t>. poj. placené zaměstnav.</w:t>
            </w:r>
          </w:p>
        </w:tc>
        <w:tc>
          <w:tcPr>
            <w:tcW w:w="1098" w:type="dxa"/>
            <w:tcBorders>
              <w:top w:val="nil"/>
              <w:left w:val="single" w:sz="4" w:space="0" w:color="auto"/>
              <w:bottom w:val="nil"/>
              <w:right w:val="single" w:sz="4" w:space="0" w:color="auto"/>
            </w:tcBorders>
            <w:tcMar>
              <w:left w:w="70" w:type="dxa"/>
              <w:right w:w="70" w:type="dxa"/>
            </w:tcMar>
            <w:vAlign w:val="center"/>
          </w:tcPr>
          <w:p w14:paraId="343978A2" w14:textId="5CEBFD3C"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x  </w:t>
            </w:r>
          </w:p>
        </w:tc>
        <w:tc>
          <w:tcPr>
            <w:tcW w:w="1098" w:type="dxa"/>
            <w:tcBorders>
              <w:top w:val="nil"/>
              <w:left w:val="single" w:sz="4" w:space="0" w:color="auto"/>
              <w:bottom w:val="nil"/>
              <w:right w:val="single" w:sz="4" w:space="0" w:color="auto"/>
            </w:tcBorders>
            <w:tcMar>
              <w:left w:w="70" w:type="dxa"/>
              <w:right w:w="70" w:type="dxa"/>
            </w:tcMar>
            <w:vAlign w:val="center"/>
          </w:tcPr>
          <w:p w14:paraId="1BD5B266" w14:textId="00839813"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nil"/>
              <w:right w:val="single" w:sz="4" w:space="0" w:color="auto"/>
            </w:tcBorders>
            <w:tcMar>
              <w:left w:w="70" w:type="dxa"/>
              <w:right w:w="70" w:type="dxa"/>
            </w:tcMar>
            <w:vAlign w:val="center"/>
          </w:tcPr>
          <w:p w14:paraId="7029BAD5" w14:textId="36865E3B"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1 106</w:t>
            </w:r>
          </w:p>
        </w:tc>
        <w:tc>
          <w:tcPr>
            <w:tcW w:w="1098" w:type="dxa"/>
            <w:tcBorders>
              <w:top w:val="nil"/>
              <w:left w:val="single" w:sz="4" w:space="0" w:color="auto"/>
              <w:bottom w:val="nil"/>
              <w:right w:val="single" w:sz="4" w:space="0" w:color="auto"/>
            </w:tcBorders>
            <w:tcMar>
              <w:left w:w="70" w:type="dxa"/>
              <w:right w:w="70" w:type="dxa"/>
            </w:tcMar>
            <w:vAlign w:val="center"/>
          </w:tcPr>
          <w:p w14:paraId="0BF17E09" w14:textId="4BDD0FDD"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968</w:t>
            </w:r>
          </w:p>
        </w:tc>
        <w:tc>
          <w:tcPr>
            <w:tcW w:w="1098" w:type="dxa"/>
            <w:tcBorders>
              <w:top w:val="nil"/>
              <w:left w:val="single" w:sz="4" w:space="0" w:color="auto"/>
              <w:bottom w:val="nil"/>
              <w:right w:val="single" w:sz="4" w:space="0" w:color="auto"/>
            </w:tcBorders>
            <w:tcMar>
              <w:left w:w="70" w:type="dxa"/>
              <w:right w:w="70" w:type="dxa"/>
            </w:tcMar>
            <w:vAlign w:val="center"/>
          </w:tcPr>
          <w:p w14:paraId="4A7CCE19" w14:textId="4543A4C2"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 xml:space="preserve">748  </w:t>
            </w:r>
          </w:p>
        </w:tc>
        <w:tc>
          <w:tcPr>
            <w:tcW w:w="677" w:type="dxa"/>
            <w:tcBorders>
              <w:top w:val="nil"/>
              <w:left w:val="single" w:sz="4" w:space="0" w:color="auto"/>
              <w:bottom w:val="nil"/>
              <w:right w:val="single" w:sz="4" w:space="0" w:color="auto"/>
            </w:tcBorders>
            <w:tcMar>
              <w:left w:w="70" w:type="dxa"/>
              <w:right w:w="70" w:type="dxa"/>
            </w:tcMar>
            <w:vAlign w:val="center"/>
          </w:tcPr>
          <w:p w14:paraId="30FB8314" w14:textId="630F5820"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r>
      <w:tr w:rsidR="00695296" w:rsidRPr="00695296" w14:paraId="11D979CC" w14:textId="77777777" w:rsidTr="006B6D61">
        <w:trPr>
          <w:trHeight w:val="300"/>
        </w:trPr>
        <w:tc>
          <w:tcPr>
            <w:tcW w:w="2830" w:type="dxa"/>
            <w:tcBorders>
              <w:top w:val="nil"/>
              <w:left w:val="single" w:sz="4" w:space="0" w:color="auto"/>
              <w:bottom w:val="nil"/>
              <w:right w:val="single" w:sz="4" w:space="0" w:color="auto"/>
            </w:tcBorders>
            <w:tcMar>
              <w:left w:w="70" w:type="dxa"/>
              <w:right w:w="70" w:type="dxa"/>
            </w:tcMar>
            <w:vAlign w:val="center"/>
          </w:tcPr>
          <w:p w14:paraId="2A3424C3" w14:textId="77777777" w:rsidR="00223974" w:rsidRPr="00FB7DCC" w:rsidRDefault="00223974" w:rsidP="00223974">
            <w:pPr>
              <w:spacing w:after="0" w:line="257" w:lineRule="auto"/>
              <w:ind w:firstLine="4"/>
              <w:rPr>
                <w:rFonts w:ascii="Calibri" w:eastAsia="Calibri" w:hAnsi="Calibri" w:cs="Calibri"/>
                <w:sz w:val="20"/>
                <w:szCs w:val="20"/>
              </w:rPr>
            </w:pPr>
            <w:r w:rsidRPr="00FB7DCC">
              <w:rPr>
                <w:rFonts w:ascii="Calibri" w:eastAsia="Calibri" w:hAnsi="Calibri" w:cs="Calibri"/>
                <w:sz w:val="20"/>
                <w:szCs w:val="20"/>
              </w:rPr>
              <w:t>základní příděl FKSP</w:t>
            </w:r>
          </w:p>
        </w:tc>
        <w:tc>
          <w:tcPr>
            <w:tcW w:w="1098" w:type="dxa"/>
            <w:tcBorders>
              <w:top w:val="nil"/>
              <w:left w:val="single" w:sz="4" w:space="0" w:color="auto"/>
              <w:bottom w:val="nil"/>
              <w:right w:val="single" w:sz="4" w:space="0" w:color="auto"/>
            </w:tcBorders>
            <w:tcMar>
              <w:left w:w="70" w:type="dxa"/>
              <w:right w:w="70" w:type="dxa"/>
            </w:tcMar>
            <w:vAlign w:val="center"/>
          </w:tcPr>
          <w:p w14:paraId="2D730CC1" w14:textId="22A95809"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nil"/>
              <w:right w:val="single" w:sz="4" w:space="0" w:color="auto"/>
            </w:tcBorders>
            <w:tcMar>
              <w:left w:w="70" w:type="dxa"/>
              <w:right w:w="70" w:type="dxa"/>
            </w:tcMar>
            <w:vAlign w:val="center"/>
          </w:tcPr>
          <w:p w14:paraId="31BD1FA1" w14:textId="070E1A7C"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nil"/>
              <w:right w:val="single" w:sz="4" w:space="0" w:color="auto"/>
            </w:tcBorders>
            <w:tcMar>
              <w:left w:w="70" w:type="dxa"/>
              <w:right w:w="70" w:type="dxa"/>
            </w:tcMar>
            <w:vAlign w:val="center"/>
          </w:tcPr>
          <w:p w14:paraId="3F734352" w14:textId="796F01D3"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65</w:t>
            </w:r>
          </w:p>
        </w:tc>
        <w:tc>
          <w:tcPr>
            <w:tcW w:w="1098" w:type="dxa"/>
            <w:tcBorders>
              <w:top w:val="nil"/>
              <w:left w:val="single" w:sz="4" w:space="0" w:color="auto"/>
              <w:bottom w:val="nil"/>
              <w:right w:val="single" w:sz="4" w:space="0" w:color="auto"/>
            </w:tcBorders>
            <w:tcMar>
              <w:left w:w="70" w:type="dxa"/>
              <w:right w:w="70" w:type="dxa"/>
            </w:tcMar>
            <w:vAlign w:val="center"/>
          </w:tcPr>
          <w:p w14:paraId="43EA86D7" w14:textId="25E1904F"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57</w:t>
            </w:r>
          </w:p>
        </w:tc>
        <w:tc>
          <w:tcPr>
            <w:tcW w:w="1098" w:type="dxa"/>
            <w:tcBorders>
              <w:top w:val="nil"/>
              <w:left w:val="single" w:sz="4" w:space="0" w:color="auto"/>
              <w:bottom w:val="nil"/>
              <w:right w:val="single" w:sz="4" w:space="0" w:color="auto"/>
            </w:tcBorders>
            <w:tcMar>
              <w:left w:w="70" w:type="dxa"/>
              <w:right w:w="70" w:type="dxa"/>
            </w:tcMar>
            <w:vAlign w:val="center"/>
          </w:tcPr>
          <w:p w14:paraId="1743CF15" w14:textId="2D0BE24E"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44</w:t>
            </w:r>
          </w:p>
        </w:tc>
        <w:tc>
          <w:tcPr>
            <w:tcW w:w="677" w:type="dxa"/>
            <w:tcBorders>
              <w:top w:val="nil"/>
              <w:left w:val="single" w:sz="4" w:space="0" w:color="auto"/>
              <w:bottom w:val="nil"/>
              <w:right w:val="single" w:sz="4" w:space="0" w:color="auto"/>
            </w:tcBorders>
            <w:tcMar>
              <w:left w:w="70" w:type="dxa"/>
              <w:right w:w="70" w:type="dxa"/>
            </w:tcMar>
            <w:vAlign w:val="center"/>
          </w:tcPr>
          <w:p w14:paraId="1F6C1E77" w14:textId="58CACDFA"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r>
      <w:tr w:rsidR="00695296" w:rsidRPr="00695296" w14:paraId="1AD3F656" w14:textId="77777777" w:rsidTr="006B6D61">
        <w:trPr>
          <w:trHeight w:val="300"/>
        </w:trPr>
        <w:tc>
          <w:tcPr>
            <w:tcW w:w="2830" w:type="dxa"/>
            <w:tcBorders>
              <w:top w:val="nil"/>
              <w:left w:val="single" w:sz="4" w:space="0" w:color="auto"/>
              <w:bottom w:val="nil"/>
              <w:right w:val="single" w:sz="4" w:space="0" w:color="auto"/>
            </w:tcBorders>
            <w:tcMar>
              <w:left w:w="70" w:type="dxa"/>
              <w:right w:w="70" w:type="dxa"/>
            </w:tcMar>
            <w:vAlign w:val="center"/>
          </w:tcPr>
          <w:p w14:paraId="5F225449" w14:textId="77777777" w:rsidR="00223974" w:rsidRPr="00FB7DCC" w:rsidRDefault="00223974" w:rsidP="00223974">
            <w:pPr>
              <w:spacing w:after="0" w:line="257" w:lineRule="auto"/>
              <w:ind w:firstLine="4"/>
              <w:rPr>
                <w:rFonts w:ascii="Calibri" w:eastAsia="Calibri" w:hAnsi="Calibri" w:cs="Calibri"/>
                <w:sz w:val="20"/>
                <w:szCs w:val="20"/>
              </w:rPr>
            </w:pPr>
            <w:r w:rsidRPr="00FB7DCC">
              <w:rPr>
                <w:rFonts w:ascii="Calibri" w:eastAsia="Calibri" w:hAnsi="Calibri" w:cs="Calibri"/>
                <w:sz w:val="20"/>
                <w:szCs w:val="20"/>
              </w:rPr>
              <w:t>ostatní neinvestiční výdaje</w:t>
            </w:r>
          </w:p>
        </w:tc>
        <w:tc>
          <w:tcPr>
            <w:tcW w:w="1098" w:type="dxa"/>
            <w:tcBorders>
              <w:top w:val="nil"/>
              <w:left w:val="single" w:sz="4" w:space="0" w:color="auto"/>
              <w:bottom w:val="nil"/>
              <w:right w:val="single" w:sz="4" w:space="0" w:color="auto"/>
            </w:tcBorders>
            <w:tcMar>
              <w:left w:w="70" w:type="dxa"/>
              <w:right w:w="70" w:type="dxa"/>
            </w:tcMar>
            <w:vAlign w:val="center"/>
          </w:tcPr>
          <w:p w14:paraId="430851CE" w14:textId="6BABF187"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nil"/>
              <w:right w:val="single" w:sz="4" w:space="0" w:color="auto"/>
            </w:tcBorders>
            <w:tcMar>
              <w:left w:w="70" w:type="dxa"/>
              <w:right w:w="70" w:type="dxa"/>
            </w:tcMar>
            <w:vAlign w:val="center"/>
          </w:tcPr>
          <w:p w14:paraId="31372B25" w14:textId="595F78DD"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nil"/>
              <w:right w:val="single" w:sz="4" w:space="0" w:color="auto"/>
            </w:tcBorders>
            <w:tcMar>
              <w:left w:w="70" w:type="dxa"/>
              <w:right w:w="70" w:type="dxa"/>
            </w:tcMar>
            <w:vAlign w:val="center"/>
          </w:tcPr>
          <w:p w14:paraId="2C7F0615" w14:textId="012CBEBE" w:rsidR="00223974" w:rsidRPr="006B6D61" w:rsidRDefault="00223974" w:rsidP="00223974">
            <w:pPr>
              <w:spacing w:after="0" w:line="257" w:lineRule="auto"/>
              <w:jc w:val="right"/>
              <w:rPr>
                <w:rFonts w:eastAsia="Calibri" w:cstheme="minorHAnsi"/>
                <w:sz w:val="20"/>
                <w:szCs w:val="20"/>
                <w:highlight w:val="yellow"/>
              </w:rPr>
            </w:pPr>
            <w:r w:rsidRPr="006B6D61">
              <w:rPr>
                <w:rFonts w:eastAsia="Calibri" w:cstheme="minorHAnsi"/>
                <w:sz w:val="20"/>
                <w:szCs w:val="20"/>
              </w:rPr>
              <w:t>9 047</w:t>
            </w:r>
          </w:p>
        </w:tc>
        <w:tc>
          <w:tcPr>
            <w:tcW w:w="1098" w:type="dxa"/>
            <w:tcBorders>
              <w:top w:val="nil"/>
              <w:left w:val="single" w:sz="4" w:space="0" w:color="auto"/>
              <w:bottom w:val="nil"/>
              <w:right w:val="single" w:sz="4" w:space="0" w:color="auto"/>
            </w:tcBorders>
            <w:tcMar>
              <w:left w:w="70" w:type="dxa"/>
              <w:right w:w="70" w:type="dxa"/>
            </w:tcMar>
            <w:vAlign w:val="center"/>
          </w:tcPr>
          <w:p w14:paraId="20190CBA" w14:textId="4DD5D539" w:rsidR="00223974" w:rsidRPr="006B6D61" w:rsidRDefault="00223974" w:rsidP="00223974">
            <w:pPr>
              <w:spacing w:after="0" w:line="257" w:lineRule="auto"/>
              <w:jc w:val="right"/>
              <w:rPr>
                <w:rFonts w:eastAsia="Calibri" w:cstheme="minorHAnsi"/>
                <w:sz w:val="20"/>
                <w:szCs w:val="20"/>
                <w:highlight w:val="yellow"/>
              </w:rPr>
            </w:pPr>
            <w:r w:rsidRPr="006B6D61">
              <w:rPr>
                <w:rFonts w:eastAsia="Calibri" w:cstheme="minorHAnsi"/>
                <w:sz w:val="20"/>
                <w:szCs w:val="20"/>
              </w:rPr>
              <w:t>42 780</w:t>
            </w:r>
          </w:p>
        </w:tc>
        <w:tc>
          <w:tcPr>
            <w:tcW w:w="1098" w:type="dxa"/>
            <w:tcBorders>
              <w:top w:val="nil"/>
              <w:left w:val="single" w:sz="4" w:space="0" w:color="auto"/>
              <w:bottom w:val="nil"/>
              <w:right w:val="single" w:sz="4" w:space="0" w:color="auto"/>
            </w:tcBorders>
            <w:tcMar>
              <w:left w:w="70" w:type="dxa"/>
              <w:right w:w="70" w:type="dxa"/>
            </w:tcMar>
            <w:vAlign w:val="center"/>
          </w:tcPr>
          <w:p w14:paraId="7C09FEC7" w14:textId="043C3523" w:rsidR="00223974" w:rsidRPr="006B6D61" w:rsidRDefault="00223974" w:rsidP="00223974">
            <w:pPr>
              <w:spacing w:after="0" w:line="257" w:lineRule="auto"/>
              <w:jc w:val="right"/>
              <w:rPr>
                <w:rFonts w:eastAsia="Calibri" w:cstheme="minorHAnsi"/>
                <w:sz w:val="20"/>
                <w:szCs w:val="20"/>
                <w:highlight w:val="yellow"/>
              </w:rPr>
            </w:pPr>
            <w:r w:rsidRPr="006B6D61">
              <w:rPr>
                <w:rFonts w:eastAsia="Calibri" w:cstheme="minorHAnsi"/>
                <w:sz w:val="20"/>
                <w:szCs w:val="20"/>
              </w:rPr>
              <w:t>3 372</w:t>
            </w:r>
          </w:p>
        </w:tc>
        <w:tc>
          <w:tcPr>
            <w:tcW w:w="677" w:type="dxa"/>
            <w:tcBorders>
              <w:top w:val="nil"/>
              <w:left w:val="single" w:sz="4" w:space="0" w:color="auto"/>
              <w:bottom w:val="nil"/>
              <w:right w:val="single" w:sz="4" w:space="0" w:color="auto"/>
            </w:tcBorders>
            <w:tcMar>
              <w:left w:w="70" w:type="dxa"/>
              <w:right w:w="70" w:type="dxa"/>
            </w:tcMar>
            <w:vAlign w:val="center"/>
          </w:tcPr>
          <w:p w14:paraId="268015E0" w14:textId="6E02586A"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r>
      <w:tr w:rsidR="00695296" w:rsidRPr="00695296" w14:paraId="55DDBE0C" w14:textId="77777777" w:rsidTr="006B6D61">
        <w:trPr>
          <w:trHeight w:val="300"/>
        </w:trPr>
        <w:tc>
          <w:tcPr>
            <w:tcW w:w="2830" w:type="dxa"/>
            <w:tcBorders>
              <w:top w:val="nil"/>
              <w:left w:val="single" w:sz="4" w:space="0" w:color="auto"/>
              <w:bottom w:val="single" w:sz="4" w:space="0" w:color="auto"/>
              <w:right w:val="single" w:sz="4" w:space="0" w:color="auto"/>
            </w:tcBorders>
            <w:tcMar>
              <w:left w:w="70" w:type="dxa"/>
              <w:right w:w="70" w:type="dxa"/>
            </w:tcMar>
            <w:vAlign w:val="center"/>
          </w:tcPr>
          <w:p w14:paraId="509E116A" w14:textId="77777777" w:rsidR="00223974" w:rsidRPr="00FB7DCC" w:rsidRDefault="00223974" w:rsidP="00223974">
            <w:pPr>
              <w:spacing w:after="0" w:line="257" w:lineRule="auto"/>
              <w:ind w:firstLine="4"/>
              <w:rPr>
                <w:rFonts w:ascii="Calibri" w:eastAsia="Calibri" w:hAnsi="Calibri" w:cs="Calibri"/>
                <w:sz w:val="20"/>
                <w:szCs w:val="20"/>
              </w:rPr>
            </w:pPr>
            <w:r w:rsidRPr="00FB7DCC">
              <w:rPr>
                <w:rFonts w:ascii="Calibri" w:eastAsia="Calibri" w:hAnsi="Calibri" w:cs="Calibri"/>
                <w:sz w:val="20"/>
                <w:szCs w:val="20"/>
              </w:rPr>
              <w:t>z toho: RISPF</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5B0EF6FC" w14:textId="2D81D9F3"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6825F577" w14:textId="010CC95A"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1346C0DB" w14:textId="0FAA3BBB"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183</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1C61573F" w14:textId="064416E9"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1 054</w:t>
            </w:r>
          </w:p>
        </w:tc>
        <w:tc>
          <w:tcPr>
            <w:tcW w:w="1098" w:type="dxa"/>
            <w:tcBorders>
              <w:top w:val="nil"/>
              <w:left w:val="single" w:sz="4" w:space="0" w:color="auto"/>
              <w:bottom w:val="single" w:sz="4" w:space="0" w:color="auto"/>
              <w:right w:val="single" w:sz="4" w:space="0" w:color="auto"/>
            </w:tcBorders>
            <w:tcMar>
              <w:left w:w="70" w:type="dxa"/>
              <w:right w:w="70" w:type="dxa"/>
            </w:tcMar>
            <w:vAlign w:val="center"/>
          </w:tcPr>
          <w:p w14:paraId="5D5CBC84" w14:textId="2853EE1D"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282</w:t>
            </w:r>
          </w:p>
        </w:tc>
        <w:tc>
          <w:tcPr>
            <w:tcW w:w="677" w:type="dxa"/>
            <w:tcBorders>
              <w:top w:val="nil"/>
              <w:left w:val="single" w:sz="4" w:space="0" w:color="auto"/>
              <w:bottom w:val="single" w:sz="4" w:space="0" w:color="auto"/>
              <w:right w:val="single" w:sz="4" w:space="0" w:color="auto"/>
            </w:tcBorders>
            <w:tcMar>
              <w:left w:w="70" w:type="dxa"/>
              <w:right w:w="70" w:type="dxa"/>
            </w:tcMar>
            <w:vAlign w:val="center"/>
          </w:tcPr>
          <w:p w14:paraId="49B8E95F" w14:textId="2EA1D0B9"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r>
      <w:tr w:rsidR="00695296" w:rsidRPr="00695296" w14:paraId="7327FFAD" w14:textId="77777777" w:rsidTr="006B6D61">
        <w:trPr>
          <w:trHeight w:val="260"/>
        </w:trPr>
        <w:tc>
          <w:tcPr>
            <w:tcW w:w="2830" w:type="dxa"/>
            <w:tcBorders>
              <w:top w:val="single" w:sz="4" w:space="0" w:color="auto"/>
              <w:left w:val="single" w:sz="4" w:space="0" w:color="auto"/>
              <w:bottom w:val="nil"/>
              <w:right w:val="single" w:sz="4" w:space="0" w:color="auto"/>
            </w:tcBorders>
            <w:tcMar>
              <w:left w:w="70" w:type="dxa"/>
              <w:right w:w="70" w:type="dxa"/>
            </w:tcMar>
            <w:vAlign w:val="center"/>
          </w:tcPr>
          <w:p w14:paraId="36D0B8B6" w14:textId="77777777" w:rsidR="00223974" w:rsidRPr="006B6D61" w:rsidRDefault="00223974" w:rsidP="00223974">
            <w:pPr>
              <w:spacing w:after="0" w:line="257" w:lineRule="auto"/>
              <w:rPr>
                <w:rFonts w:ascii="Calibri" w:eastAsia="Calibri" w:hAnsi="Calibri" w:cs="Calibri"/>
                <w:sz w:val="20"/>
                <w:szCs w:val="20"/>
              </w:rPr>
            </w:pPr>
            <w:r w:rsidRPr="006B6D61">
              <w:rPr>
                <w:rFonts w:ascii="Calibri" w:eastAsia="Calibri" w:hAnsi="Calibri" w:cs="Calibri"/>
                <w:b/>
                <w:bCs/>
                <w:sz w:val="20"/>
                <w:szCs w:val="20"/>
              </w:rPr>
              <w:t xml:space="preserve">Kapitálové výdaje </w:t>
            </w:r>
            <w:r w:rsidRPr="006B6D61">
              <w:rPr>
                <w:rFonts w:ascii="Calibri" w:eastAsia="Calibri" w:hAnsi="Calibri" w:cs="Calibri"/>
                <w:sz w:val="20"/>
                <w:szCs w:val="20"/>
              </w:rPr>
              <w:t>(v tom:)</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004AFC9B" w14:textId="49E714B3"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x</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57C97BA8" w14:textId="40C4A5D8"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x</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6799C275" w14:textId="53C79079"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17 066</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10C5F659" w14:textId="1EF03D47"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98 153</w:t>
            </w:r>
          </w:p>
        </w:tc>
        <w:tc>
          <w:tcPr>
            <w:tcW w:w="1098" w:type="dxa"/>
            <w:tcBorders>
              <w:top w:val="single" w:sz="4" w:space="0" w:color="auto"/>
              <w:left w:val="single" w:sz="4" w:space="0" w:color="auto"/>
              <w:bottom w:val="nil"/>
              <w:right w:val="single" w:sz="4" w:space="0" w:color="auto"/>
            </w:tcBorders>
            <w:tcMar>
              <w:left w:w="70" w:type="dxa"/>
              <w:right w:w="70" w:type="dxa"/>
            </w:tcMar>
            <w:vAlign w:val="center"/>
          </w:tcPr>
          <w:p w14:paraId="158860C4" w14:textId="18F2F164" w:rsidR="00223974" w:rsidRPr="006B6D61" w:rsidRDefault="00223974" w:rsidP="00223974">
            <w:pPr>
              <w:spacing w:after="0" w:line="257" w:lineRule="auto"/>
              <w:jc w:val="right"/>
              <w:rPr>
                <w:rFonts w:eastAsia="Calibri" w:cstheme="minorHAnsi"/>
                <w:b/>
                <w:bCs/>
                <w:sz w:val="20"/>
                <w:szCs w:val="20"/>
              </w:rPr>
            </w:pPr>
            <w:r w:rsidRPr="006B6D61">
              <w:rPr>
                <w:rFonts w:eastAsia="Calibri" w:cstheme="minorHAnsi"/>
                <w:b/>
                <w:bCs/>
                <w:sz w:val="20"/>
                <w:szCs w:val="20"/>
              </w:rPr>
              <w:t>8 116</w:t>
            </w:r>
          </w:p>
        </w:tc>
        <w:tc>
          <w:tcPr>
            <w:tcW w:w="677" w:type="dxa"/>
            <w:tcBorders>
              <w:top w:val="single" w:sz="4" w:space="0" w:color="auto"/>
              <w:left w:val="single" w:sz="4" w:space="0" w:color="auto"/>
              <w:bottom w:val="nil"/>
              <w:right w:val="single" w:sz="4" w:space="0" w:color="auto"/>
            </w:tcBorders>
            <w:tcMar>
              <w:left w:w="70" w:type="dxa"/>
              <w:right w:w="70" w:type="dxa"/>
            </w:tcMar>
            <w:vAlign w:val="center"/>
          </w:tcPr>
          <w:p w14:paraId="2BF50E07" w14:textId="43751812" w:rsidR="00223974" w:rsidRPr="006B6D61" w:rsidRDefault="00223974" w:rsidP="00223974">
            <w:pPr>
              <w:spacing w:after="0" w:line="257" w:lineRule="auto"/>
              <w:jc w:val="right"/>
              <w:rPr>
                <w:rFonts w:eastAsia="Calibri" w:cstheme="minorHAnsi"/>
                <w:b/>
                <w:sz w:val="20"/>
                <w:szCs w:val="20"/>
              </w:rPr>
            </w:pPr>
            <w:r w:rsidRPr="006B6D61">
              <w:rPr>
                <w:rFonts w:eastAsia="Calibri" w:cstheme="minorHAnsi"/>
                <w:b/>
                <w:bCs/>
                <w:sz w:val="20"/>
                <w:szCs w:val="20"/>
              </w:rPr>
              <w:t>x</w:t>
            </w:r>
          </w:p>
        </w:tc>
      </w:tr>
      <w:tr w:rsidR="00695296" w:rsidRPr="00695296" w14:paraId="05D1CA5D" w14:textId="77777777" w:rsidTr="006B6D61">
        <w:trPr>
          <w:trHeight w:val="300"/>
        </w:trPr>
        <w:tc>
          <w:tcPr>
            <w:tcW w:w="2830" w:type="dxa"/>
            <w:tcBorders>
              <w:top w:val="nil"/>
              <w:left w:val="single" w:sz="4" w:space="0" w:color="auto"/>
              <w:bottom w:val="single" w:sz="8" w:space="0" w:color="auto"/>
              <w:right w:val="single" w:sz="4" w:space="0" w:color="auto"/>
            </w:tcBorders>
            <w:tcMar>
              <w:left w:w="70" w:type="dxa"/>
              <w:right w:w="70" w:type="dxa"/>
            </w:tcMar>
            <w:vAlign w:val="center"/>
          </w:tcPr>
          <w:p w14:paraId="60888795" w14:textId="77777777" w:rsidR="00223974" w:rsidRPr="006B6D61" w:rsidRDefault="00223974" w:rsidP="00223974">
            <w:pPr>
              <w:spacing w:after="0" w:line="257" w:lineRule="auto"/>
              <w:ind w:left="6" w:hanging="6"/>
              <w:rPr>
                <w:rFonts w:ascii="Calibri" w:eastAsia="Calibri" w:hAnsi="Calibri" w:cs="Calibri"/>
                <w:sz w:val="20"/>
                <w:szCs w:val="20"/>
              </w:rPr>
            </w:pPr>
            <w:r w:rsidRPr="006B6D61">
              <w:rPr>
                <w:rFonts w:ascii="Calibri" w:eastAsia="Calibri" w:hAnsi="Calibri" w:cs="Calibri"/>
                <w:sz w:val="20"/>
                <w:szCs w:val="20"/>
              </w:rPr>
              <w:t>RISPF</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70C64328" w14:textId="6B858176"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010B422E" w14:textId="1133C346"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27F6A0E0" w14:textId="1B2E8BBF"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17 066</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3B8673C3" w14:textId="06A90464"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98 153</w:t>
            </w:r>
          </w:p>
        </w:tc>
        <w:tc>
          <w:tcPr>
            <w:tcW w:w="1098" w:type="dxa"/>
            <w:tcBorders>
              <w:top w:val="nil"/>
              <w:left w:val="single" w:sz="4" w:space="0" w:color="auto"/>
              <w:bottom w:val="single" w:sz="8" w:space="0" w:color="auto"/>
              <w:right w:val="single" w:sz="4" w:space="0" w:color="auto"/>
            </w:tcBorders>
            <w:tcMar>
              <w:left w:w="70" w:type="dxa"/>
              <w:right w:w="70" w:type="dxa"/>
            </w:tcMar>
            <w:vAlign w:val="center"/>
          </w:tcPr>
          <w:p w14:paraId="3013E2A2" w14:textId="0C6F8372"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8 116</w:t>
            </w:r>
          </w:p>
        </w:tc>
        <w:tc>
          <w:tcPr>
            <w:tcW w:w="677" w:type="dxa"/>
            <w:tcBorders>
              <w:top w:val="nil"/>
              <w:left w:val="single" w:sz="4" w:space="0" w:color="auto"/>
              <w:bottom w:val="single" w:sz="8" w:space="0" w:color="auto"/>
              <w:right w:val="single" w:sz="4" w:space="0" w:color="auto"/>
            </w:tcBorders>
            <w:tcMar>
              <w:left w:w="70" w:type="dxa"/>
              <w:right w:w="70" w:type="dxa"/>
            </w:tcMar>
            <w:vAlign w:val="center"/>
          </w:tcPr>
          <w:p w14:paraId="05EA3A78" w14:textId="001DB42E" w:rsidR="00223974" w:rsidRPr="006B6D61" w:rsidRDefault="00223974" w:rsidP="00223974">
            <w:pPr>
              <w:spacing w:after="0" w:line="257" w:lineRule="auto"/>
              <w:jc w:val="right"/>
              <w:rPr>
                <w:rFonts w:eastAsia="Calibri" w:cstheme="minorHAnsi"/>
                <w:sz w:val="20"/>
                <w:szCs w:val="20"/>
              </w:rPr>
            </w:pPr>
            <w:r w:rsidRPr="006B6D61">
              <w:rPr>
                <w:rFonts w:eastAsia="Calibri" w:cstheme="minorHAnsi"/>
                <w:sz w:val="20"/>
                <w:szCs w:val="20"/>
              </w:rPr>
              <w:t>x</w:t>
            </w:r>
          </w:p>
        </w:tc>
      </w:tr>
    </w:tbl>
    <w:p w14:paraId="4BEC344A" w14:textId="1026DD89" w:rsidR="00BE0378" w:rsidRPr="00FB7DCC" w:rsidRDefault="00BE0378" w:rsidP="006B6D61">
      <w:pPr>
        <w:pStyle w:val="KOMtext"/>
      </w:pPr>
      <w:r w:rsidRPr="006B6D61">
        <w:lastRenderedPageBreak/>
        <w:t xml:space="preserve">Schválený rozpočet nové organizační složky státu nebyl stanoven, jelikož úřad vznikl až </w:t>
      </w:r>
      <w:r w:rsidRPr="006B6D61">
        <w:br/>
        <w:t>1. července 2023. Rozpočtovými opatřeními byl rozpočet</w:t>
      </w:r>
      <w:r>
        <w:t xml:space="preserve"> </w:t>
      </w:r>
      <w:r w:rsidR="00E01134">
        <w:t>po změnách</w:t>
      </w:r>
      <w:r w:rsidRPr="006B6D61">
        <w:t xml:space="preserve"> stanoven ve výši </w:t>
      </w:r>
      <w:r w:rsidRPr="006B6D61">
        <w:br/>
        <w:t>30 557 tis. Kč. Skutečné čerpání bylo ve výši 14 493 tis. Kč,</w:t>
      </w:r>
      <w:r w:rsidR="0065237A">
        <w:t xml:space="preserve"> </w:t>
      </w:r>
      <w:r w:rsidR="00C42D7A">
        <w:t xml:space="preserve">tj. </w:t>
      </w:r>
      <w:r w:rsidR="00FD4A5B">
        <w:t>47,4 %</w:t>
      </w:r>
      <w:r w:rsidR="007026EB">
        <w:t xml:space="preserve"> </w:t>
      </w:r>
      <w:r w:rsidR="00575586">
        <w:t>rozpočtu po změnách</w:t>
      </w:r>
      <w:r w:rsidR="000B3969">
        <w:t>,</w:t>
      </w:r>
      <w:r w:rsidRPr="006B6D61">
        <w:t xml:space="preserve"> </w:t>
      </w:r>
      <w:r w:rsidR="00277DB2">
        <w:br/>
      </w:r>
      <w:r w:rsidRPr="006B6D61">
        <w:t>a to včetně čerpání nároků z nespotřebovaných výdajů ve výši 8</w:t>
      </w:r>
      <w:r w:rsidR="00277DB2">
        <w:t> </w:t>
      </w:r>
      <w:r w:rsidRPr="006B6D61">
        <w:t>563</w:t>
      </w:r>
      <w:r w:rsidR="00277DB2">
        <w:t xml:space="preserve"> </w:t>
      </w:r>
      <w:r w:rsidRPr="006B6D61">
        <w:t>tis. Kč.</w:t>
      </w:r>
    </w:p>
    <w:p w14:paraId="3F9EDD44" w14:textId="77777777" w:rsidR="00BE0378" w:rsidRPr="00FE2D27" w:rsidRDefault="00BE0378" w:rsidP="008A0E44">
      <w:pPr>
        <w:pStyle w:val="KOMnadp4"/>
      </w:pPr>
      <w:r w:rsidRPr="006B6D61">
        <w:t>Běžné výdaje</w:t>
      </w:r>
    </w:p>
    <w:p w14:paraId="4C9B4B99" w14:textId="4AB43633" w:rsidR="00BE0378" w:rsidRPr="00FE2D27" w:rsidRDefault="00BE0378" w:rsidP="006B6D61">
      <w:pPr>
        <w:pStyle w:val="KOMtext"/>
        <w:rPr>
          <w:rFonts w:eastAsia="Calibri"/>
        </w:rPr>
      </w:pPr>
      <w:r w:rsidRPr="00FE2D27">
        <w:rPr>
          <w:rFonts w:eastAsia="Calibri"/>
        </w:rPr>
        <w:t>Na základě rozpočtových opatření v průběhu 3. a 4. čtvrtletí byl stanoven rozpočet</w:t>
      </w:r>
      <w:r>
        <w:rPr>
          <w:rFonts w:eastAsia="Calibri"/>
        </w:rPr>
        <w:t xml:space="preserve"> </w:t>
      </w:r>
      <w:r w:rsidR="006251E6">
        <w:rPr>
          <w:rFonts w:eastAsia="Calibri"/>
        </w:rPr>
        <w:br/>
      </w:r>
      <w:r w:rsidR="00E01134">
        <w:rPr>
          <w:rFonts w:eastAsia="Calibri"/>
        </w:rPr>
        <w:t>po změnách</w:t>
      </w:r>
      <w:r w:rsidRPr="00FE2D27">
        <w:rPr>
          <w:rFonts w:eastAsia="Calibri"/>
        </w:rPr>
        <w:t xml:space="preserve"> běžných výdajů ve výši 13 491 tis. Kč. Největší položku rozpočtu </w:t>
      </w:r>
      <w:r w:rsidR="006247E0">
        <w:rPr>
          <w:rFonts w:eastAsia="Calibri"/>
        </w:rPr>
        <w:t>po změnách</w:t>
      </w:r>
      <w:r>
        <w:rPr>
          <w:rFonts w:eastAsia="Calibri"/>
        </w:rPr>
        <w:t xml:space="preserve"> </w:t>
      </w:r>
      <w:r w:rsidRPr="00FE2D27">
        <w:rPr>
          <w:rFonts w:eastAsia="Calibri"/>
        </w:rPr>
        <w:t>tvořily ostatní neinvestiční výdaje. Běžné výdaje byly čerpané ve výši 6 377 tis. Kč,</w:t>
      </w:r>
      <w:r w:rsidR="00464DCE">
        <w:rPr>
          <w:rFonts w:eastAsia="Calibri"/>
        </w:rPr>
        <w:t xml:space="preserve"> tj. </w:t>
      </w:r>
      <w:r w:rsidR="00B84FA8">
        <w:rPr>
          <w:rFonts w:eastAsia="Calibri"/>
        </w:rPr>
        <w:t>47</w:t>
      </w:r>
      <w:r w:rsidR="00E359B7">
        <w:rPr>
          <w:rFonts w:eastAsia="Calibri"/>
        </w:rPr>
        <w:t>,</w:t>
      </w:r>
      <w:r w:rsidR="009853F1">
        <w:rPr>
          <w:rFonts w:eastAsia="Calibri"/>
        </w:rPr>
        <w:t>3 % rozpočtu po změnách</w:t>
      </w:r>
      <w:r w:rsidRPr="00FE2D27">
        <w:rPr>
          <w:rFonts w:eastAsia="Calibri"/>
        </w:rPr>
        <w:t xml:space="preserve">, a to včetně čerpání nároků z nespotřebovaných výdajů ve výši </w:t>
      </w:r>
      <w:r w:rsidR="00CF39B4">
        <w:rPr>
          <w:rFonts w:eastAsia="Calibri"/>
        </w:rPr>
        <w:br/>
      </w:r>
      <w:r w:rsidRPr="00FE2D27">
        <w:rPr>
          <w:rFonts w:eastAsia="Calibri"/>
        </w:rPr>
        <w:t xml:space="preserve">1 855 tis. Kč.  </w:t>
      </w:r>
    </w:p>
    <w:p w14:paraId="7CB01AE0" w14:textId="7D2F98FA" w:rsidR="00BE0378" w:rsidRPr="00FE2D27" w:rsidRDefault="00BE0378" w:rsidP="006B6D61">
      <w:pPr>
        <w:pStyle w:val="KOMtext"/>
        <w:rPr>
          <w:rFonts w:eastAsia="Calibri"/>
        </w:rPr>
      </w:pPr>
      <w:r w:rsidRPr="00FE2D27">
        <w:rPr>
          <w:rFonts w:eastAsia="Calibri"/>
        </w:rPr>
        <w:t xml:space="preserve">Čerpání prostředků běžných výdajů tvořily zejména výdaje na platy zaměstnanců a ostatní platby za provedenou práci a s tím související povinné platby (pojistné a převod FKSP), které se podílely na celkovém objemu čerpání běžných výdajů 47,1 % (tj. ve výši 3 005 tis. Kč). </w:t>
      </w:r>
      <w:r w:rsidRPr="00FB7DCC">
        <w:br/>
      </w:r>
      <w:r w:rsidRPr="00FE2D27">
        <w:rPr>
          <w:rFonts w:eastAsia="Calibri"/>
        </w:rPr>
        <w:t>V rámci ostatních běžných výdajů byly čerpány prostředky zejména na drobný hmotný dlouhodobý majetek, zpracování dat a služby související s informačními a komunikačními technologiemi, ostatní služby a konzultační, poradenské a právní služby.</w:t>
      </w:r>
    </w:p>
    <w:p w14:paraId="0B03EB9B" w14:textId="77777777" w:rsidR="00BE0378" w:rsidRPr="00FE2D27" w:rsidRDefault="00BE0378" w:rsidP="008A0E44">
      <w:pPr>
        <w:pStyle w:val="KOMnadp4"/>
      </w:pPr>
      <w:r w:rsidRPr="006B6D61">
        <w:t>Kapitálové výdaje</w:t>
      </w:r>
    </w:p>
    <w:p w14:paraId="30723FE6" w14:textId="251C9500" w:rsidR="00BE0378" w:rsidRPr="00FB7DCC" w:rsidRDefault="00BE7E2A" w:rsidP="006B6D61">
      <w:pPr>
        <w:pStyle w:val="KOMtext"/>
      </w:pPr>
      <w:r>
        <w:t>Rozpočet po změnách</w:t>
      </w:r>
      <w:r w:rsidR="00BE0378" w:rsidRPr="00FB7DCC">
        <w:t xml:space="preserve"> kapitálových výdajů byl stanoven ve výši 17 066 tis. Kč. Prostředky byly určeny v rámci programu 127 07 “Rozvoj a obnova materiálně technické základny systému řízení MD-OSS“.</w:t>
      </w:r>
    </w:p>
    <w:p w14:paraId="6CABCE83" w14:textId="710ABFA0" w:rsidR="006C7BAB" w:rsidRDefault="00BE0378">
      <w:pPr>
        <w:pStyle w:val="KOMtext"/>
      </w:pPr>
      <w:r w:rsidRPr="00FB7DCC">
        <w:t xml:space="preserve">Dopravní </w:t>
      </w:r>
      <w:r w:rsidR="00E1228D">
        <w:t xml:space="preserve">a </w:t>
      </w:r>
      <w:r w:rsidRPr="00FB7DCC">
        <w:t>energetický stavební úřad čerpal kapitálové výdaje ve výši 8 116 tis. Kč, tj. 47,</w:t>
      </w:r>
      <w:r w:rsidR="006E4477">
        <w:t>6</w:t>
      </w:r>
      <w:r w:rsidRPr="00FB7DCC">
        <w:t xml:space="preserve"> % rozpočtu po změnách</w:t>
      </w:r>
      <w:r>
        <w:t xml:space="preserve">, a to včetně nároků z nespotřebovaných výdajů ve výši </w:t>
      </w:r>
      <w:r w:rsidRPr="00FB7DCC">
        <w:t>6 707 tis. Kč. Prostředky byly čerpány na pořízení Ekonomického informačního systému a výpočetní techniky.</w:t>
      </w:r>
    </w:p>
    <w:p w14:paraId="060D0936" w14:textId="6157E051" w:rsidR="00D9370D" w:rsidRPr="006B6D61" w:rsidRDefault="00D9370D" w:rsidP="00FE67C5">
      <w:pPr>
        <w:pStyle w:val="KOMnadp2"/>
      </w:pPr>
      <w:bookmarkStart w:id="978" w:name="_Toc162269270"/>
      <w:r w:rsidRPr="006B6D61">
        <w:t>Transfery</w:t>
      </w:r>
      <w:bookmarkEnd w:id="977"/>
      <w:bookmarkEnd w:id="978"/>
    </w:p>
    <w:p w14:paraId="3D27126B" w14:textId="77777777" w:rsidR="00D9370D" w:rsidRPr="006B6D61" w:rsidRDefault="00D9370D" w:rsidP="00E20BD6">
      <w:pPr>
        <w:pStyle w:val="KOMnadp3"/>
      </w:pPr>
      <w:bookmarkStart w:id="979" w:name="_Toc128400082"/>
      <w:bookmarkStart w:id="980" w:name="_Toc162269271"/>
      <w:r w:rsidRPr="006B6D61">
        <w:t>Transfery příspěvkovým a podobným organizacím</w:t>
      </w:r>
      <w:bookmarkEnd w:id="979"/>
      <w:bookmarkEnd w:id="980"/>
    </w:p>
    <w:p w14:paraId="1EFA5662" w14:textId="77777777" w:rsidR="00663216" w:rsidRPr="006B6D61" w:rsidRDefault="00663216" w:rsidP="008A0E44">
      <w:pPr>
        <w:pStyle w:val="KOMnadp4"/>
      </w:pPr>
      <w:r w:rsidRPr="006B6D61">
        <w:t>Transfery zřízeným příspěvkovým organizacím</w:t>
      </w:r>
    </w:p>
    <w:p w14:paraId="721C2E35" w14:textId="77777777" w:rsidR="00D761BE" w:rsidRPr="006B6D61" w:rsidRDefault="00D761BE" w:rsidP="00D761BE">
      <w:pPr>
        <w:pStyle w:val="Zkladntext"/>
        <w:spacing w:after="80" w:line="276" w:lineRule="auto"/>
        <w:rPr>
          <w:rFonts w:cstheme="minorHAnsi"/>
          <w:b/>
          <w:sz w:val="24"/>
          <w:szCs w:val="24"/>
        </w:rPr>
      </w:pPr>
      <w:r w:rsidRPr="006B6D61">
        <w:rPr>
          <w:rFonts w:cstheme="minorHAnsi"/>
          <w:b/>
          <w:sz w:val="24"/>
          <w:szCs w:val="24"/>
        </w:rPr>
        <w:t>Zřízené příspěvkové organizace:</w:t>
      </w:r>
    </w:p>
    <w:p w14:paraId="3E25A462" w14:textId="77777777" w:rsidR="00D761BE" w:rsidRPr="006B6D61" w:rsidRDefault="00D761BE" w:rsidP="00BA4E5A">
      <w:pPr>
        <w:pStyle w:val="KOModrky"/>
      </w:pPr>
      <w:r w:rsidRPr="006B6D61">
        <w:t xml:space="preserve">Ředitelství silnic a dálnic ČR </w:t>
      </w:r>
    </w:p>
    <w:p w14:paraId="45202AA1" w14:textId="77777777" w:rsidR="00D761BE" w:rsidRPr="006B6D61" w:rsidRDefault="00D761BE" w:rsidP="00BA4E5A">
      <w:pPr>
        <w:pStyle w:val="KOModrky"/>
      </w:pPr>
      <w:r w:rsidRPr="006B6D61">
        <w:t xml:space="preserve">Centrum služeb pro silniční dopravu </w:t>
      </w:r>
    </w:p>
    <w:p w14:paraId="4EBFB413" w14:textId="0B1380CE" w:rsidR="00D60469" w:rsidRPr="005B2B80" w:rsidRDefault="00D60469" w:rsidP="00D60469">
      <w:pPr>
        <w:pStyle w:val="KOMtext"/>
      </w:pPr>
      <w:bookmarkStart w:id="981" w:name="_Toc508879858"/>
      <w:bookmarkStart w:id="982" w:name="_Toc508880134"/>
      <w:r w:rsidRPr="005B2B80">
        <w:t xml:space="preserve">Schválený rozpočet příspěvků a transferů zřízeným příspěvkovým organizacím ve výši </w:t>
      </w:r>
      <w:r w:rsidRPr="005B2B80">
        <w:br/>
        <w:t>435 344 tis. Kč byl v průběhu roku 2023 navýšen o částku 878 05</w:t>
      </w:r>
      <w:r>
        <w:t>5</w:t>
      </w:r>
      <w:r w:rsidRPr="005B2B80">
        <w:t xml:space="preserve"> tis. Kč na částku </w:t>
      </w:r>
      <w:r w:rsidRPr="005B2B80">
        <w:br/>
        <w:t>1 313 39</w:t>
      </w:r>
      <w:r>
        <w:t>9</w:t>
      </w:r>
      <w:r w:rsidRPr="005B2B80">
        <w:t xml:space="preserve"> tis. Kč.</w:t>
      </w:r>
    </w:p>
    <w:p w14:paraId="2B6C21C2" w14:textId="77777777" w:rsidR="00D60469" w:rsidRPr="00444C1B" w:rsidRDefault="00D60469" w:rsidP="00D60469">
      <w:pPr>
        <w:pStyle w:val="KOMtext"/>
      </w:pPr>
      <w:r w:rsidRPr="00705A4B">
        <w:lastRenderedPageBreak/>
        <w:t xml:space="preserve">Rozpočet po změnách </w:t>
      </w:r>
      <w:r w:rsidRPr="00705A4B">
        <w:rPr>
          <w:bCs/>
        </w:rPr>
        <w:t xml:space="preserve">příspěvků a transferů zřízeným příspěvkovým organizacím </w:t>
      </w:r>
      <w:r w:rsidRPr="00705A4B">
        <w:t xml:space="preserve">byl čerpán ve výši 1 528 134 tis. Kč, tj. 116,4 % stanoveného </w:t>
      </w:r>
      <w:r w:rsidRPr="00444C1B">
        <w:t>objemu</w:t>
      </w:r>
      <w:r w:rsidRPr="00444C1B">
        <w:rPr>
          <w:shd w:val="clear" w:color="auto" w:fill="FFFFFF" w:themeFill="background1"/>
        </w:rPr>
        <w:t xml:space="preserve">, </w:t>
      </w:r>
      <w:r w:rsidRPr="00444C1B">
        <w:t xml:space="preserve">z toho nároky z nespotřebovaných výdajů činily 214 736 tis. Kč. Čerpání bylo ovlivněno především čerpáním prostředků EU určených na projekt Digitální technická mapa a čerpáním neinvestičního příspěvku určeného pro Ředitelství silnic a dálnic ČR k vrácení SFDI. </w:t>
      </w:r>
    </w:p>
    <w:p w14:paraId="6C14B46E" w14:textId="0AF68BAE" w:rsidR="00E80650" w:rsidRPr="006B6D61" w:rsidRDefault="009968F9" w:rsidP="00BA4E5A">
      <w:pPr>
        <w:pStyle w:val="KOMGrafy"/>
        <w:rPr>
          <w:rFonts w:ascii="Times New Roman" w:hAnsi="Times New Roman"/>
        </w:rPr>
      </w:pPr>
      <w:bookmarkStart w:id="983" w:name="_Toc160457144"/>
      <w:r w:rsidRPr="006B6D61">
        <w:t xml:space="preserve">Graf č. </w:t>
      </w:r>
      <w:fldSimple w:instr=" SEQ Graf_č. \* ARABIC ">
        <w:r w:rsidR="00013820">
          <w:rPr>
            <w:noProof/>
          </w:rPr>
          <w:t>27</w:t>
        </w:r>
      </w:fldSimple>
      <w:r w:rsidRPr="006B6D61">
        <w:t>: Transfery zřízeným příspěvkovým organizacím za rok 202</w:t>
      </w:r>
      <w:r w:rsidR="00006F77">
        <w:t>3</w:t>
      </w:r>
      <w:r w:rsidRPr="006B6D61">
        <w:t xml:space="preserve"> (v tis. Kč)</w:t>
      </w:r>
      <w:bookmarkEnd w:id="983"/>
    </w:p>
    <w:p w14:paraId="059A4A91" w14:textId="0FE62F4A" w:rsidR="00006F77" w:rsidRDefault="009360CB" w:rsidP="006B6D61">
      <w:pPr>
        <w:keepLines/>
        <w:spacing w:before="120" w:after="120" w:line="276" w:lineRule="auto"/>
        <w:jc w:val="both"/>
        <w:rPr>
          <w:rFonts w:eastAsia="Times New Roman"/>
          <w:color w:val="FF0000"/>
          <w:lang w:eastAsia="cs-CZ"/>
        </w:rPr>
      </w:pPr>
      <w:r w:rsidRPr="004A12C5">
        <w:rPr>
          <w:rFonts w:ascii="Times New Roman" w:eastAsia="Times New Roman" w:hAnsi="Times New Roman" w:cs="Times New Roman"/>
          <w:noProof/>
          <w:sz w:val="24"/>
          <w:szCs w:val="20"/>
          <w:lang w:eastAsia="cs-CZ"/>
        </w:rPr>
        <w:drawing>
          <wp:inline distT="0" distB="0" distL="0" distR="0" wp14:anchorId="0CB0ECB9" wp14:editId="74ED0BAE">
            <wp:extent cx="5859780" cy="2146300"/>
            <wp:effectExtent l="0" t="0" r="7620" b="6350"/>
            <wp:docPr id="57" name="Graf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14:paraId="41AD929A" w14:textId="7BF46E15" w:rsidR="00E80650" w:rsidRPr="006B6D61" w:rsidRDefault="00E80650" w:rsidP="008A0E44">
      <w:pPr>
        <w:pStyle w:val="KOMnadp4"/>
        <w:rPr>
          <w:lang w:eastAsia="cs-CZ"/>
        </w:rPr>
      </w:pPr>
      <w:r w:rsidRPr="006B6D61">
        <w:rPr>
          <w:lang w:eastAsia="cs-CZ"/>
        </w:rPr>
        <w:t xml:space="preserve">Ředitelství silnic a dálnic ČR </w:t>
      </w:r>
    </w:p>
    <w:p w14:paraId="3ADDE74D" w14:textId="73E12F7F" w:rsidR="00E80650" w:rsidRPr="00B44F70" w:rsidRDefault="00E80650" w:rsidP="00BA4E5A">
      <w:pPr>
        <w:pStyle w:val="KOMtext"/>
        <w:rPr>
          <w:rFonts w:ascii="Times New Roman" w:hAnsi="Times New Roman"/>
          <w:sz w:val="20"/>
        </w:rPr>
      </w:pPr>
      <w:r w:rsidRPr="006B6D61">
        <w:t>Ministerstvo dopravy je zřizovatelem státní příspěvkové organizace Ředitelství silnic a dálnic ČR.</w:t>
      </w:r>
      <w:r w:rsidR="006F0813" w:rsidRPr="006B6D61">
        <w:t xml:space="preserve"> </w:t>
      </w:r>
      <w:r w:rsidRPr="006B6D61">
        <w:t xml:space="preserve">Náklady organizace jsou kryty zejména prostředky rozpočtu Státního fondu dopravní infrastruktury. Tento stav přetrvává téměř beze změny od roku 2001, tj. od data, kdy Státní fond dopravní infrastruktury převzal plně financování této organizace ve smyslu zákona </w:t>
      </w:r>
      <w:r w:rsidRPr="006B6D61">
        <w:br/>
        <w:t xml:space="preserve">č. 104/2000 Sb., o Státním fondu dopravní infrastruktury a o změně zákona č. 171/1991 Sb., </w:t>
      </w:r>
      <w:r w:rsidRPr="006B6D61">
        <w:br/>
        <w:t xml:space="preserve">o působnosti orgánů České republiky ve věcech převodů majetku státu na jiné osoby a o Fondu národního majetku České republiky, ve znění pozdějších </w:t>
      </w:r>
      <w:r w:rsidRPr="00B44F70">
        <w:t>předpisů.</w:t>
      </w: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2"/>
        <w:gridCol w:w="1125"/>
        <w:gridCol w:w="1125"/>
        <w:gridCol w:w="1152"/>
        <w:gridCol w:w="1098"/>
        <w:gridCol w:w="1125"/>
        <w:gridCol w:w="754"/>
      </w:tblGrid>
      <w:tr w:rsidR="002F1BE7" w:rsidRPr="0044012B" w14:paraId="376B4EC9" w14:textId="77777777" w:rsidTr="00BA4E5A">
        <w:trPr>
          <w:trHeight w:val="238"/>
          <w:tblHeader/>
        </w:trPr>
        <w:tc>
          <w:tcPr>
            <w:tcW w:w="9281" w:type="dxa"/>
            <w:gridSpan w:val="7"/>
            <w:tcBorders>
              <w:top w:val="nil"/>
              <w:left w:val="nil"/>
              <w:right w:val="nil"/>
            </w:tcBorders>
            <w:shd w:val="clear" w:color="auto" w:fill="FFFFFF" w:themeFill="background1"/>
            <w:vAlign w:val="center"/>
          </w:tcPr>
          <w:p w14:paraId="378D00FA" w14:textId="121FF1FA" w:rsidR="00594881" w:rsidRPr="0077128B" w:rsidRDefault="00594881" w:rsidP="00BA4E5A">
            <w:pPr>
              <w:spacing w:after="0"/>
              <w:jc w:val="right"/>
              <w:rPr>
                <w:rFonts w:cstheme="minorHAnsi"/>
                <w:color w:val="FF0000"/>
                <w:sz w:val="20"/>
                <w:szCs w:val="20"/>
              </w:rPr>
            </w:pPr>
            <w:r w:rsidRPr="006B6D61">
              <w:rPr>
                <w:rFonts w:cstheme="minorHAnsi"/>
                <w:sz w:val="20"/>
                <w:szCs w:val="20"/>
              </w:rPr>
              <w:lastRenderedPageBreak/>
              <w:t>v tis. Kč</w:t>
            </w:r>
          </w:p>
        </w:tc>
      </w:tr>
      <w:tr w:rsidR="002F1BE7" w:rsidRPr="0044012B" w14:paraId="2C484950" w14:textId="77777777" w:rsidTr="00BA4E5A">
        <w:trPr>
          <w:trHeight w:val="432"/>
          <w:tblHeader/>
        </w:trPr>
        <w:tc>
          <w:tcPr>
            <w:tcW w:w="2902" w:type="dxa"/>
            <w:vMerge w:val="restart"/>
            <w:shd w:val="clear" w:color="auto" w:fill="D9D9D9" w:themeFill="background1" w:themeFillShade="D9"/>
            <w:vAlign w:val="center"/>
          </w:tcPr>
          <w:p w14:paraId="656DA7D3" w14:textId="305F0E16" w:rsidR="00E80650" w:rsidRPr="0077128B" w:rsidRDefault="00F85BBE" w:rsidP="00BA4E5A">
            <w:pPr>
              <w:spacing w:after="0"/>
              <w:jc w:val="center"/>
              <w:rPr>
                <w:rFonts w:cstheme="minorHAnsi"/>
                <w:b/>
                <w:color w:val="FF0000"/>
                <w:sz w:val="20"/>
                <w:szCs w:val="20"/>
              </w:rPr>
            </w:pPr>
            <w:r w:rsidRPr="006A755F">
              <w:rPr>
                <w:rFonts w:cstheme="minorHAnsi"/>
                <w:b/>
                <w:sz w:val="20"/>
                <w:szCs w:val="20"/>
              </w:rPr>
              <w:t>Ukazatel</w:t>
            </w:r>
          </w:p>
        </w:tc>
        <w:tc>
          <w:tcPr>
            <w:tcW w:w="1125" w:type="dxa"/>
            <w:vMerge w:val="restart"/>
            <w:tcBorders>
              <w:top w:val="single" w:sz="4" w:space="0" w:color="auto"/>
              <w:right w:val="single" w:sz="4" w:space="0" w:color="auto"/>
            </w:tcBorders>
            <w:shd w:val="clear" w:color="auto" w:fill="D9D9D9" w:themeFill="background1" w:themeFillShade="D9"/>
            <w:vAlign w:val="center"/>
          </w:tcPr>
          <w:p w14:paraId="25012859" w14:textId="77777777" w:rsidR="00F85BBE" w:rsidRPr="006A755F" w:rsidRDefault="00F85BBE" w:rsidP="00F85BBE">
            <w:pPr>
              <w:spacing w:after="0"/>
              <w:jc w:val="center"/>
              <w:rPr>
                <w:rFonts w:cstheme="minorHAnsi"/>
                <w:b/>
                <w:sz w:val="20"/>
                <w:szCs w:val="20"/>
              </w:rPr>
            </w:pPr>
            <w:r w:rsidRPr="006A755F">
              <w:rPr>
                <w:rFonts w:cstheme="minorHAnsi"/>
                <w:b/>
                <w:sz w:val="20"/>
                <w:szCs w:val="20"/>
              </w:rPr>
              <w:t>Skutečnost</w:t>
            </w:r>
          </w:p>
          <w:p w14:paraId="47296B89" w14:textId="09AA17F1" w:rsidR="00E80650" w:rsidRPr="0077128B" w:rsidRDefault="00F85BBE" w:rsidP="00BA4E5A">
            <w:pPr>
              <w:spacing w:after="0"/>
              <w:jc w:val="center"/>
              <w:rPr>
                <w:rFonts w:cstheme="minorHAnsi"/>
                <w:b/>
                <w:color w:val="FF0000"/>
                <w:sz w:val="20"/>
                <w:szCs w:val="20"/>
              </w:rPr>
            </w:pPr>
            <w:r w:rsidRPr="006A755F">
              <w:rPr>
                <w:rFonts w:cstheme="minorHAnsi"/>
                <w:b/>
                <w:sz w:val="20"/>
                <w:szCs w:val="20"/>
              </w:rPr>
              <w:t>202</w:t>
            </w:r>
            <w:r>
              <w:rPr>
                <w:rFonts w:cstheme="minorHAnsi"/>
                <w:b/>
                <w:sz w:val="20"/>
                <w:szCs w:val="20"/>
              </w:rPr>
              <w:t>2</w:t>
            </w:r>
          </w:p>
        </w:tc>
        <w:tc>
          <w:tcPr>
            <w:tcW w:w="337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0F4CAD" w14:textId="5D653AB6" w:rsidR="00E80650" w:rsidRPr="0077128B" w:rsidRDefault="00F85BBE" w:rsidP="00BA4E5A">
            <w:pPr>
              <w:spacing w:after="0"/>
              <w:jc w:val="center"/>
              <w:rPr>
                <w:rFonts w:cstheme="minorHAnsi"/>
                <w:b/>
                <w:color w:val="FF0000"/>
                <w:sz w:val="20"/>
                <w:szCs w:val="20"/>
              </w:rPr>
            </w:pPr>
            <w:r w:rsidRPr="006A755F">
              <w:rPr>
                <w:rFonts w:cstheme="minorHAnsi"/>
                <w:b/>
                <w:sz w:val="20"/>
                <w:szCs w:val="20"/>
              </w:rPr>
              <w:t>Rozpočet 202</w:t>
            </w:r>
            <w:r>
              <w:rPr>
                <w:rFonts w:cstheme="minorHAnsi"/>
                <w:b/>
                <w:sz w:val="20"/>
                <w:szCs w:val="20"/>
              </w:rPr>
              <w:t>3</w:t>
            </w:r>
          </w:p>
        </w:tc>
        <w:tc>
          <w:tcPr>
            <w:tcW w:w="112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17E0E444" w14:textId="77777777" w:rsidR="00F85BBE" w:rsidRPr="006A755F" w:rsidRDefault="00F85BBE" w:rsidP="00F85BBE">
            <w:pPr>
              <w:spacing w:after="0"/>
              <w:jc w:val="center"/>
              <w:rPr>
                <w:rFonts w:cstheme="minorHAnsi"/>
                <w:b/>
                <w:sz w:val="20"/>
                <w:szCs w:val="20"/>
              </w:rPr>
            </w:pPr>
            <w:r w:rsidRPr="006A755F">
              <w:rPr>
                <w:rFonts w:cstheme="minorHAnsi"/>
                <w:b/>
                <w:sz w:val="20"/>
                <w:szCs w:val="20"/>
              </w:rPr>
              <w:t>Skutečnost</w:t>
            </w:r>
          </w:p>
          <w:p w14:paraId="722E0BC1" w14:textId="42681526" w:rsidR="00E80650" w:rsidRPr="0077128B" w:rsidRDefault="00F85BBE" w:rsidP="00BA4E5A">
            <w:pPr>
              <w:spacing w:after="0"/>
              <w:jc w:val="center"/>
              <w:rPr>
                <w:rFonts w:cstheme="minorHAnsi"/>
                <w:b/>
                <w:color w:val="FF0000"/>
                <w:sz w:val="20"/>
                <w:szCs w:val="20"/>
              </w:rPr>
            </w:pPr>
            <w:r w:rsidRPr="006A755F">
              <w:rPr>
                <w:rFonts w:cstheme="minorHAnsi"/>
                <w:b/>
                <w:sz w:val="20"/>
                <w:szCs w:val="20"/>
              </w:rPr>
              <w:t>202</w:t>
            </w:r>
            <w:r>
              <w:rPr>
                <w:rFonts w:cstheme="minorHAnsi"/>
                <w:b/>
                <w:sz w:val="20"/>
                <w:szCs w:val="20"/>
              </w:rPr>
              <w:t>3</w:t>
            </w:r>
          </w:p>
        </w:tc>
        <w:tc>
          <w:tcPr>
            <w:tcW w:w="754" w:type="dxa"/>
            <w:vMerge w:val="restart"/>
            <w:tcBorders>
              <w:top w:val="single" w:sz="4" w:space="0" w:color="auto"/>
              <w:left w:val="single" w:sz="4" w:space="0" w:color="auto"/>
            </w:tcBorders>
            <w:shd w:val="clear" w:color="auto" w:fill="D9D9D9" w:themeFill="background1" w:themeFillShade="D9"/>
            <w:vAlign w:val="center"/>
          </w:tcPr>
          <w:p w14:paraId="4F5B5266" w14:textId="77777777" w:rsidR="00F85BBE" w:rsidRPr="006A755F" w:rsidRDefault="00F85BBE" w:rsidP="00F85BBE">
            <w:pPr>
              <w:spacing w:after="0"/>
              <w:jc w:val="center"/>
              <w:rPr>
                <w:rFonts w:cstheme="minorHAnsi"/>
                <w:b/>
                <w:sz w:val="20"/>
                <w:szCs w:val="20"/>
              </w:rPr>
            </w:pPr>
            <w:r w:rsidRPr="006A755F">
              <w:rPr>
                <w:rFonts w:cstheme="minorHAnsi"/>
                <w:b/>
                <w:sz w:val="20"/>
                <w:szCs w:val="20"/>
              </w:rPr>
              <w:t>Index</w:t>
            </w:r>
          </w:p>
          <w:p w14:paraId="076E448B" w14:textId="5C6523E9" w:rsidR="00E80650" w:rsidRPr="0077128B" w:rsidRDefault="00F85BBE" w:rsidP="00BA4E5A">
            <w:pPr>
              <w:spacing w:after="0"/>
              <w:jc w:val="center"/>
              <w:rPr>
                <w:rFonts w:cstheme="minorHAnsi"/>
                <w:b/>
                <w:color w:val="FF0000"/>
                <w:sz w:val="20"/>
                <w:szCs w:val="20"/>
              </w:rPr>
            </w:pPr>
            <w:r w:rsidRPr="006A755F">
              <w:rPr>
                <w:rFonts w:cstheme="minorHAnsi"/>
                <w:b/>
                <w:sz w:val="20"/>
                <w:szCs w:val="20"/>
              </w:rPr>
              <w:t>(v %)</w:t>
            </w:r>
          </w:p>
        </w:tc>
      </w:tr>
      <w:tr w:rsidR="002F1BE7" w:rsidRPr="0044012B" w14:paraId="73A19EF0" w14:textId="77777777" w:rsidTr="006B6D61">
        <w:trPr>
          <w:trHeight w:val="340"/>
          <w:tblHeader/>
        </w:trPr>
        <w:tc>
          <w:tcPr>
            <w:tcW w:w="2902" w:type="dxa"/>
            <w:vMerge/>
            <w:shd w:val="clear" w:color="auto" w:fill="auto"/>
          </w:tcPr>
          <w:p w14:paraId="6C313A1B" w14:textId="77777777" w:rsidR="00E80650" w:rsidRPr="0077128B" w:rsidRDefault="00E80650" w:rsidP="00E80650">
            <w:pPr>
              <w:jc w:val="center"/>
              <w:rPr>
                <w:rFonts w:cstheme="minorHAnsi"/>
                <w:color w:val="FF0000"/>
                <w:sz w:val="20"/>
                <w:szCs w:val="20"/>
              </w:rPr>
            </w:pPr>
          </w:p>
        </w:tc>
        <w:tc>
          <w:tcPr>
            <w:tcW w:w="1125" w:type="dxa"/>
            <w:vMerge/>
            <w:shd w:val="clear" w:color="auto" w:fill="auto"/>
          </w:tcPr>
          <w:p w14:paraId="378F18EB" w14:textId="77777777" w:rsidR="00E80650" w:rsidRPr="0077128B" w:rsidRDefault="00E80650" w:rsidP="00E80650">
            <w:pPr>
              <w:jc w:val="center"/>
              <w:rPr>
                <w:rFonts w:cstheme="minorHAnsi"/>
                <w:color w:val="FF0000"/>
                <w:sz w:val="20"/>
                <w:szCs w:val="20"/>
              </w:rPr>
            </w:pPr>
          </w:p>
        </w:tc>
        <w:tc>
          <w:tcPr>
            <w:tcW w:w="1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BBB3A2" w14:textId="2F1F878C" w:rsidR="00E80650" w:rsidRPr="0077128B" w:rsidRDefault="00F85BBE" w:rsidP="00E80650">
            <w:pPr>
              <w:spacing w:before="60" w:after="60"/>
              <w:jc w:val="center"/>
              <w:rPr>
                <w:rFonts w:cstheme="minorHAnsi"/>
                <w:b/>
                <w:color w:val="FF0000"/>
                <w:sz w:val="20"/>
                <w:szCs w:val="20"/>
              </w:rPr>
            </w:pPr>
            <w:r w:rsidRPr="006A755F">
              <w:rPr>
                <w:rFonts w:cstheme="minorHAnsi"/>
                <w:b/>
                <w:sz w:val="20"/>
                <w:szCs w:val="20"/>
              </w:rPr>
              <w:t>schválený</w:t>
            </w:r>
          </w:p>
        </w:tc>
        <w:tc>
          <w:tcPr>
            <w:tcW w:w="11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E71389" w14:textId="679FE0E5" w:rsidR="00E80650" w:rsidRPr="0077128B" w:rsidRDefault="00F85BBE" w:rsidP="00E80650">
            <w:pPr>
              <w:spacing w:before="60" w:after="60"/>
              <w:jc w:val="center"/>
              <w:rPr>
                <w:rFonts w:cstheme="minorHAnsi"/>
                <w:b/>
                <w:color w:val="FF0000"/>
                <w:sz w:val="20"/>
                <w:szCs w:val="20"/>
              </w:rPr>
            </w:pPr>
            <w:r w:rsidRPr="006A755F">
              <w:rPr>
                <w:rFonts w:cstheme="minorHAnsi"/>
                <w:b/>
                <w:sz w:val="20"/>
                <w:szCs w:val="20"/>
              </w:rPr>
              <w:t>po změnách</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E545C3" w14:textId="7B83A5A0" w:rsidR="00E80650" w:rsidRPr="0077128B" w:rsidRDefault="00F85BBE" w:rsidP="00E80650">
            <w:pPr>
              <w:spacing w:before="60" w:after="60"/>
              <w:jc w:val="center"/>
              <w:rPr>
                <w:rFonts w:cstheme="minorHAnsi"/>
                <w:b/>
                <w:color w:val="FF0000"/>
                <w:sz w:val="20"/>
                <w:szCs w:val="20"/>
              </w:rPr>
            </w:pPr>
            <w:r w:rsidRPr="006A755F">
              <w:rPr>
                <w:rFonts w:cstheme="minorHAnsi"/>
                <w:b/>
                <w:sz w:val="20"/>
                <w:szCs w:val="20"/>
              </w:rPr>
              <w:t>konečný</w:t>
            </w:r>
          </w:p>
        </w:tc>
        <w:tc>
          <w:tcPr>
            <w:tcW w:w="1125" w:type="dxa"/>
            <w:vMerge/>
            <w:shd w:val="clear" w:color="auto" w:fill="auto"/>
          </w:tcPr>
          <w:p w14:paraId="5BB21F42" w14:textId="77777777" w:rsidR="00E80650" w:rsidRPr="0077128B" w:rsidRDefault="00E80650" w:rsidP="00E80650">
            <w:pPr>
              <w:jc w:val="center"/>
              <w:rPr>
                <w:rFonts w:cstheme="minorHAnsi"/>
                <w:color w:val="FF0000"/>
                <w:sz w:val="20"/>
                <w:szCs w:val="20"/>
              </w:rPr>
            </w:pPr>
          </w:p>
        </w:tc>
        <w:tc>
          <w:tcPr>
            <w:tcW w:w="754" w:type="dxa"/>
            <w:vMerge/>
            <w:shd w:val="clear" w:color="auto" w:fill="auto"/>
          </w:tcPr>
          <w:p w14:paraId="5B660383" w14:textId="77777777" w:rsidR="00E80650" w:rsidRPr="0077128B" w:rsidRDefault="00E80650" w:rsidP="00E80650">
            <w:pPr>
              <w:jc w:val="center"/>
              <w:rPr>
                <w:rFonts w:cstheme="minorHAnsi"/>
                <w:color w:val="FF0000"/>
                <w:sz w:val="20"/>
                <w:szCs w:val="20"/>
              </w:rPr>
            </w:pPr>
          </w:p>
        </w:tc>
      </w:tr>
      <w:tr w:rsidR="002F1BE7" w:rsidRPr="0044012B" w14:paraId="14215400" w14:textId="77777777" w:rsidTr="006B6D61">
        <w:trPr>
          <w:trHeight w:val="100"/>
          <w:tblHeader/>
        </w:trPr>
        <w:tc>
          <w:tcPr>
            <w:tcW w:w="2902" w:type="dxa"/>
            <w:tcBorders>
              <w:top w:val="single" w:sz="4" w:space="0" w:color="auto"/>
              <w:left w:val="single" w:sz="4" w:space="0" w:color="auto"/>
              <w:bottom w:val="single" w:sz="4" w:space="0" w:color="auto"/>
              <w:right w:val="single" w:sz="4" w:space="0" w:color="auto"/>
            </w:tcBorders>
            <w:shd w:val="clear" w:color="auto" w:fill="auto"/>
          </w:tcPr>
          <w:p w14:paraId="1A5B620A" w14:textId="0475F5AC" w:rsidR="00E80650" w:rsidRPr="0077128B" w:rsidRDefault="00F85BBE" w:rsidP="00E80650">
            <w:pPr>
              <w:spacing w:after="0"/>
              <w:jc w:val="center"/>
              <w:rPr>
                <w:rFonts w:cstheme="minorHAnsi"/>
                <w:color w:val="FF0000"/>
                <w:sz w:val="20"/>
                <w:szCs w:val="20"/>
              </w:rPr>
            </w:pPr>
            <w:r w:rsidRPr="006A755F">
              <w:rPr>
                <w:rFonts w:cstheme="minorHAnsi"/>
                <w:sz w:val="20"/>
                <w:szCs w:val="20"/>
              </w:rPr>
              <w:t>a</w:t>
            </w:r>
          </w:p>
        </w:tc>
        <w:tc>
          <w:tcPr>
            <w:tcW w:w="1125" w:type="dxa"/>
            <w:tcBorders>
              <w:top w:val="single" w:sz="4" w:space="0" w:color="auto"/>
              <w:left w:val="single" w:sz="4" w:space="0" w:color="auto"/>
              <w:bottom w:val="single" w:sz="4" w:space="0" w:color="auto"/>
              <w:right w:val="single" w:sz="4" w:space="0" w:color="auto"/>
            </w:tcBorders>
            <w:shd w:val="clear" w:color="auto" w:fill="auto"/>
          </w:tcPr>
          <w:p w14:paraId="3ECCCF0F" w14:textId="3C5E756A" w:rsidR="00E80650" w:rsidRPr="0077128B" w:rsidRDefault="00F85BBE" w:rsidP="00E80650">
            <w:pPr>
              <w:spacing w:after="0"/>
              <w:jc w:val="center"/>
              <w:rPr>
                <w:rFonts w:cstheme="minorHAnsi"/>
                <w:color w:val="FF0000"/>
                <w:sz w:val="20"/>
                <w:szCs w:val="20"/>
              </w:rPr>
            </w:pPr>
            <w:r w:rsidRPr="006A755F">
              <w:rPr>
                <w:rFonts w:cstheme="minorHAnsi"/>
                <w:sz w:val="20"/>
                <w:szCs w:val="20"/>
              </w:rPr>
              <w:t>1</w:t>
            </w:r>
          </w:p>
        </w:tc>
        <w:tc>
          <w:tcPr>
            <w:tcW w:w="1125" w:type="dxa"/>
            <w:tcBorders>
              <w:top w:val="single" w:sz="4" w:space="0" w:color="auto"/>
              <w:left w:val="single" w:sz="4" w:space="0" w:color="auto"/>
              <w:bottom w:val="single" w:sz="4" w:space="0" w:color="auto"/>
              <w:right w:val="single" w:sz="4" w:space="0" w:color="auto"/>
            </w:tcBorders>
            <w:shd w:val="clear" w:color="auto" w:fill="auto"/>
          </w:tcPr>
          <w:p w14:paraId="5230397B" w14:textId="0ECB4A9D" w:rsidR="00E80650" w:rsidRPr="0077128B" w:rsidRDefault="00F85BBE" w:rsidP="00E80650">
            <w:pPr>
              <w:spacing w:after="0"/>
              <w:jc w:val="center"/>
              <w:rPr>
                <w:rFonts w:cstheme="minorHAnsi"/>
                <w:color w:val="FF0000"/>
                <w:sz w:val="20"/>
                <w:szCs w:val="20"/>
              </w:rPr>
            </w:pPr>
            <w:r w:rsidRPr="006A755F">
              <w:rPr>
                <w:rFonts w:cstheme="minorHAnsi"/>
                <w:sz w:val="20"/>
                <w:szCs w:val="20"/>
              </w:rPr>
              <w:t>2</w:t>
            </w:r>
          </w:p>
        </w:tc>
        <w:tc>
          <w:tcPr>
            <w:tcW w:w="1152" w:type="dxa"/>
            <w:tcBorders>
              <w:top w:val="single" w:sz="4" w:space="0" w:color="auto"/>
              <w:left w:val="single" w:sz="4" w:space="0" w:color="auto"/>
              <w:bottom w:val="single" w:sz="4" w:space="0" w:color="auto"/>
              <w:right w:val="single" w:sz="4" w:space="0" w:color="auto"/>
            </w:tcBorders>
            <w:shd w:val="clear" w:color="auto" w:fill="auto"/>
          </w:tcPr>
          <w:p w14:paraId="1F1A0505" w14:textId="27FA1A1D" w:rsidR="00E80650" w:rsidRPr="0077128B" w:rsidRDefault="00F85BBE" w:rsidP="00E80650">
            <w:pPr>
              <w:spacing w:after="0"/>
              <w:jc w:val="center"/>
              <w:rPr>
                <w:rFonts w:cstheme="minorHAnsi"/>
                <w:color w:val="FF0000"/>
                <w:sz w:val="20"/>
                <w:szCs w:val="20"/>
              </w:rPr>
            </w:pPr>
            <w:r w:rsidRPr="006A755F">
              <w:rPr>
                <w:rFonts w:cstheme="minorHAnsi"/>
                <w:sz w:val="20"/>
                <w:szCs w:val="20"/>
              </w:rPr>
              <w:t>3</w:t>
            </w:r>
          </w:p>
        </w:tc>
        <w:tc>
          <w:tcPr>
            <w:tcW w:w="1098" w:type="dxa"/>
            <w:tcBorders>
              <w:top w:val="single" w:sz="4" w:space="0" w:color="auto"/>
              <w:left w:val="single" w:sz="4" w:space="0" w:color="auto"/>
              <w:bottom w:val="single" w:sz="4" w:space="0" w:color="auto"/>
              <w:right w:val="single" w:sz="4" w:space="0" w:color="auto"/>
            </w:tcBorders>
            <w:shd w:val="clear" w:color="auto" w:fill="auto"/>
          </w:tcPr>
          <w:p w14:paraId="443F426B" w14:textId="40C8A366" w:rsidR="00E80650" w:rsidRPr="0077128B" w:rsidRDefault="00F85BBE" w:rsidP="00E80650">
            <w:pPr>
              <w:spacing w:after="0"/>
              <w:jc w:val="center"/>
              <w:rPr>
                <w:rFonts w:cstheme="minorHAnsi"/>
                <w:color w:val="FF0000"/>
                <w:sz w:val="20"/>
                <w:szCs w:val="20"/>
              </w:rPr>
            </w:pPr>
            <w:r w:rsidRPr="006A755F">
              <w:rPr>
                <w:rFonts w:cstheme="minorHAnsi"/>
                <w:sz w:val="20"/>
                <w:szCs w:val="20"/>
              </w:rPr>
              <w:t>4</w:t>
            </w:r>
          </w:p>
        </w:tc>
        <w:tc>
          <w:tcPr>
            <w:tcW w:w="1125" w:type="dxa"/>
            <w:tcBorders>
              <w:top w:val="single" w:sz="4" w:space="0" w:color="auto"/>
              <w:left w:val="single" w:sz="4" w:space="0" w:color="auto"/>
              <w:bottom w:val="single" w:sz="4" w:space="0" w:color="auto"/>
              <w:right w:val="single" w:sz="4" w:space="0" w:color="auto"/>
            </w:tcBorders>
            <w:shd w:val="clear" w:color="auto" w:fill="auto"/>
          </w:tcPr>
          <w:p w14:paraId="49E3E627" w14:textId="6C316A3A" w:rsidR="00E80650" w:rsidRPr="0077128B" w:rsidRDefault="00F85BBE" w:rsidP="00E80650">
            <w:pPr>
              <w:spacing w:after="0"/>
              <w:jc w:val="center"/>
              <w:rPr>
                <w:rFonts w:cstheme="minorHAnsi"/>
                <w:color w:val="FF0000"/>
                <w:sz w:val="20"/>
                <w:szCs w:val="20"/>
              </w:rPr>
            </w:pPr>
            <w:r w:rsidRPr="006A755F">
              <w:rPr>
                <w:rFonts w:cstheme="minorHAnsi"/>
                <w:sz w:val="20"/>
                <w:szCs w:val="20"/>
              </w:rPr>
              <w:t>5</w:t>
            </w:r>
          </w:p>
        </w:tc>
        <w:tc>
          <w:tcPr>
            <w:tcW w:w="754" w:type="dxa"/>
            <w:tcBorders>
              <w:top w:val="single" w:sz="4" w:space="0" w:color="auto"/>
              <w:left w:val="single" w:sz="4" w:space="0" w:color="auto"/>
              <w:bottom w:val="single" w:sz="4" w:space="0" w:color="auto"/>
              <w:right w:val="single" w:sz="4" w:space="0" w:color="auto"/>
            </w:tcBorders>
            <w:shd w:val="clear" w:color="auto" w:fill="auto"/>
          </w:tcPr>
          <w:p w14:paraId="4701337E" w14:textId="3EC51BAC" w:rsidR="00E80650" w:rsidRPr="0077128B" w:rsidRDefault="00F85BBE" w:rsidP="00E80650">
            <w:pPr>
              <w:spacing w:after="0"/>
              <w:jc w:val="center"/>
              <w:rPr>
                <w:rFonts w:cstheme="minorHAnsi"/>
                <w:color w:val="FF0000"/>
                <w:sz w:val="20"/>
                <w:szCs w:val="20"/>
              </w:rPr>
            </w:pPr>
            <w:r w:rsidRPr="006A755F">
              <w:rPr>
                <w:rFonts w:cstheme="minorHAnsi"/>
                <w:sz w:val="20"/>
                <w:szCs w:val="20"/>
              </w:rPr>
              <w:t>5/1</w:t>
            </w:r>
          </w:p>
        </w:tc>
      </w:tr>
      <w:tr w:rsidR="002F1BE7" w:rsidRPr="0044012B" w14:paraId="6A3BB289" w14:textId="77777777" w:rsidTr="00D3010F">
        <w:trPr>
          <w:trHeight w:val="388"/>
          <w:tblHeader/>
        </w:trPr>
        <w:tc>
          <w:tcPr>
            <w:tcW w:w="29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A034B4" w14:textId="241A3147" w:rsidR="00E80650" w:rsidRPr="0077128B" w:rsidRDefault="00F85BBE">
            <w:pPr>
              <w:spacing w:after="0"/>
              <w:rPr>
                <w:rFonts w:cstheme="minorHAnsi"/>
                <w:b/>
                <w:bCs/>
                <w:color w:val="FF0000"/>
                <w:sz w:val="20"/>
                <w:szCs w:val="20"/>
              </w:rPr>
            </w:pPr>
            <w:r w:rsidRPr="006A755F">
              <w:rPr>
                <w:b/>
                <w:sz w:val="20"/>
                <w:szCs w:val="20"/>
              </w:rPr>
              <w:t xml:space="preserve">Transfery celkem </w:t>
            </w:r>
            <w:r w:rsidRPr="006A755F">
              <w:rPr>
                <w:sz w:val="20"/>
                <w:szCs w:val="20"/>
              </w:rPr>
              <w:t>(v tom:)</w:t>
            </w:r>
          </w:p>
        </w:tc>
        <w:tc>
          <w:tcPr>
            <w:tcW w:w="1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12B9C6" w14:textId="1BE13C19" w:rsidR="00E80650" w:rsidRPr="0077128B" w:rsidRDefault="00F85BBE" w:rsidP="00BA4E5A">
            <w:pPr>
              <w:spacing w:after="0"/>
              <w:jc w:val="right"/>
              <w:rPr>
                <w:rFonts w:cstheme="minorHAnsi"/>
                <w:b/>
                <w:bCs/>
                <w:color w:val="FF0000"/>
                <w:sz w:val="20"/>
                <w:szCs w:val="20"/>
              </w:rPr>
            </w:pPr>
            <w:r w:rsidRPr="006A755F">
              <w:rPr>
                <w:rFonts w:cstheme="minorHAnsi"/>
                <w:b/>
                <w:bCs/>
                <w:sz w:val="20"/>
                <w:szCs w:val="20"/>
              </w:rPr>
              <w:t>168 989</w:t>
            </w:r>
          </w:p>
        </w:tc>
        <w:tc>
          <w:tcPr>
            <w:tcW w:w="1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6DDFB5" w14:textId="2ACB539D" w:rsidR="00E80650" w:rsidRPr="0077128B" w:rsidRDefault="00F85BBE" w:rsidP="00BA4E5A">
            <w:pPr>
              <w:spacing w:after="0"/>
              <w:jc w:val="right"/>
              <w:rPr>
                <w:rFonts w:cstheme="minorHAnsi"/>
                <w:b/>
                <w:bCs/>
                <w:color w:val="FF0000"/>
                <w:sz w:val="20"/>
                <w:szCs w:val="20"/>
              </w:rPr>
            </w:pPr>
            <w:r>
              <w:rPr>
                <w:rFonts w:cstheme="minorHAnsi"/>
                <w:b/>
                <w:bCs/>
                <w:sz w:val="20"/>
                <w:szCs w:val="20"/>
              </w:rPr>
              <w:t>325 354</w:t>
            </w:r>
          </w:p>
        </w:tc>
        <w:tc>
          <w:tcPr>
            <w:tcW w:w="11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2C097B" w14:textId="55538148" w:rsidR="00E80650" w:rsidRPr="0077128B" w:rsidRDefault="00F85BBE" w:rsidP="00BA4E5A">
            <w:pPr>
              <w:spacing w:after="0"/>
              <w:jc w:val="right"/>
              <w:rPr>
                <w:rFonts w:cstheme="minorHAnsi"/>
                <w:b/>
                <w:bCs/>
                <w:color w:val="FF0000"/>
                <w:sz w:val="20"/>
                <w:szCs w:val="20"/>
              </w:rPr>
            </w:pPr>
            <w:r>
              <w:rPr>
                <w:rFonts w:cstheme="minorHAnsi"/>
                <w:b/>
                <w:bCs/>
                <w:sz w:val="20"/>
                <w:szCs w:val="20"/>
              </w:rPr>
              <w:t>1 225 354</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D748EB9" w14:textId="7F93796D" w:rsidR="00E80650" w:rsidRPr="0077128B" w:rsidRDefault="00F85BBE">
            <w:pPr>
              <w:spacing w:after="0"/>
              <w:jc w:val="right"/>
              <w:rPr>
                <w:rFonts w:cstheme="minorHAnsi"/>
                <w:b/>
                <w:bCs/>
                <w:color w:val="FF0000"/>
                <w:sz w:val="20"/>
                <w:szCs w:val="20"/>
              </w:rPr>
            </w:pPr>
            <w:r>
              <w:rPr>
                <w:rFonts w:cstheme="minorHAnsi"/>
                <w:b/>
                <w:bCs/>
                <w:sz w:val="20"/>
                <w:szCs w:val="20"/>
              </w:rPr>
              <w:t>1 435 771</w:t>
            </w:r>
          </w:p>
        </w:tc>
        <w:tc>
          <w:tcPr>
            <w:tcW w:w="1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941D48" w14:textId="57A6355F" w:rsidR="00E80650" w:rsidRPr="0077128B" w:rsidRDefault="00F85BBE" w:rsidP="00BA4E5A">
            <w:pPr>
              <w:spacing w:after="0"/>
              <w:jc w:val="right"/>
              <w:rPr>
                <w:rFonts w:cstheme="minorHAnsi"/>
                <w:b/>
                <w:bCs/>
                <w:color w:val="FF0000"/>
                <w:sz w:val="20"/>
                <w:szCs w:val="20"/>
              </w:rPr>
            </w:pPr>
            <w:r>
              <w:rPr>
                <w:rFonts w:cstheme="minorHAnsi"/>
                <w:b/>
                <w:bCs/>
                <w:sz w:val="20"/>
                <w:szCs w:val="20"/>
              </w:rPr>
              <w:t>1 435 362</w:t>
            </w:r>
          </w:p>
        </w:tc>
        <w:tc>
          <w:tcPr>
            <w:tcW w:w="7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C343756" w14:textId="1E5A5136" w:rsidR="00E80650" w:rsidRPr="0077128B" w:rsidRDefault="00F85BBE" w:rsidP="00BA4E5A">
            <w:pPr>
              <w:spacing w:after="0"/>
              <w:jc w:val="right"/>
              <w:rPr>
                <w:rFonts w:cstheme="minorHAnsi"/>
                <w:b/>
                <w:bCs/>
                <w:color w:val="FF0000"/>
                <w:sz w:val="20"/>
                <w:szCs w:val="20"/>
              </w:rPr>
            </w:pPr>
            <w:r>
              <w:rPr>
                <w:rFonts w:cstheme="minorHAnsi"/>
                <w:b/>
                <w:bCs/>
                <w:sz w:val="20"/>
                <w:szCs w:val="20"/>
              </w:rPr>
              <w:t>849,4</w:t>
            </w:r>
          </w:p>
        </w:tc>
      </w:tr>
      <w:tr w:rsidR="002F1BE7" w:rsidRPr="0044012B" w14:paraId="205DD498" w14:textId="77777777" w:rsidTr="006B6D61">
        <w:trPr>
          <w:trHeight w:val="388"/>
          <w:tblHeader/>
        </w:trPr>
        <w:tc>
          <w:tcPr>
            <w:tcW w:w="2902" w:type="dxa"/>
            <w:tcBorders>
              <w:top w:val="single" w:sz="4" w:space="0" w:color="auto"/>
              <w:left w:val="single" w:sz="4" w:space="0" w:color="auto"/>
              <w:bottom w:val="nil"/>
              <w:right w:val="single" w:sz="4" w:space="0" w:color="auto"/>
            </w:tcBorders>
            <w:shd w:val="clear" w:color="auto" w:fill="auto"/>
          </w:tcPr>
          <w:p w14:paraId="0F3D18E0" w14:textId="1347F727" w:rsidR="00E80650" w:rsidRPr="0077128B" w:rsidRDefault="00F85BBE">
            <w:pPr>
              <w:spacing w:after="0"/>
              <w:rPr>
                <w:rFonts w:cstheme="minorHAnsi"/>
                <w:b/>
                <w:bCs/>
                <w:color w:val="FF0000"/>
                <w:sz w:val="20"/>
                <w:szCs w:val="20"/>
              </w:rPr>
            </w:pPr>
            <w:r w:rsidRPr="006A755F">
              <w:rPr>
                <w:b/>
                <w:color w:val="2E74B5" w:themeColor="accent1" w:themeShade="BF"/>
                <w:sz w:val="20"/>
                <w:szCs w:val="20"/>
              </w:rPr>
              <w:t xml:space="preserve">Neinvestiční příspěvek </w:t>
            </w:r>
            <w:r w:rsidRPr="006A755F">
              <w:rPr>
                <w:b/>
                <w:color w:val="2E74B5" w:themeColor="accent1" w:themeShade="BF"/>
                <w:sz w:val="20"/>
                <w:szCs w:val="20"/>
              </w:rPr>
              <w:br/>
              <w:t xml:space="preserve">a transfery </w:t>
            </w:r>
            <w:r w:rsidRPr="006A755F">
              <w:rPr>
                <w:color w:val="2E74B5" w:themeColor="accent1" w:themeShade="BF"/>
                <w:sz w:val="20"/>
                <w:szCs w:val="20"/>
              </w:rPr>
              <w:t>(v tom:)</w:t>
            </w:r>
          </w:p>
        </w:tc>
        <w:tc>
          <w:tcPr>
            <w:tcW w:w="1125" w:type="dxa"/>
            <w:tcBorders>
              <w:top w:val="single" w:sz="4" w:space="0" w:color="auto"/>
              <w:left w:val="single" w:sz="4" w:space="0" w:color="auto"/>
              <w:bottom w:val="nil"/>
              <w:right w:val="single" w:sz="4" w:space="0" w:color="auto"/>
            </w:tcBorders>
            <w:shd w:val="clear" w:color="auto" w:fill="auto"/>
            <w:vAlign w:val="center"/>
          </w:tcPr>
          <w:p w14:paraId="35EFFA74" w14:textId="4AE15A80" w:rsidR="00E80650" w:rsidRPr="0077128B" w:rsidRDefault="00F85BBE" w:rsidP="00BA4E5A">
            <w:pPr>
              <w:spacing w:after="0"/>
              <w:jc w:val="right"/>
              <w:rPr>
                <w:rFonts w:cstheme="minorHAnsi"/>
                <w:b/>
                <w:bCs/>
                <w:color w:val="FF0000"/>
                <w:sz w:val="20"/>
                <w:szCs w:val="20"/>
              </w:rPr>
            </w:pPr>
            <w:r w:rsidRPr="006A755F">
              <w:rPr>
                <w:rFonts w:cstheme="minorHAnsi"/>
                <w:b/>
                <w:bCs/>
                <w:color w:val="2E74B5" w:themeColor="accent1" w:themeShade="BF"/>
                <w:sz w:val="20"/>
                <w:szCs w:val="20"/>
              </w:rPr>
              <w:t>168 989</w:t>
            </w:r>
          </w:p>
        </w:tc>
        <w:tc>
          <w:tcPr>
            <w:tcW w:w="1125" w:type="dxa"/>
            <w:tcBorders>
              <w:top w:val="single" w:sz="4" w:space="0" w:color="auto"/>
              <w:left w:val="single" w:sz="4" w:space="0" w:color="auto"/>
              <w:bottom w:val="nil"/>
              <w:right w:val="single" w:sz="4" w:space="0" w:color="auto"/>
            </w:tcBorders>
            <w:shd w:val="clear" w:color="auto" w:fill="auto"/>
            <w:vAlign w:val="center"/>
          </w:tcPr>
          <w:p w14:paraId="52680D01" w14:textId="06DB7274" w:rsidR="00E80650" w:rsidRPr="0077128B" w:rsidRDefault="00F85BBE" w:rsidP="00BA4E5A">
            <w:pPr>
              <w:spacing w:after="0"/>
              <w:jc w:val="right"/>
              <w:rPr>
                <w:rFonts w:cstheme="minorHAnsi"/>
                <w:b/>
                <w:bCs/>
                <w:color w:val="FF0000"/>
                <w:sz w:val="20"/>
                <w:szCs w:val="20"/>
              </w:rPr>
            </w:pPr>
            <w:r>
              <w:rPr>
                <w:rFonts w:cstheme="minorHAnsi"/>
                <w:b/>
                <w:bCs/>
                <w:color w:val="2E74B5" w:themeColor="accent1" w:themeShade="BF"/>
                <w:sz w:val="20"/>
                <w:szCs w:val="20"/>
              </w:rPr>
              <w:t>33 113</w:t>
            </w:r>
          </w:p>
        </w:tc>
        <w:tc>
          <w:tcPr>
            <w:tcW w:w="1152" w:type="dxa"/>
            <w:tcBorders>
              <w:top w:val="single" w:sz="4" w:space="0" w:color="auto"/>
              <w:left w:val="single" w:sz="4" w:space="0" w:color="auto"/>
              <w:bottom w:val="nil"/>
              <w:right w:val="single" w:sz="4" w:space="0" w:color="auto"/>
            </w:tcBorders>
            <w:shd w:val="clear" w:color="auto" w:fill="auto"/>
            <w:vAlign w:val="center"/>
          </w:tcPr>
          <w:p w14:paraId="7CC7C989" w14:textId="2BC28A8F" w:rsidR="00E80650" w:rsidRPr="0077128B" w:rsidRDefault="00F85BBE" w:rsidP="00BA4E5A">
            <w:pPr>
              <w:spacing w:after="0"/>
              <w:jc w:val="right"/>
              <w:rPr>
                <w:rFonts w:cstheme="minorHAnsi"/>
                <w:b/>
                <w:bCs/>
                <w:color w:val="FF0000"/>
                <w:sz w:val="20"/>
                <w:szCs w:val="20"/>
              </w:rPr>
            </w:pPr>
            <w:r>
              <w:rPr>
                <w:rFonts w:cstheme="minorHAnsi"/>
                <w:b/>
                <w:bCs/>
                <w:color w:val="2E74B5" w:themeColor="accent1" w:themeShade="BF"/>
                <w:sz w:val="20"/>
                <w:szCs w:val="20"/>
              </w:rPr>
              <w:t>933 113</w:t>
            </w:r>
          </w:p>
        </w:tc>
        <w:tc>
          <w:tcPr>
            <w:tcW w:w="1098" w:type="dxa"/>
            <w:tcBorders>
              <w:top w:val="single" w:sz="4" w:space="0" w:color="auto"/>
              <w:left w:val="single" w:sz="4" w:space="0" w:color="auto"/>
              <w:bottom w:val="nil"/>
              <w:right w:val="single" w:sz="4" w:space="0" w:color="auto"/>
            </w:tcBorders>
            <w:shd w:val="clear" w:color="auto" w:fill="auto"/>
            <w:vAlign w:val="center"/>
          </w:tcPr>
          <w:p w14:paraId="178B755F" w14:textId="614A4F30" w:rsidR="00E80650" w:rsidRPr="0077128B" w:rsidRDefault="00F85BBE" w:rsidP="00BA4E5A">
            <w:pPr>
              <w:spacing w:after="0"/>
              <w:jc w:val="right"/>
              <w:rPr>
                <w:rFonts w:cstheme="minorHAnsi"/>
                <w:b/>
                <w:bCs/>
                <w:color w:val="FF0000"/>
                <w:sz w:val="20"/>
                <w:szCs w:val="20"/>
              </w:rPr>
            </w:pPr>
            <w:r>
              <w:rPr>
                <w:rFonts w:cstheme="minorHAnsi"/>
                <w:b/>
                <w:bCs/>
                <w:color w:val="2E74B5" w:themeColor="accent1" w:themeShade="BF"/>
                <w:sz w:val="20"/>
                <w:szCs w:val="20"/>
              </w:rPr>
              <w:t>1 006 961</w:t>
            </w:r>
          </w:p>
        </w:tc>
        <w:tc>
          <w:tcPr>
            <w:tcW w:w="1125" w:type="dxa"/>
            <w:tcBorders>
              <w:top w:val="single" w:sz="4" w:space="0" w:color="auto"/>
              <w:left w:val="single" w:sz="4" w:space="0" w:color="auto"/>
              <w:bottom w:val="nil"/>
              <w:right w:val="single" w:sz="4" w:space="0" w:color="auto"/>
            </w:tcBorders>
            <w:shd w:val="clear" w:color="auto" w:fill="auto"/>
            <w:vAlign w:val="center"/>
          </w:tcPr>
          <w:p w14:paraId="5C2286DD" w14:textId="7ACCC9F6" w:rsidR="00E80650" w:rsidRPr="0077128B" w:rsidRDefault="00F85BBE" w:rsidP="00BA4E5A">
            <w:pPr>
              <w:spacing w:after="0"/>
              <w:jc w:val="right"/>
              <w:rPr>
                <w:rFonts w:cstheme="minorHAnsi"/>
                <w:b/>
                <w:bCs/>
                <w:color w:val="FF0000"/>
                <w:sz w:val="20"/>
                <w:szCs w:val="20"/>
              </w:rPr>
            </w:pPr>
            <w:r>
              <w:rPr>
                <w:rFonts w:cstheme="minorHAnsi"/>
                <w:b/>
                <w:bCs/>
                <w:color w:val="2E74B5" w:themeColor="accent1" w:themeShade="BF"/>
                <w:sz w:val="20"/>
                <w:szCs w:val="20"/>
              </w:rPr>
              <w:t>1 006 552</w:t>
            </w:r>
          </w:p>
        </w:tc>
        <w:tc>
          <w:tcPr>
            <w:tcW w:w="754" w:type="dxa"/>
            <w:tcBorders>
              <w:top w:val="single" w:sz="4" w:space="0" w:color="auto"/>
              <w:left w:val="single" w:sz="4" w:space="0" w:color="auto"/>
              <w:bottom w:val="nil"/>
              <w:right w:val="single" w:sz="4" w:space="0" w:color="auto"/>
            </w:tcBorders>
            <w:shd w:val="clear" w:color="auto" w:fill="auto"/>
            <w:vAlign w:val="center"/>
          </w:tcPr>
          <w:p w14:paraId="339CC5D2" w14:textId="1D6CE74B" w:rsidR="00E80650" w:rsidRPr="0077128B" w:rsidRDefault="00F85BBE" w:rsidP="00BA4E5A">
            <w:pPr>
              <w:spacing w:after="0"/>
              <w:jc w:val="right"/>
              <w:rPr>
                <w:rFonts w:cstheme="minorHAnsi"/>
                <w:b/>
                <w:bCs/>
                <w:color w:val="FF0000"/>
                <w:sz w:val="20"/>
                <w:szCs w:val="20"/>
              </w:rPr>
            </w:pPr>
            <w:r>
              <w:rPr>
                <w:rFonts w:cstheme="minorHAnsi"/>
                <w:b/>
                <w:bCs/>
                <w:color w:val="2E74B5" w:themeColor="accent1" w:themeShade="BF"/>
                <w:sz w:val="20"/>
                <w:szCs w:val="20"/>
              </w:rPr>
              <w:t>595,6</w:t>
            </w:r>
          </w:p>
        </w:tc>
      </w:tr>
      <w:tr w:rsidR="002F1BE7" w:rsidRPr="0044012B" w14:paraId="7FCD4F65" w14:textId="77777777" w:rsidTr="006B6D61">
        <w:trPr>
          <w:tblHeader/>
        </w:trPr>
        <w:tc>
          <w:tcPr>
            <w:tcW w:w="2902" w:type="dxa"/>
            <w:tcBorders>
              <w:top w:val="nil"/>
              <w:left w:val="single" w:sz="4" w:space="0" w:color="auto"/>
              <w:bottom w:val="nil"/>
              <w:right w:val="single" w:sz="4" w:space="0" w:color="auto"/>
            </w:tcBorders>
            <w:shd w:val="clear" w:color="auto" w:fill="auto"/>
          </w:tcPr>
          <w:p w14:paraId="4AB193C0" w14:textId="68D56649" w:rsidR="00E80650" w:rsidRPr="0077128B" w:rsidRDefault="00F85BBE" w:rsidP="00BA4E5A">
            <w:pPr>
              <w:spacing w:after="0"/>
              <w:jc w:val="both"/>
              <w:rPr>
                <w:rFonts w:cstheme="minorHAnsi"/>
                <w:color w:val="FF0000"/>
                <w:sz w:val="20"/>
                <w:szCs w:val="20"/>
              </w:rPr>
            </w:pPr>
            <w:r w:rsidRPr="006A755F">
              <w:rPr>
                <w:rFonts w:cstheme="minorHAnsi"/>
                <w:sz w:val="20"/>
                <w:szCs w:val="20"/>
              </w:rPr>
              <w:t>na zajištění správy a provozu             VS Kojetín</w:t>
            </w:r>
          </w:p>
        </w:tc>
        <w:tc>
          <w:tcPr>
            <w:tcW w:w="1125" w:type="dxa"/>
            <w:tcBorders>
              <w:top w:val="nil"/>
              <w:left w:val="single" w:sz="4" w:space="0" w:color="auto"/>
              <w:bottom w:val="nil"/>
              <w:right w:val="single" w:sz="4" w:space="0" w:color="auto"/>
            </w:tcBorders>
            <w:shd w:val="clear" w:color="auto" w:fill="auto"/>
            <w:vAlign w:val="center"/>
          </w:tcPr>
          <w:p w14:paraId="197DFFFF" w14:textId="5DC1E7CB" w:rsidR="00E80650" w:rsidRPr="0077128B" w:rsidRDefault="00F85BBE" w:rsidP="00BA4E5A">
            <w:pPr>
              <w:spacing w:after="0"/>
              <w:jc w:val="right"/>
              <w:rPr>
                <w:rFonts w:cstheme="minorHAnsi"/>
                <w:color w:val="FF0000"/>
                <w:sz w:val="20"/>
                <w:szCs w:val="20"/>
              </w:rPr>
            </w:pPr>
            <w:r w:rsidRPr="006A755F">
              <w:rPr>
                <w:rFonts w:cstheme="minorHAnsi"/>
                <w:sz w:val="20"/>
                <w:szCs w:val="20"/>
              </w:rPr>
              <w:t xml:space="preserve">3 500 </w:t>
            </w:r>
          </w:p>
        </w:tc>
        <w:tc>
          <w:tcPr>
            <w:tcW w:w="1125" w:type="dxa"/>
            <w:tcBorders>
              <w:top w:val="nil"/>
              <w:left w:val="single" w:sz="4" w:space="0" w:color="auto"/>
              <w:bottom w:val="nil"/>
              <w:right w:val="single" w:sz="4" w:space="0" w:color="auto"/>
            </w:tcBorders>
            <w:shd w:val="clear" w:color="auto" w:fill="auto"/>
            <w:vAlign w:val="center"/>
          </w:tcPr>
          <w:p w14:paraId="11D2ABE9" w14:textId="72E63873" w:rsidR="00E80650" w:rsidRPr="0077128B" w:rsidRDefault="00F85BBE" w:rsidP="00BA4E5A">
            <w:pPr>
              <w:spacing w:after="0"/>
              <w:jc w:val="right"/>
              <w:rPr>
                <w:rFonts w:cstheme="minorHAnsi"/>
                <w:color w:val="FF0000"/>
                <w:sz w:val="20"/>
                <w:szCs w:val="20"/>
              </w:rPr>
            </w:pPr>
            <w:r w:rsidRPr="006A755F">
              <w:rPr>
                <w:rFonts w:cstheme="minorHAnsi"/>
                <w:sz w:val="20"/>
                <w:szCs w:val="20"/>
              </w:rPr>
              <w:t xml:space="preserve">3 500 </w:t>
            </w:r>
          </w:p>
        </w:tc>
        <w:tc>
          <w:tcPr>
            <w:tcW w:w="1152" w:type="dxa"/>
            <w:tcBorders>
              <w:top w:val="nil"/>
              <w:left w:val="single" w:sz="4" w:space="0" w:color="auto"/>
              <w:bottom w:val="nil"/>
              <w:right w:val="single" w:sz="4" w:space="0" w:color="auto"/>
            </w:tcBorders>
            <w:shd w:val="clear" w:color="auto" w:fill="auto"/>
            <w:vAlign w:val="center"/>
          </w:tcPr>
          <w:p w14:paraId="5A19CE0E" w14:textId="05108E97" w:rsidR="00E80650" w:rsidRPr="0077128B" w:rsidRDefault="00F85BBE" w:rsidP="00BA4E5A">
            <w:pPr>
              <w:spacing w:after="0"/>
              <w:jc w:val="right"/>
              <w:rPr>
                <w:rFonts w:cstheme="minorHAnsi"/>
                <w:color w:val="FF0000"/>
                <w:sz w:val="20"/>
                <w:szCs w:val="20"/>
              </w:rPr>
            </w:pPr>
            <w:r w:rsidRPr="006A755F">
              <w:rPr>
                <w:rFonts w:cstheme="minorHAnsi"/>
                <w:sz w:val="20"/>
                <w:szCs w:val="20"/>
              </w:rPr>
              <w:t xml:space="preserve">3 500 </w:t>
            </w:r>
          </w:p>
        </w:tc>
        <w:tc>
          <w:tcPr>
            <w:tcW w:w="1098" w:type="dxa"/>
            <w:tcBorders>
              <w:top w:val="nil"/>
              <w:left w:val="single" w:sz="4" w:space="0" w:color="auto"/>
              <w:bottom w:val="nil"/>
              <w:right w:val="single" w:sz="4" w:space="0" w:color="auto"/>
            </w:tcBorders>
            <w:shd w:val="clear" w:color="auto" w:fill="auto"/>
            <w:vAlign w:val="center"/>
          </w:tcPr>
          <w:p w14:paraId="2B02C2B5" w14:textId="673ADF3D" w:rsidR="00E80650" w:rsidRPr="0077128B" w:rsidRDefault="00F85BBE" w:rsidP="00BA4E5A">
            <w:pPr>
              <w:spacing w:after="0"/>
              <w:jc w:val="right"/>
              <w:rPr>
                <w:rFonts w:cstheme="minorHAnsi"/>
                <w:color w:val="FF0000"/>
                <w:sz w:val="20"/>
                <w:szCs w:val="20"/>
              </w:rPr>
            </w:pPr>
            <w:r w:rsidRPr="006A755F">
              <w:rPr>
                <w:rFonts w:cstheme="minorHAnsi"/>
                <w:sz w:val="20"/>
                <w:szCs w:val="20"/>
              </w:rPr>
              <w:t xml:space="preserve">3 </w:t>
            </w:r>
            <w:r>
              <w:rPr>
                <w:rFonts w:cstheme="minorHAnsi"/>
                <w:sz w:val="20"/>
                <w:szCs w:val="20"/>
              </w:rPr>
              <w:t>752</w:t>
            </w:r>
            <w:r w:rsidRPr="006A755F">
              <w:rPr>
                <w:rFonts w:cstheme="minorHAnsi"/>
                <w:sz w:val="20"/>
                <w:szCs w:val="20"/>
              </w:rPr>
              <w:t xml:space="preserve"> </w:t>
            </w:r>
          </w:p>
        </w:tc>
        <w:tc>
          <w:tcPr>
            <w:tcW w:w="1125" w:type="dxa"/>
            <w:tcBorders>
              <w:top w:val="nil"/>
              <w:left w:val="single" w:sz="4" w:space="0" w:color="auto"/>
              <w:bottom w:val="nil"/>
              <w:right w:val="single" w:sz="4" w:space="0" w:color="auto"/>
            </w:tcBorders>
            <w:shd w:val="clear" w:color="auto" w:fill="auto"/>
            <w:vAlign w:val="center"/>
          </w:tcPr>
          <w:p w14:paraId="23F46881" w14:textId="589323B1" w:rsidR="00E80650" w:rsidRPr="0077128B" w:rsidRDefault="00F85BBE" w:rsidP="00BA4E5A">
            <w:pPr>
              <w:spacing w:after="0"/>
              <w:jc w:val="right"/>
              <w:rPr>
                <w:rFonts w:cstheme="minorHAnsi"/>
                <w:color w:val="FF0000"/>
                <w:sz w:val="20"/>
                <w:szCs w:val="20"/>
              </w:rPr>
            </w:pPr>
            <w:r w:rsidRPr="006A755F">
              <w:rPr>
                <w:rFonts w:cstheme="minorHAnsi"/>
                <w:sz w:val="20"/>
                <w:szCs w:val="20"/>
              </w:rPr>
              <w:t xml:space="preserve">3 </w:t>
            </w:r>
            <w:r>
              <w:rPr>
                <w:rFonts w:cstheme="minorHAnsi"/>
                <w:sz w:val="20"/>
                <w:szCs w:val="20"/>
              </w:rPr>
              <w:t>752</w:t>
            </w:r>
            <w:r w:rsidRPr="006A755F">
              <w:rPr>
                <w:rFonts w:cstheme="minorHAnsi"/>
                <w:sz w:val="20"/>
                <w:szCs w:val="20"/>
              </w:rPr>
              <w:t xml:space="preserve"> </w:t>
            </w:r>
          </w:p>
        </w:tc>
        <w:tc>
          <w:tcPr>
            <w:tcW w:w="754" w:type="dxa"/>
            <w:tcBorders>
              <w:top w:val="nil"/>
              <w:left w:val="single" w:sz="4" w:space="0" w:color="auto"/>
              <w:bottom w:val="nil"/>
              <w:right w:val="single" w:sz="4" w:space="0" w:color="auto"/>
            </w:tcBorders>
            <w:shd w:val="clear" w:color="auto" w:fill="auto"/>
            <w:vAlign w:val="center"/>
          </w:tcPr>
          <w:p w14:paraId="7259F307" w14:textId="1FCD12CC" w:rsidR="00E80650" w:rsidRPr="0077128B" w:rsidRDefault="00F85BBE" w:rsidP="00BA4E5A">
            <w:pPr>
              <w:spacing w:after="0"/>
              <w:jc w:val="right"/>
              <w:rPr>
                <w:rFonts w:cstheme="minorHAnsi"/>
                <w:color w:val="FF0000"/>
                <w:sz w:val="20"/>
                <w:szCs w:val="20"/>
              </w:rPr>
            </w:pPr>
            <w:r>
              <w:rPr>
                <w:rFonts w:cstheme="minorHAnsi"/>
                <w:sz w:val="20"/>
                <w:szCs w:val="20"/>
              </w:rPr>
              <w:t>107,2</w:t>
            </w:r>
          </w:p>
        </w:tc>
      </w:tr>
      <w:tr w:rsidR="002F1BE7" w:rsidRPr="0044012B" w14:paraId="05D81201" w14:textId="77777777" w:rsidTr="006B6D61">
        <w:trPr>
          <w:tblHeader/>
        </w:trPr>
        <w:tc>
          <w:tcPr>
            <w:tcW w:w="2902" w:type="dxa"/>
            <w:tcBorders>
              <w:top w:val="nil"/>
              <w:left w:val="single" w:sz="4" w:space="0" w:color="auto"/>
              <w:bottom w:val="nil"/>
              <w:right w:val="single" w:sz="4" w:space="0" w:color="auto"/>
            </w:tcBorders>
            <w:shd w:val="clear" w:color="auto" w:fill="auto"/>
          </w:tcPr>
          <w:p w14:paraId="026BDFA3" w14:textId="1956D941" w:rsidR="00E80650" w:rsidRPr="0077128B" w:rsidRDefault="00F85BBE" w:rsidP="00BA4E5A">
            <w:pPr>
              <w:spacing w:after="0"/>
              <w:ind w:firstLine="4"/>
              <w:jc w:val="both"/>
              <w:rPr>
                <w:rFonts w:cstheme="minorHAnsi"/>
                <w:color w:val="FF0000"/>
                <w:sz w:val="20"/>
                <w:szCs w:val="20"/>
              </w:rPr>
            </w:pPr>
            <w:r w:rsidRPr="006A755F">
              <w:rPr>
                <w:rFonts w:cstheme="minorHAnsi"/>
                <w:sz w:val="20"/>
                <w:szCs w:val="20"/>
              </w:rPr>
              <w:t>na zaplacení pokut a penále vyměřené FÚ a na vrácení příspěvku SFDI</w:t>
            </w:r>
          </w:p>
        </w:tc>
        <w:tc>
          <w:tcPr>
            <w:tcW w:w="1125" w:type="dxa"/>
            <w:tcBorders>
              <w:top w:val="nil"/>
              <w:left w:val="single" w:sz="4" w:space="0" w:color="auto"/>
              <w:bottom w:val="nil"/>
              <w:right w:val="single" w:sz="4" w:space="0" w:color="auto"/>
            </w:tcBorders>
            <w:shd w:val="clear" w:color="auto" w:fill="auto"/>
            <w:vAlign w:val="center"/>
          </w:tcPr>
          <w:p w14:paraId="7F6F331F" w14:textId="33D94E7B" w:rsidR="00E80650" w:rsidRPr="0077128B" w:rsidRDefault="00F85BBE" w:rsidP="00BA4E5A">
            <w:pPr>
              <w:spacing w:after="0"/>
              <w:jc w:val="right"/>
              <w:rPr>
                <w:rFonts w:cstheme="minorHAnsi"/>
                <w:color w:val="FF0000"/>
                <w:sz w:val="20"/>
                <w:szCs w:val="20"/>
              </w:rPr>
            </w:pPr>
            <w:r w:rsidRPr="006A755F">
              <w:rPr>
                <w:rFonts w:cstheme="minorHAnsi"/>
                <w:sz w:val="20"/>
                <w:szCs w:val="20"/>
              </w:rPr>
              <w:t xml:space="preserve">38 525  </w:t>
            </w:r>
          </w:p>
        </w:tc>
        <w:tc>
          <w:tcPr>
            <w:tcW w:w="1125" w:type="dxa"/>
            <w:tcBorders>
              <w:top w:val="nil"/>
              <w:left w:val="single" w:sz="4" w:space="0" w:color="auto"/>
              <w:bottom w:val="nil"/>
              <w:right w:val="single" w:sz="4" w:space="0" w:color="auto"/>
            </w:tcBorders>
            <w:shd w:val="clear" w:color="auto" w:fill="auto"/>
            <w:vAlign w:val="center"/>
          </w:tcPr>
          <w:p w14:paraId="68093455" w14:textId="32A4A38B" w:rsidR="00E80650" w:rsidRPr="0077128B" w:rsidRDefault="00F85BBE" w:rsidP="00BA4E5A">
            <w:pPr>
              <w:spacing w:after="0"/>
              <w:jc w:val="right"/>
              <w:rPr>
                <w:rFonts w:cstheme="minorHAnsi"/>
                <w:color w:val="FF0000"/>
                <w:sz w:val="20"/>
                <w:szCs w:val="20"/>
              </w:rPr>
            </w:pPr>
            <w:r>
              <w:rPr>
                <w:rFonts w:cstheme="minorHAnsi"/>
                <w:sz w:val="20"/>
                <w:szCs w:val="20"/>
              </w:rPr>
              <w:t>29 133</w:t>
            </w:r>
          </w:p>
        </w:tc>
        <w:tc>
          <w:tcPr>
            <w:tcW w:w="1152" w:type="dxa"/>
            <w:tcBorders>
              <w:top w:val="nil"/>
              <w:left w:val="single" w:sz="4" w:space="0" w:color="auto"/>
              <w:bottom w:val="nil"/>
              <w:right w:val="single" w:sz="4" w:space="0" w:color="auto"/>
            </w:tcBorders>
            <w:shd w:val="clear" w:color="auto" w:fill="auto"/>
            <w:vAlign w:val="center"/>
          </w:tcPr>
          <w:p w14:paraId="44298C67" w14:textId="7122E3AF" w:rsidR="00E80650" w:rsidRPr="0077128B" w:rsidRDefault="00F85BBE" w:rsidP="00BA4E5A">
            <w:pPr>
              <w:spacing w:after="0"/>
              <w:jc w:val="right"/>
              <w:rPr>
                <w:rFonts w:cstheme="minorHAnsi"/>
                <w:color w:val="FF0000"/>
                <w:sz w:val="20"/>
                <w:szCs w:val="20"/>
              </w:rPr>
            </w:pPr>
            <w:r>
              <w:rPr>
                <w:rFonts w:cstheme="minorHAnsi"/>
                <w:sz w:val="20"/>
                <w:szCs w:val="20"/>
              </w:rPr>
              <w:t>928 403</w:t>
            </w:r>
          </w:p>
        </w:tc>
        <w:tc>
          <w:tcPr>
            <w:tcW w:w="1098" w:type="dxa"/>
            <w:tcBorders>
              <w:top w:val="nil"/>
              <w:left w:val="single" w:sz="4" w:space="0" w:color="auto"/>
              <w:bottom w:val="nil"/>
              <w:right w:val="single" w:sz="4" w:space="0" w:color="auto"/>
            </w:tcBorders>
            <w:shd w:val="clear" w:color="auto" w:fill="auto"/>
            <w:vAlign w:val="center"/>
          </w:tcPr>
          <w:p w14:paraId="08FC1800" w14:textId="6285A8C2" w:rsidR="00E80650" w:rsidRPr="0077128B" w:rsidRDefault="00F85BBE" w:rsidP="00BA4E5A">
            <w:pPr>
              <w:spacing w:after="0"/>
              <w:jc w:val="right"/>
              <w:rPr>
                <w:rFonts w:cstheme="minorHAnsi"/>
                <w:color w:val="FF0000"/>
                <w:sz w:val="20"/>
                <w:szCs w:val="20"/>
              </w:rPr>
            </w:pPr>
            <w:r>
              <w:rPr>
                <w:rFonts w:cstheme="minorHAnsi"/>
                <w:sz w:val="20"/>
                <w:szCs w:val="20"/>
              </w:rPr>
              <w:t>1 001 565</w:t>
            </w:r>
          </w:p>
        </w:tc>
        <w:tc>
          <w:tcPr>
            <w:tcW w:w="1125" w:type="dxa"/>
            <w:tcBorders>
              <w:top w:val="nil"/>
              <w:left w:val="single" w:sz="4" w:space="0" w:color="auto"/>
              <w:bottom w:val="nil"/>
              <w:right w:val="single" w:sz="4" w:space="0" w:color="auto"/>
            </w:tcBorders>
            <w:shd w:val="clear" w:color="auto" w:fill="auto"/>
            <w:vAlign w:val="center"/>
          </w:tcPr>
          <w:p w14:paraId="4A315D8A" w14:textId="3CA801CE" w:rsidR="00E80650" w:rsidRPr="0077128B" w:rsidRDefault="00F85BBE" w:rsidP="00BA4E5A">
            <w:pPr>
              <w:spacing w:after="0"/>
              <w:jc w:val="right"/>
              <w:rPr>
                <w:rFonts w:cstheme="minorHAnsi"/>
                <w:color w:val="FF0000"/>
                <w:sz w:val="20"/>
                <w:szCs w:val="20"/>
              </w:rPr>
            </w:pPr>
            <w:r>
              <w:rPr>
                <w:rFonts w:cstheme="minorHAnsi"/>
                <w:sz w:val="20"/>
                <w:szCs w:val="20"/>
              </w:rPr>
              <w:t>1 001 565</w:t>
            </w:r>
            <w:r w:rsidRPr="006A755F">
              <w:rPr>
                <w:rFonts w:cstheme="minorHAnsi"/>
                <w:sz w:val="20"/>
                <w:szCs w:val="20"/>
              </w:rPr>
              <w:t xml:space="preserve">  </w:t>
            </w:r>
          </w:p>
        </w:tc>
        <w:tc>
          <w:tcPr>
            <w:tcW w:w="754" w:type="dxa"/>
            <w:tcBorders>
              <w:top w:val="nil"/>
              <w:left w:val="single" w:sz="4" w:space="0" w:color="auto"/>
              <w:bottom w:val="nil"/>
              <w:right w:val="single" w:sz="4" w:space="0" w:color="auto"/>
            </w:tcBorders>
            <w:shd w:val="clear" w:color="auto" w:fill="auto"/>
            <w:vAlign w:val="center"/>
          </w:tcPr>
          <w:p w14:paraId="62DE510C" w14:textId="145A01D2" w:rsidR="00E80650" w:rsidRPr="0077128B" w:rsidRDefault="00F85BBE" w:rsidP="00BA4E5A">
            <w:pPr>
              <w:spacing w:after="0"/>
              <w:jc w:val="right"/>
              <w:rPr>
                <w:rFonts w:cstheme="minorHAnsi"/>
                <w:color w:val="FF0000"/>
                <w:sz w:val="20"/>
                <w:szCs w:val="20"/>
              </w:rPr>
            </w:pPr>
            <w:r>
              <w:rPr>
                <w:rFonts w:cstheme="minorHAnsi"/>
                <w:sz w:val="20"/>
                <w:szCs w:val="20"/>
              </w:rPr>
              <w:t>2 599,8</w:t>
            </w:r>
          </w:p>
        </w:tc>
      </w:tr>
      <w:tr w:rsidR="002F1BE7" w:rsidRPr="0044012B" w14:paraId="3F11629B" w14:textId="77777777" w:rsidTr="006B6D61">
        <w:trPr>
          <w:tblHeader/>
        </w:trPr>
        <w:tc>
          <w:tcPr>
            <w:tcW w:w="2902" w:type="dxa"/>
            <w:tcBorders>
              <w:top w:val="nil"/>
              <w:left w:val="single" w:sz="4" w:space="0" w:color="auto"/>
              <w:bottom w:val="nil"/>
              <w:right w:val="single" w:sz="4" w:space="0" w:color="auto"/>
            </w:tcBorders>
            <w:shd w:val="clear" w:color="auto" w:fill="auto"/>
          </w:tcPr>
          <w:p w14:paraId="4D375F45" w14:textId="5C04A1CA" w:rsidR="00E80650" w:rsidRPr="0077128B" w:rsidRDefault="00F85BBE" w:rsidP="00BA4E5A">
            <w:pPr>
              <w:spacing w:after="0"/>
              <w:ind w:firstLine="4"/>
              <w:jc w:val="both"/>
              <w:rPr>
                <w:rFonts w:cstheme="minorHAnsi"/>
                <w:color w:val="FF0000"/>
                <w:sz w:val="20"/>
                <w:szCs w:val="20"/>
              </w:rPr>
            </w:pPr>
            <w:r w:rsidRPr="006A755F">
              <w:rPr>
                <w:rFonts w:cstheme="minorHAnsi"/>
                <w:sz w:val="20"/>
                <w:szCs w:val="20"/>
              </w:rPr>
              <w:t>na transformaci ŘSD ČR</w:t>
            </w:r>
          </w:p>
        </w:tc>
        <w:tc>
          <w:tcPr>
            <w:tcW w:w="1125" w:type="dxa"/>
            <w:tcBorders>
              <w:top w:val="nil"/>
              <w:left w:val="single" w:sz="4" w:space="0" w:color="auto"/>
              <w:bottom w:val="nil"/>
              <w:right w:val="single" w:sz="4" w:space="0" w:color="auto"/>
            </w:tcBorders>
            <w:shd w:val="clear" w:color="auto" w:fill="auto"/>
            <w:vAlign w:val="center"/>
          </w:tcPr>
          <w:p w14:paraId="604EA8AA" w14:textId="38BFADAE" w:rsidR="00E80650" w:rsidRPr="0077128B" w:rsidRDefault="00F85BBE" w:rsidP="00BA4E5A">
            <w:pPr>
              <w:spacing w:after="0"/>
              <w:jc w:val="right"/>
              <w:rPr>
                <w:rFonts w:cstheme="minorHAnsi"/>
                <w:color w:val="FF0000"/>
                <w:sz w:val="20"/>
                <w:szCs w:val="20"/>
              </w:rPr>
            </w:pPr>
            <w:r w:rsidRPr="006A755F">
              <w:rPr>
                <w:rFonts w:cstheme="minorHAnsi"/>
                <w:sz w:val="20"/>
                <w:szCs w:val="20"/>
              </w:rPr>
              <w:t>2 170</w:t>
            </w:r>
          </w:p>
        </w:tc>
        <w:tc>
          <w:tcPr>
            <w:tcW w:w="1125" w:type="dxa"/>
            <w:tcBorders>
              <w:top w:val="nil"/>
              <w:left w:val="single" w:sz="4" w:space="0" w:color="auto"/>
              <w:bottom w:val="nil"/>
              <w:right w:val="single" w:sz="4" w:space="0" w:color="auto"/>
            </w:tcBorders>
            <w:shd w:val="clear" w:color="auto" w:fill="auto"/>
            <w:vAlign w:val="center"/>
          </w:tcPr>
          <w:p w14:paraId="44A9705A" w14:textId="2C76CA3F" w:rsidR="00E80650" w:rsidRPr="0077128B" w:rsidRDefault="00F85BBE" w:rsidP="00BA4E5A">
            <w:pPr>
              <w:spacing w:after="0"/>
              <w:jc w:val="right"/>
              <w:rPr>
                <w:rFonts w:cstheme="minorHAnsi"/>
                <w:color w:val="FF0000"/>
                <w:sz w:val="20"/>
                <w:szCs w:val="20"/>
              </w:rPr>
            </w:pPr>
            <w:r w:rsidRPr="006A755F">
              <w:rPr>
                <w:rFonts w:cstheme="minorHAnsi"/>
                <w:sz w:val="20"/>
                <w:szCs w:val="20"/>
              </w:rPr>
              <w:t>0</w:t>
            </w:r>
          </w:p>
        </w:tc>
        <w:tc>
          <w:tcPr>
            <w:tcW w:w="1152" w:type="dxa"/>
            <w:tcBorders>
              <w:top w:val="nil"/>
              <w:left w:val="single" w:sz="4" w:space="0" w:color="auto"/>
              <w:bottom w:val="nil"/>
              <w:right w:val="single" w:sz="4" w:space="0" w:color="auto"/>
            </w:tcBorders>
            <w:shd w:val="clear" w:color="auto" w:fill="auto"/>
            <w:vAlign w:val="center"/>
          </w:tcPr>
          <w:p w14:paraId="33480A6F" w14:textId="6439AB26" w:rsidR="00E80650" w:rsidRPr="0077128B" w:rsidRDefault="00F85BBE" w:rsidP="00BA4E5A">
            <w:pPr>
              <w:spacing w:after="0"/>
              <w:jc w:val="right"/>
              <w:rPr>
                <w:rFonts w:cstheme="minorHAnsi"/>
                <w:color w:val="FF0000"/>
                <w:sz w:val="20"/>
                <w:szCs w:val="20"/>
              </w:rPr>
            </w:pPr>
            <w:r>
              <w:rPr>
                <w:rFonts w:cstheme="minorHAnsi"/>
                <w:sz w:val="20"/>
                <w:szCs w:val="20"/>
              </w:rPr>
              <w:t>730</w:t>
            </w:r>
          </w:p>
        </w:tc>
        <w:tc>
          <w:tcPr>
            <w:tcW w:w="1098" w:type="dxa"/>
            <w:tcBorders>
              <w:top w:val="nil"/>
              <w:left w:val="single" w:sz="4" w:space="0" w:color="auto"/>
              <w:bottom w:val="nil"/>
              <w:right w:val="single" w:sz="4" w:space="0" w:color="auto"/>
            </w:tcBorders>
            <w:shd w:val="clear" w:color="auto" w:fill="auto"/>
            <w:vAlign w:val="center"/>
          </w:tcPr>
          <w:p w14:paraId="6DC500B7" w14:textId="1367CFF6" w:rsidR="00E80650" w:rsidRPr="0077128B" w:rsidRDefault="00F85BBE" w:rsidP="00BA4E5A">
            <w:pPr>
              <w:spacing w:after="0"/>
              <w:jc w:val="right"/>
              <w:rPr>
                <w:rFonts w:cstheme="minorHAnsi"/>
                <w:color w:val="FF0000"/>
                <w:sz w:val="20"/>
                <w:szCs w:val="20"/>
              </w:rPr>
            </w:pPr>
            <w:r>
              <w:rPr>
                <w:rFonts w:cstheme="minorHAnsi"/>
                <w:sz w:val="20"/>
                <w:szCs w:val="20"/>
              </w:rPr>
              <w:t>730</w:t>
            </w:r>
          </w:p>
        </w:tc>
        <w:tc>
          <w:tcPr>
            <w:tcW w:w="1125" w:type="dxa"/>
            <w:tcBorders>
              <w:top w:val="nil"/>
              <w:left w:val="single" w:sz="4" w:space="0" w:color="auto"/>
              <w:bottom w:val="nil"/>
              <w:right w:val="single" w:sz="4" w:space="0" w:color="auto"/>
            </w:tcBorders>
            <w:shd w:val="clear" w:color="auto" w:fill="auto"/>
            <w:vAlign w:val="center"/>
          </w:tcPr>
          <w:p w14:paraId="39B955C1" w14:textId="10A1CD36" w:rsidR="00E80650" w:rsidRPr="0077128B" w:rsidRDefault="00F85BBE" w:rsidP="00BA4E5A">
            <w:pPr>
              <w:spacing w:after="0"/>
              <w:jc w:val="right"/>
              <w:rPr>
                <w:rFonts w:cstheme="minorHAnsi"/>
                <w:color w:val="FF0000"/>
                <w:sz w:val="20"/>
                <w:szCs w:val="20"/>
              </w:rPr>
            </w:pPr>
            <w:r>
              <w:rPr>
                <w:rFonts w:cstheme="minorHAnsi"/>
                <w:sz w:val="20"/>
                <w:szCs w:val="20"/>
              </w:rPr>
              <w:t>730</w:t>
            </w:r>
          </w:p>
        </w:tc>
        <w:tc>
          <w:tcPr>
            <w:tcW w:w="754" w:type="dxa"/>
            <w:tcBorders>
              <w:top w:val="nil"/>
              <w:left w:val="single" w:sz="4" w:space="0" w:color="auto"/>
              <w:bottom w:val="nil"/>
              <w:right w:val="single" w:sz="4" w:space="0" w:color="auto"/>
            </w:tcBorders>
            <w:shd w:val="clear" w:color="auto" w:fill="auto"/>
            <w:vAlign w:val="center"/>
          </w:tcPr>
          <w:p w14:paraId="161BAEE6" w14:textId="2A4A56FA" w:rsidR="00E80650" w:rsidRPr="0077128B" w:rsidRDefault="00F85BBE" w:rsidP="00BA4E5A">
            <w:pPr>
              <w:spacing w:after="0"/>
              <w:jc w:val="right"/>
              <w:rPr>
                <w:rFonts w:cstheme="minorHAnsi"/>
                <w:color w:val="FF0000"/>
                <w:sz w:val="20"/>
                <w:szCs w:val="20"/>
              </w:rPr>
            </w:pPr>
            <w:r>
              <w:rPr>
                <w:rFonts w:cstheme="minorHAnsi"/>
                <w:sz w:val="20"/>
                <w:szCs w:val="20"/>
              </w:rPr>
              <w:t>33,6</w:t>
            </w:r>
          </w:p>
        </w:tc>
      </w:tr>
      <w:tr w:rsidR="002F1BE7" w:rsidRPr="0044012B" w14:paraId="754423F3" w14:textId="77777777" w:rsidTr="006B6D61">
        <w:trPr>
          <w:tblHeader/>
        </w:trPr>
        <w:tc>
          <w:tcPr>
            <w:tcW w:w="2902" w:type="dxa"/>
            <w:tcBorders>
              <w:top w:val="nil"/>
              <w:left w:val="single" w:sz="4" w:space="0" w:color="auto"/>
              <w:bottom w:val="nil"/>
              <w:right w:val="single" w:sz="4" w:space="0" w:color="auto"/>
            </w:tcBorders>
            <w:shd w:val="clear" w:color="auto" w:fill="auto"/>
          </w:tcPr>
          <w:p w14:paraId="19009EDD" w14:textId="00F77DCE" w:rsidR="00E80650" w:rsidRPr="0077128B" w:rsidRDefault="00F85BBE" w:rsidP="00BA4E5A">
            <w:pPr>
              <w:spacing w:after="0"/>
              <w:ind w:firstLine="4"/>
              <w:jc w:val="both"/>
              <w:rPr>
                <w:rFonts w:cstheme="minorHAnsi"/>
                <w:color w:val="FF0000"/>
                <w:sz w:val="20"/>
                <w:szCs w:val="20"/>
              </w:rPr>
            </w:pPr>
            <w:r w:rsidRPr="006A755F">
              <w:rPr>
                <w:rFonts w:cstheme="minorHAnsi"/>
                <w:sz w:val="20"/>
                <w:szCs w:val="20"/>
              </w:rPr>
              <w:t>na úhradu pokut, úroků a nákladů řízení – rozsudek soudu</w:t>
            </w:r>
          </w:p>
        </w:tc>
        <w:tc>
          <w:tcPr>
            <w:tcW w:w="1125" w:type="dxa"/>
            <w:tcBorders>
              <w:top w:val="nil"/>
              <w:left w:val="single" w:sz="4" w:space="0" w:color="auto"/>
              <w:bottom w:val="nil"/>
              <w:right w:val="single" w:sz="4" w:space="0" w:color="auto"/>
            </w:tcBorders>
            <w:shd w:val="clear" w:color="auto" w:fill="auto"/>
            <w:vAlign w:val="center"/>
          </w:tcPr>
          <w:p w14:paraId="47DB53DC" w14:textId="31A1F82A" w:rsidR="00E80650" w:rsidRPr="0077128B" w:rsidRDefault="00F85BBE" w:rsidP="00BA4E5A">
            <w:pPr>
              <w:spacing w:after="0"/>
              <w:jc w:val="right"/>
              <w:rPr>
                <w:rFonts w:cstheme="minorHAnsi"/>
                <w:color w:val="FF0000"/>
                <w:sz w:val="20"/>
                <w:szCs w:val="20"/>
              </w:rPr>
            </w:pPr>
            <w:r w:rsidRPr="006A755F">
              <w:rPr>
                <w:rFonts w:cstheme="minorHAnsi"/>
                <w:sz w:val="20"/>
                <w:szCs w:val="20"/>
              </w:rPr>
              <w:t>124 794</w:t>
            </w:r>
          </w:p>
        </w:tc>
        <w:tc>
          <w:tcPr>
            <w:tcW w:w="1125" w:type="dxa"/>
            <w:tcBorders>
              <w:top w:val="nil"/>
              <w:left w:val="single" w:sz="4" w:space="0" w:color="auto"/>
              <w:bottom w:val="nil"/>
              <w:right w:val="single" w:sz="4" w:space="0" w:color="auto"/>
            </w:tcBorders>
            <w:shd w:val="clear" w:color="auto" w:fill="auto"/>
            <w:vAlign w:val="center"/>
          </w:tcPr>
          <w:p w14:paraId="442CF504" w14:textId="2DBA432B" w:rsidR="00E80650" w:rsidRPr="0077128B" w:rsidRDefault="00F85BBE" w:rsidP="00BA4E5A">
            <w:pPr>
              <w:spacing w:after="0"/>
              <w:jc w:val="right"/>
              <w:rPr>
                <w:rFonts w:cstheme="minorHAnsi"/>
                <w:color w:val="FF0000"/>
                <w:sz w:val="20"/>
                <w:szCs w:val="20"/>
              </w:rPr>
            </w:pPr>
            <w:r w:rsidRPr="006A755F">
              <w:rPr>
                <w:rFonts w:cstheme="minorHAnsi"/>
                <w:sz w:val="20"/>
                <w:szCs w:val="20"/>
              </w:rPr>
              <w:t>0</w:t>
            </w:r>
          </w:p>
        </w:tc>
        <w:tc>
          <w:tcPr>
            <w:tcW w:w="1152" w:type="dxa"/>
            <w:tcBorders>
              <w:top w:val="nil"/>
              <w:left w:val="single" w:sz="4" w:space="0" w:color="auto"/>
              <w:bottom w:val="nil"/>
              <w:right w:val="single" w:sz="4" w:space="0" w:color="auto"/>
            </w:tcBorders>
            <w:shd w:val="clear" w:color="auto" w:fill="auto"/>
            <w:vAlign w:val="center"/>
          </w:tcPr>
          <w:p w14:paraId="0BC068FB" w14:textId="5DAF9AC7" w:rsidR="00E80650" w:rsidRPr="0077128B" w:rsidRDefault="00F85BBE" w:rsidP="00BA4E5A">
            <w:pPr>
              <w:spacing w:after="0"/>
              <w:jc w:val="right"/>
              <w:rPr>
                <w:rFonts w:cstheme="minorHAnsi"/>
                <w:color w:val="FF0000"/>
                <w:sz w:val="20"/>
                <w:szCs w:val="20"/>
              </w:rPr>
            </w:pPr>
            <w:r>
              <w:rPr>
                <w:rFonts w:cstheme="minorHAnsi"/>
                <w:sz w:val="20"/>
                <w:szCs w:val="20"/>
              </w:rPr>
              <w:t>0</w:t>
            </w:r>
          </w:p>
        </w:tc>
        <w:tc>
          <w:tcPr>
            <w:tcW w:w="1098" w:type="dxa"/>
            <w:tcBorders>
              <w:top w:val="nil"/>
              <w:left w:val="single" w:sz="4" w:space="0" w:color="auto"/>
              <w:bottom w:val="nil"/>
              <w:right w:val="single" w:sz="4" w:space="0" w:color="auto"/>
            </w:tcBorders>
            <w:shd w:val="clear" w:color="auto" w:fill="auto"/>
            <w:vAlign w:val="center"/>
          </w:tcPr>
          <w:p w14:paraId="6F882672" w14:textId="34D1B7CC" w:rsidR="00E80650" w:rsidRPr="0077128B" w:rsidRDefault="00F85BBE" w:rsidP="00BA4E5A">
            <w:pPr>
              <w:spacing w:after="0"/>
              <w:jc w:val="right"/>
              <w:rPr>
                <w:rFonts w:cstheme="minorHAnsi"/>
                <w:color w:val="FF0000"/>
                <w:sz w:val="20"/>
                <w:szCs w:val="20"/>
              </w:rPr>
            </w:pPr>
            <w:r>
              <w:rPr>
                <w:rFonts w:cstheme="minorHAnsi"/>
                <w:sz w:val="20"/>
                <w:szCs w:val="20"/>
              </w:rPr>
              <w:t>0</w:t>
            </w:r>
          </w:p>
        </w:tc>
        <w:tc>
          <w:tcPr>
            <w:tcW w:w="1125" w:type="dxa"/>
            <w:tcBorders>
              <w:top w:val="nil"/>
              <w:left w:val="single" w:sz="4" w:space="0" w:color="auto"/>
              <w:bottom w:val="nil"/>
              <w:right w:val="single" w:sz="4" w:space="0" w:color="auto"/>
            </w:tcBorders>
            <w:shd w:val="clear" w:color="auto" w:fill="auto"/>
            <w:vAlign w:val="center"/>
          </w:tcPr>
          <w:p w14:paraId="5537C545" w14:textId="6C84D3B0" w:rsidR="00E80650" w:rsidRPr="0077128B" w:rsidRDefault="00F85BBE" w:rsidP="00BA4E5A">
            <w:pPr>
              <w:spacing w:after="0"/>
              <w:jc w:val="right"/>
              <w:rPr>
                <w:rFonts w:cstheme="minorHAnsi"/>
                <w:color w:val="FF0000"/>
                <w:sz w:val="20"/>
                <w:szCs w:val="20"/>
              </w:rPr>
            </w:pPr>
            <w:r>
              <w:rPr>
                <w:rFonts w:cstheme="minorHAnsi"/>
                <w:sz w:val="20"/>
                <w:szCs w:val="20"/>
              </w:rPr>
              <w:t>0</w:t>
            </w:r>
          </w:p>
        </w:tc>
        <w:tc>
          <w:tcPr>
            <w:tcW w:w="754" w:type="dxa"/>
            <w:tcBorders>
              <w:top w:val="nil"/>
              <w:left w:val="single" w:sz="4" w:space="0" w:color="auto"/>
              <w:bottom w:val="nil"/>
              <w:right w:val="single" w:sz="4" w:space="0" w:color="auto"/>
            </w:tcBorders>
            <w:shd w:val="clear" w:color="auto" w:fill="auto"/>
            <w:vAlign w:val="center"/>
          </w:tcPr>
          <w:p w14:paraId="5797CA99" w14:textId="3EBA0B30" w:rsidR="00E80650" w:rsidRPr="0077128B" w:rsidRDefault="00F85BBE" w:rsidP="00BA4E5A">
            <w:pPr>
              <w:spacing w:after="0"/>
              <w:jc w:val="right"/>
              <w:rPr>
                <w:rFonts w:cstheme="minorHAnsi"/>
                <w:color w:val="FF0000"/>
                <w:sz w:val="20"/>
                <w:szCs w:val="20"/>
              </w:rPr>
            </w:pPr>
            <w:r>
              <w:rPr>
                <w:rFonts w:cstheme="minorHAnsi"/>
                <w:sz w:val="20"/>
                <w:szCs w:val="20"/>
              </w:rPr>
              <w:t>0</w:t>
            </w:r>
          </w:p>
        </w:tc>
      </w:tr>
      <w:tr w:rsidR="002F1BE7" w:rsidRPr="0044012B" w14:paraId="34020A21" w14:textId="77777777" w:rsidTr="006B6D61">
        <w:trPr>
          <w:tblHeader/>
        </w:trPr>
        <w:tc>
          <w:tcPr>
            <w:tcW w:w="2902" w:type="dxa"/>
            <w:tcBorders>
              <w:top w:val="nil"/>
              <w:left w:val="single" w:sz="4" w:space="0" w:color="auto"/>
              <w:bottom w:val="single" w:sz="4" w:space="0" w:color="auto"/>
              <w:right w:val="single" w:sz="4" w:space="0" w:color="auto"/>
            </w:tcBorders>
            <w:shd w:val="clear" w:color="auto" w:fill="auto"/>
          </w:tcPr>
          <w:p w14:paraId="52240F59" w14:textId="37E2F21B" w:rsidR="00E80650" w:rsidRPr="0077128B" w:rsidRDefault="00F85BBE" w:rsidP="00BA4E5A">
            <w:pPr>
              <w:spacing w:after="0"/>
              <w:ind w:firstLine="4"/>
              <w:jc w:val="both"/>
              <w:rPr>
                <w:rFonts w:cstheme="minorHAnsi"/>
                <w:color w:val="FF0000"/>
                <w:sz w:val="20"/>
                <w:szCs w:val="20"/>
              </w:rPr>
            </w:pPr>
            <w:proofErr w:type="gramStart"/>
            <w:r w:rsidRPr="006A755F">
              <w:rPr>
                <w:rFonts w:cstheme="minorHAnsi"/>
                <w:sz w:val="20"/>
                <w:szCs w:val="20"/>
              </w:rPr>
              <w:t>RISPF - OPPIK</w:t>
            </w:r>
            <w:proofErr w:type="gramEnd"/>
          </w:p>
        </w:tc>
        <w:tc>
          <w:tcPr>
            <w:tcW w:w="1125" w:type="dxa"/>
            <w:tcBorders>
              <w:top w:val="nil"/>
              <w:left w:val="single" w:sz="4" w:space="0" w:color="auto"/>
              <w:bottom w:val="single" w:sz="4" w:space="0" w:color="auto"/>
              <w:right w:val="single" w:sz="4" w:space="0" w:color="auto"/>
            </w:tcBorders>
            <w:shd w:val="clear" w:color="auto" w:fill="auto"/>
            <w:vAlign w:val="center"/>
          </w:tcPr>
          <w:p w14:paraId="4C6D9CBA" w14:textId="186ED426" w:rsidR="00E80650" w:rsidRPr="0077128B" w:rsidRDefault="00F85BBE" w:rsidP="00BA4E5A">
            <w:pPr>
              <w:spacing w:after="0"/>
              <w:jc w:val="right"/>
              <w:rPr>
                <w:rFonts w:cstheme="minorHAnsi"/>
                <w:color w:val="FF0000"/>
                <w:sz w:val="20"/>
                <w:szCs w:val="20"/>
              </w:rPr>
            </w:pPr>
            <w:r w:rsidRPr="006A755F">
              <w:rPr>
                <w:rFonts w:cstheme="minorHAnsi"/>
                <w:sz w:val="20"/>
                <w:szCs w:val="20"/>
              </w:rPr>
              <w:t>0</w:t>
            </w:r>
          </w:p>
        </w:tc>
        <w:tc>
          <w:tcPr>
            <w:tcW w:w="1125" w:type="dxa"/>
            <w:tcBorders>
              <w:top w:val="nil"/>
              <w:left w:val="single" w:sz="4" w:space="0" w:color="auto"/>
              <w:bottom w:val="single" w:sz="4" w:space="0" w:color="auto"/>
              <w:right w:val="single" w:sz="4" w:space="0" w:color="auto"/>
            </w:tcBorders>
            <w:shd w:val="clear" w:color="auto" w:fill="auto"/>
            <w:vAlign w:val="center"/>
          </w:tcPr>
          <w:p w14:paraId="24226BC8" w14:textId="6ECD7438" w:rsidR="00E80650" w:rsidRPr="0077128B" w:rsidRDefault="00F85BBE" w:rsidP="00BA4E5A">
            <w:pPr>
              <w:spacing w:after="0"/>
              <w:jc w:val="right"/>
              <w:rPr>
                <w:rFonts w:cstheme="minorHAnsi"/>
                <w:color w:val="FF0000"/>
                <w:sz w:val="20"/>
                <w:szCs w:val="20"/>
              </w:rPr>
            </w:pPr>
            <w:r>
              <w:rPr>
                <w:rFonts w:cstheme="minorHAnsi"/>
                <w:sz w:val="20"/>
                <w:szCs w:val="20"/>
              </w:rPr>
              <w:t>480</w:t>
            </w:r>
          </w:p>
        </w:tc>
        <w:tc>
          <w:tcPr>
            <w:tcW w:w="1152" w:type="dxa"/>
            <w:tcBorders>
              <w:top w:val="nil"/>
              <w:left w:val="single" w:sz="4" w:space="0" w:color="auto"/>
              <w:bottom w:val="single" w:sz="4" w:space="0" w:color="auto"/>
              <w:right w:val="single" w:sz="4" w:space="0" w:color="auto"/>
            </w:tcBorders>
            <w:shd w:val="clear" w:color="auto" w:fill="auto"/>
            <w:vAlign w:val="center"/>
          </w:tcPr>
          <w:p w14:paraId="578D93D3" w14:textId="5AF06DF2" w:rsidR="00E80650" w:rsidRPr="0077128B" w:rsidRDefault="00F85BBE" w:rsidP="00BA4E5A">
            <w:pPr>
              <w:spacing w:after="0"/>
              <w:jc w:val="right"/>
              <w:rPr>
                <w:rFonts w:cstheme="minorHAnsi"/>
                <w:color w:val="FF0000"/>
                <w:sz w:val="20"/>
                <w:szCs w:val="20"/>
              </w:rPr>
            </w:pPr>
            <w:r>
              <w:rPr>
                <w:rFonts w:cstheme="minorHAnsi"/>
                <w:sz w:val="20"/>
                <w:szCs w:val="20"/>
              </w:rPr>
              <w:t>480</w:t>
            </w:r>
          </w:p>
        </w:tc>
        <w:tc>
          <w:tcPr>
            <w:tcW w:w="1098" w:type="dxa"/>
            <w:tcBorders>
              <w:top w:val="nil"/>
              <w:left w:val="single" w:sz="4" w:space="0" w:color="auto"/>
              <w:bottom w:val="single" w:sz="4" w:space="0" w:color="auto"/>
              <w:right w:val="single" w:sz="4" w:space="0" w:color="auto"/>
            </w:tcBorders>
            <w:shd w:val="clear" w:color="auto" w:fill="auto"/>
            <w:vAlign w:val="center"/>
          </w:tcPr>
          <w:p w14:paraId="6D6CDA05" w14:textId="54B6C271" w:rsidR="00E80650" w:rsidRPr="0077128B" w:rsidRDefault="00F85BBE" w:rsidP="00BA4E5A">
            <w:pPr>
              <w:spacing w:after="0"/>
              <w:jc w:val="right"/>
              <w:rPr>
                <w:rFonts w:cstheme="minorHAnsi"/>
                <w:color w:val="FF0000"/>
                <w:sz w:val="20"/>
                <w:szCs w:val="20"/>
              </w:rPr>
            </w:pPr>
            <w:r>
              <w:rPr>
                <w:rFonts w:cstheme="minorHAnsi"/>
                <w:sz w:val="20"/>
                <w:szCs w:val="20"/>
              </w:rPr>
              <w:t>914</w:t>
            </w:r>
          </w:p>
        </w:tc>
        <w:tc>
          <w:tcPr>
            <w:tcW w:w="1125" w:type="dxa"/>
            <w:tcBorders>
              <w:top w:val="nil"/>
              <w:left w:val="single" w:sz="4" w:space="0" w:color="auto"/>
              <w:bottom w:val="single" w:sz="4" w:space="0" w:color="auto"/>
              <w:right w:val="single" w:sz="4" w:space="0" w:color="auto"/>
            </w:tcBorders>
            <w:shd w:val="clear" w:color="auto" w:fill="auto"/>
            <w:vAlign w:val="center"/>
          </w:tcPr>
          <w:p w14:paraId="03F4DFE4" w14:textId="024E479D" w:rsidR="00E80650" w:rsidRPr="0077128B" w:rsidRDefault="00F85BBE" w:rsidP="00BA4E5A">
            <w:pPr>
              <w:spacing w:after="0"/>
              <w:jc w:val="right"/>
              <w:rPr>
                <w:rFonts w:cstheme="minorHAnsi"/>
                <w:color w:val="FF0000"/>
                <w:sz w:val="20"/>
                <w:szCs w:val="20"/>
              </w:rPr>
            </w:pPr>
            <w:r>
              <w:rPr>
                <w:rFonts w:cstheme="minorHAnsi"/>
                <w:sz w:val="20"/>
                <w:szCs w:val="20"/>
              </w:rPr>
              <w:t>505</w:t>
            </w:r>
          </w:p>
        </w:tc>
        <w:tc>
          <w:tcPr>
            <w:tcW w:w="754" w:type="dxa"/>
            <w:tcBorders>
              <w:top w:val="nil"/>
              <w:left w:val="single" w:sz="4" w:space="0" w:color="auto"/>
              <w:bottom w:val="single" w:sz="4" w:space="0" w:color="auto"/>
              <w:right w:val="single" w:sz="4" w:space="0" w:color="auto"/>
            </w:tcBorders>
            <w:shd w:val="clear" w:color="auto" w:fill="auto"/>
            <w:vAlign w:val="center"/>
          </w:tcPr>
          <w:p w14:paraId="643DDADC" w14:textId="101E0E5B" w:rsidR="00E80650" w:rsidRPr="0077128B" w:rsidRDefault="00F85BBE" w:rsidP="00BA4E5A">
            <w:pPr>
              <w:spacing w:after="0"/>
              <w:jc w:val="right"/>
              <w:rPr>
                <w:rFonts w:cstheme="minorHAnsi"/>
                <w:color w:val="FF0000"/>
                <w:sz w:val="20"/>
                <w:szCs w:val="20"/>
              </w:rPr>
            </w:pPr>
            <w:r w:rsidRPr="006A755F">
              <w:rPr>
                <w:rFonts w:cstheme="minorHAnsi"/>
                <w:sz w:val="20"/>
                <w:szCs w:val="20"/>
              </w:rPr>
              <w:t>x</w:t>
            </w:r>
          </w:p>
        </w:tc>
      </w:tr>
      <w:tr w:rsidR="002F1BE7" w:rsidRPr="0044012B" w14:paraId="591EF6E0" w14:textId="77777777" w:rsidTr="006B6D61">
        <w:trPr>
          <w:tblHeader/>
        </w:trPr>
        <w:tc>
          <w:tcPr>
            <w:tcW w:w="2902" w:type="dxa"/>
            <w:tcBorders>
              <w:top w:val="single" w:sz="4" w:space="0" w:color="auto"/>
              <w:left w:val="single" w:sz="4" w:space="0" w:color="auto"/>
              <w:bottom w:val="nil"/>
              <w:right w:val="single" w:sz="4" w:space="0" w:color="auto"/>
            </w:tcBorders>
            <w:shd w:val="clear" w:color="auto" w:fill="auto"/>
          </w:tcPr>
          <w:p w14:paraId="4D4B7685" w14:textId="27AA7DD5" w:rsidR="00E80650" w:rsidRPr="0077128B" w:rsidRDefault="00F85BBE" w:rsidP="00BA4E5A">
            <w:pPr>
              <w:spacing w:after="0"/>
              <w:jc w:val="both"/>
              <w:rPr>
                <w:rFonts w:cstheme="minorHAnsi"/>
                <w:b/>
                <w:color w:val="FF0000"/>
                <w:sz w:val="20"/>
                <w:szCs w:val="20"/>
              </w:rPr>
            </w:pPr>
            <w:r w:rsidRPr="006A755F">
              <w:rPr>
                <w:rFonts w:cstheme="minorHAnsi"/>
                <w:b/>
                <w:color w:val="2E74B5" w:themeColor="accent1" w:themeShade="BF"/>
                <w:sz w:val="20"/>
                <w:szCs w:val="20"/>
              </w:rPr>
              <w:t xml:space="preserve">Investiční transfery </w:t>
            </w:r>
            <w:r w:rsidRPr="006A755F">
              <w:rPr>
                <w:rFonts w:cstheme="minorHAnsi"/>
                <w:color w:val="2E74B5" w:themeColor="accent1" w:themeShade="BF"/>
                <w:sz w:val="20"/>
                <w:szCs w:val="20"/>
              </w:rPr>
              <w:t>(v tom:)</w:t>
            </w:r>
          </w:p>
        </w:tc>
        <w:tc>
          <w:tcPr>
            <w:tcW w:w="1125" w:type="dxa"/>
            <w:tcBorders>
              <w:top w:val="single" w:sz="4" w:space="0" w:color="auto"/>
              <w:left w:val="single" w:sz="4" w:space="0" w:color="auto"/>
              <w:bottom w:val="nil"/>
              <w:right w:val="single" w:sz="4" w:space="0" w:color="auto"/>
            </w:tcBorders>
            <w:shd w:val="clear" w:color="auto" w:fill="auto"/>
            <w:vAlign w:val="center"/>
          </w:tcPr>
          <w:p w14:paraId="630EA0AF" w14:textId="52AA1F88" w:rsidR="00E80650" w:rsidRPr="0077128B" w:rsidRDefault="00F85BBE" w:rsidP="00BA4E5A">
            <w:pPr>
              <w:spacing w:after="0"/>
              <w:jc w:val="right"/>
              <w:rPr>
                <w:rFonts w:cstheme="minorHAnsi"/>
                <w:b/>
                <w:color w:val="FF0000"/>
                <w:sz w:val="20"/>
                <w:szCs w:val="20"/>
              </w:rPr>
            </w:pPr>
            <w:r w:rsidRPr="006A755F">
              <w:rPr>
                <w:rFonts w:cstheme="minorHAnsi"/>
                <w:b/>
                <w:color w:val="2E74B5" w:themeColor="accent1" w:themeShade="BF"/>
                <w:sz w:val="20"/>
                <w:szCs w:val="20"/>
              </w:rPr>
              <w:t>0</w:t>
            </w:r>
          </w:p>
        </w:tc>
        <w:tc>
          <w:tcPr>
            <w:tcW w:w="1125" w:type="dxa"/>
            <w:tcBorders>
              <w:top w:val="single" w:sz="4" w:space="0" w:color="auto"/>
              <w:left w:val="single" w:sz="4" w:space="0" w:color="auto"/>
              <w:bottom w:val="nil"/>
              <w:right w:val="single" w:sz="4" w:space="0" w:color="auto"/>
            </w:tcBorders>
            <w:shd w:val="clear" w:color="auto" w:fill="auto"/>
            <w:vAlign w:val="center"/>
          </w:tcPr>
          <w:p w14:paraId="433747A5" w14:textId="6388855D" w:rsidR="00E80650" w:rsidRPr="0077128B" w:rsidRDefault="00F85BBE" w:rsidP="00BA4E5A">
            <w:pPr>
              <w:spacing w:after="0"/>
              <w:jc w:val="right"/>
              <w:rPr>
                <w:rFonts w:cstheme="minorHAnsi"/>
                <w:b/>
                <w:color w:val="FF0000"/>
                <w:sz w:val="20"/>
                <w:szCs w:val="20"/>
              </w:rPr>
            </w:pPr>
            <w:r>
              <w:rPr>
                <w:rFonts w:cstheme="minorHAnsi"/>
                <w:b/>
                <w:color w:val="2E74B5" w:themeColor="accent1" w:themeShade="BF"/>
                <w:sz w:val="20"/>
                <w:szCs w:val="20"/>
              </w:rPr>
              <w:t>292 241</w:t>
            </w:r>
          </w:p>
        </w:tc>
        <w:tc>
          <w:tcPr>
            <w:tcW w:w="1152" w:type="dxa"/>
            <w:tcBorders>
              <w:top w:val="single" w:sz="4" w:space="0" w:color="auto"/>
              <w:left w:val="single" w:sz="4" w:space="0" w:color="auto"/>
              <w:bottom w:val="nil"/>
              <w:right w:val="single" w:sz="4" w:space="0" w:color="auto"/>
            </w:tcBorders>
            <w:shd w:val="clear" w:color="auto" w:fill="auto"/>
            <w:vAlign w:val="center"/>
          </w:tcPr>
          <w:p w14:paraId="3AC45843" w14:textId="07711C47" w:rsidR="00E80650" w:rsidRPr="0077128B" w:rsidRDefault="00F85BBE" w:rsidP="00BA4E5A">
            <w:pPr>
              <w:spacing w:after="0"/>
              <w:jc w:val="right"/>
              <w:rPr>
                <w:rFonts w:cstheme="minorHAnsi"/>
                <w:b/>
                <w:color w:val="FF0000"/>
                <w:sz w:val="20"/>
                <w:szCs w:val="20"/>
              </w:rPr>
            </w:pPr>
            <w:r>
              <w:rPr>
                <w:rFonts w:cstheme="minorHAnsi"/>
                <w:b/>
                <w:color w:val="2E74B5" w:themeColor="accent1" w:themeShade="BF"/>
                <w:sz w:val="20"/>
                <w:szCs w:val="20"/>
              </w:rPr>
              <w:t>292 241</w:t>
            </w:r>
          </w:p>
        </w:tc>
        <w:tc>
          <w:tcPr>
            <w:tcW w:w="1098" w:type="dxa"/>
            <w:tcBorders>
              <w:top w:val="single" w:sz="4" w:space="0" w:color="auto"/>
              <w:left w:val="single" w:sz="4" w:space="0" w:color="auto"/>
              <w:bottom w:val="nil"/>
              <w:right w:val="single" w:sz="4" w:space="0" w:color="auto"/>
            </w:tcBorders>
            <w:shd w:val="clear" w:color="auto" w:fill="auto"/>
            <w:vAlign w:val="center"/>
          </w:tcPr>
          <w:p w14:paraId="197ADB95" w14:textId="19567AF4" w:rsidR="00E80650" w:rsidRPr="0077128B" w:rsidRDefault="00F85BBE" w:rsidP="00BA4E5A">
            <w:pPr>
              <w:spacing w:after="0"/>
              <w:jc w:val="right"/>
              <w:rPr>
                <w:rFonts w:cstheme="minorHAnsi"/>
                <w:b/>
                <w:color w:val="FF0000"/>
                <w:sz w:val="20"/>
                <w:szCs w:val="20"/>
              </w:rPr>
            </w:pPr>
            <w:r>
              <w:rPr>
                <w:rFonts w:cstheme="minorHAnsi"/>
                <w:b/>
                <w:color w:val="2E74B5" w:themeColor="accent1" w:themeShade="BF"/>
                <w:sz w:val="20"/>
                <w:szCs w:val="20"/>
              </w:rPr>
              <w:t>428 810</w:t>
            </w:r>
          </w:p>
        </w:tc>
        <w:tc>
          <w:tcPr>
            <w:tcW w:w="1125" w:type="dxa"/>
            <w:tcBorders>
              <w:top w:val="single" w:sz="4" w:space="0" w:color="auto"/>
              <w:left w:val="single" w:sz="4" w:space="0" w:color="auto"/>
              <w:bottom w:val="nil"/>
              <w:right w:val="single" w:sz="4" w:space="0" w:color="auto"/>
            </w:tcBorders>
            <w:shd w:val="clear" w:color="auto" w:fill="auto"/>
            <w:vAlign w:val="center"/>
          </w:tcPr>
          <w:p w14:paraId="1946A36C" w14:textId="25B7AE18" w:rsidR="00E80650" w:rsidRPr="0077128B" w:rsidRDefault="00F85BBE" w:rsidP="00BA4E5A">
            <w:pPr>
              <w:spacing w:after="0"/>
              <w:jc w:val="right"/>
              <w:rPr>
                <w:rFonts w:cstheme="minorHAnsi"/>
                <w:b/>
                <w:color w:val="FF0000"/>
                <w:sz w:val="20"/>
                <w:szCs w:val="20"/>
              </w:rPr>
            </w:pPr>
            <w:r>
              <w:rPr>
                <w:rFonts w:cstheme="minorHAnsi"/>
                <w:b/>
                <w:color w:val="2E74B5" w:themeColor="accent1" w:themeShade="BF"/>
                <w:sz w:val="20"/>
                <w:szCs w:val="20"/>
              </w:rPr>
              <w:t>428 810</w:t>
            </w:r>
          </w:p>
        </w:tc>
        <w:tc>
          <w:tcPr>
            <w:tcW w:w="754" w:type="dxa"/>
            <w:tcBorders>
              <w:top w:val="single" w:sz="4" w:space="0" w:color="auto"/>
              <w:left w:val="single" w:sz="4" w:space="0" w:color="auto"/>
              <w:bottom w:val="nil"/>
              <w:right w:val="single" w:sz="4" w:space="0" w:color="auto"/>
            </w:tcBorders>
            <w:shd w:val="clear" w:color="auto" w:fill="auto"/>
            <w:vAlign w:val="center"/>
          </w:tcPr>
          <w:p w14:paraId="45F813DE" w14:textId="129EA530" w:rsidR="00E80650" w:rsidRPr="0077128B" w:rsidRDefault="00F85BBE" w:rsidP="00BA4E5A">
            <w:pPr>
              <w:spacing w:after="0"/>
              <w:jc w:val="right"/>
              <w:rPr>
                <w:rFonts w:cstheme="minorHAnsi"/>
                <w:b/>
                <w:color w:val="FF0000"/>
                <w:sz w:val="20"/>
                <w:szCs w:val="20"/>
              </w:rPr>
            </w:pPr>
            <w:r w:rsidRPr="006A755F">
              <w:rPr>
                <w:rFonts w:cstheme="minorHAnsi"/>
                <w:b/>
                <w:color w:val="2E74B5" w:themeColor="accent1" w:themeShade="BF"/>
                <w:sz w:val="20"/>
                <w:szCs w:val="20"/>
              </w:rPr>
              <w:t>x</w:t>
            </w:r>
          </w:p>
        </w:tc>
      </w:tr>
      <w:tr w:rsidR="002F1BE7" w:rsidRPr="0044012B" w14:paraId="1229EF3A" w14:textId="77777777" w:rsidTr="006B6D61">
        <w:trPr>
          <w:tblHeader/>
        </w:trPr>
        <w:tc>
          <w:tcPr>
            <w:tcW w:w="2902" w:type="dxa"/>
            <w:tcBorders>
              <w:top w:val="nil"/>
              <w:left w:val="single" w:sz="4" w:space="0" w:color="auto"/>
              <w:bottom w:val="single" w:sz="4" w:space="0" w:color="auto"/>
              <w:right w:val="single" w:sz="4" w:space="0" w:color="auto"/>
            </w:tcBorders>
            <w:shd w:val="clear" w:color="auto" w:fill="auto"/>
          </w:tcPr>
          <w:p w14:paraId="13F1D74E" w14:textId="4228DB12" w:rsidR="00E80650" w:rsidRPr="0077128B" w:rsidRDefault="00F85BBE" w:rsidP="00BA4E5A">
            <w:pPr>
              <w:spacing w:after="0"/>
              <w:ind w:hanging="6"/>
              <w:jc w:val="both"/>
              <w:rPr>
                <w:rFonts w:cstheme="minorHAnsi"/>
                <w:color w:val="FF0000"/>
                <w:sz w:val="20"/>
                <w:szCs w:val="20"/>
              </w:rPr>
            </w:pPr>
            <w:proofErr w:type="gramStart"/>
            <w:r w:rsidRPr="006A755F">
              <w:rPr>
                <w:rFonts w:cstheme="minorHAnsi"/>
                <w:sz w:val="20"/>
                <w:szCs w:val="20"/>
              </w:rPr>
              <w:t>RISPF - OPPIK</w:t>
            </w:r>
            <w:proofErr w:type="gramEnd"/>
          </w:p>
        </w:tc>
        <w:tc>
          <w:tcPr>
            <w:tcW w:w="1125" w:type="dxa"/>
            <w:tcBorders>
              <w:top w:val="nil"/>
              <w:left w:val="single" w:sz="4" w:space="0" w:color="auto"/>
              <w:bottom w:val="single" w:sz="4" w:space="0" w:color="auto"/>
              <w:right w:val="single" w:sz="4" w:space="0" w:color="auto"/>
            </w:tcBorders>
            <w:shd w:val="clear" w:color="auto" w:fill="auto"/>
            <w:vAlign w:val="center"/>
          </w:tcPr>
          <w:p w14:paraId="3FDD7C57" w14:textId="34692545" w:rsidR="00E80650" w:rsidRPr="0077128B" w:rsidRDefault="00F85BBE" w:rsidP="00BA4E5A">
            <w:pPr>
              <w:spacing w:after="0"/>
              <w:jc w:val="right"/>
              <w:rPr>
                <w:rFonts w:cstheme="minorHAnsi"/>
                <w:color w:val="FF0000"/>
                <w:sz w:val="20"/>
                <w:szCs w:val="20"/>
              </w:rPr>
            </w:pPr>
            <w:r w:rsidRPr="006A755F">
              <w:rPr>
                <w:rFonts w:cstheme="minorHAnsi"/>
                <w:sz w:val="20"/>
                <w:szCs w:val="20"/>
              </w:rPr>
              <w:t>0</w:t>
            </w:r>
          </w:p>
        </w:tc>
        <w:tc>
          <w:tcPr>
            <w:tcW w:w="1125" w:type="dxa"/>
            <w:tcBorders>
              <w:top w:val="nil"/>
              <w:left w:val="single" w:sz="4" w:space="0" w:color="auto"/>
              <w:bottom w:val="single" w:sz="4" w:space="0" w:color="auto"/>
              <w:right w:val="single" w:sz="4" w:space="0" w:color="auto"/>
            </w:tcBorders>
            <w:shd w:val="clear" w:color="auto" w:fill="auto"/>
            <w:vAlign w:val="center"/>
          </w:tcPr>
          <w:p w14:paraId="2EF7E781" w14:textId="40C798D7" w:rsidR="00E80650" w:rsidRPr="0077128B" w:rsidRDefault="00F85BBE" w:rsidP="00BA4E5A">
            <w:pPr>
              <w:spacing w:after="0"/>
              <w:jc w:val="right"/>
              <w:rPr>
                <w:rFonts w:cstheme="minorHAnsi"/>
                <w:color w:val="FF0000"/>
                <w:sz w:val="20"/>
                <w:szCs w:val="20"/>
              </w:rPr>
            </w:pPr>
            <w:r>
              <w:rPr>
                <w:rFonts w:cstheme="minorHAnsi"/>
                <w:sz w:val="20"/>
                <w:szCs w:val="20"/>
              </w:rPr>
              <w:t>292 241</w:t>
            </w:r>
          </w:p>
        </w:tc>
        <w:tc>
          <w:tcPr>
            <w:tcW w:w="1152" w:type="dxa"/>
            <w:tcBorders>
              <w:top w:val="nil"/>
              <w:left w:val="single" w:sz="4" w:space="0" w:color="auto"/>
              <w:bottom w:val="single" w:sz="4" w:space="0" w:color="auto"/>
              <w:right w:val="single" w:sz="4" w:space="0" w:color="auto"/>
            </w:tcBorders>
            <w:shd w:val="clear" w:color="auto" w:fill="auto"/>
            <w:vAlign w:val="center"/>
          </w:tcPr>
          <w:p w14:paraId="777907CB" w14:textId="443F429A" w:rsidR="00E80650" w:rsidRPr="0077128B" w:rsidRDefault="00F85BBE" w:rsidP="00BA4E5A">
            <w:pPr>
              <w:spacing w:after="0"/>
              <w:jc w:val="right"/>
              <w:rPr>
                <w:rFonts w:cstheme="minorHAnsi"/>
                <w:color w:val="FF0000"/>
                <w:sz w:val="20"/>
                <w:szCs w:val="20"/>
              </w:rPr>
            </w:pPr>
            <w:r>
              <w:rPr>
                <w:rFonts w:cstheme="minorHAnsi"/>
                <w:sz w:val="20"/>
                <w:szCs w:val="20"/>
              </w:rPr>
              <w:t>292 241</w:t>
            </w:r>
          </w:p>
        </w:tc>
        <w:tc>
          <w:tcPr>
            <w:tcW w:w="1098" w:type="dxa"/>
            <w:tcBorders>
              <w:top w:val="nil"/>
              <w:left w:val="single" w:sz="4" w:space="0" w:color="auto"/>
              <w:bottom w:val="single" w:sz="4" w:space="0" w:color="auto"/>
              <w:right w:val="single" w:sz="4" w:space="0" w:color="auto"/>
            </w:tcBorders>
            <w:shd w:val="clear" w:color="auto" w:fill="auto"/>
            <w:vAlign w:val="center"/>
          </w:tcPr>
          <w:p w14:paraId="792CDEF8" w14:textId="49EAE742" w:rsidR="00E80650" w:rsidRPr="0077128B" w:rsidRDefault="00F85BBE" w:rsidP="00BA4E5A">
            <w:pPr>
              <w:spacing w:after="0"/>
              <w:jc w:val="right"/>
              <w:rPr>
                <w:rFonts w:cstheme="minorHAnsi"/>
                <w:color w:val="FF0000"/>
                <w:sz w:val="20"/>
                <w:szCs w:val="20"/>
              </w:rPr>
            </w:pPr>
            <w:r>
              <w:rPr>
                <w:rFonts w:cstheme="minorHAnsi"/>
                <w:sz w:val="20"/>
                <w:szCs w:val="20"/>
              </w:rPr>
              <w:t>428 810</w:t>
            </w:r>
          </w:p>
        </w:tc>
        <w:tc>
          <w:tcPr>
            <w:tcW w:w="1125" w:type="dxa"/>
            <w:tcBorders>
              <w:top w:val="nil"/>
              <w:left w:val="single" w:sz="4" w:space="0" w:color="auto"/>
              <w:bottom w:val="single" w:sz="4" w:space="0" w:color="auto"/>
              <w:right w:val="single" w:sz="4" w:space="0" w:color="auto"/>
            </w:tcBorders>
            <w:shd w:val="clear" w:color="auto" w:fill="auto"/>
            <w:vAlign w:val="center"/>
          </w:tcPr>
          <w:p w14:paraId="4972C368" w14:textId="53B6BC99" w:rsidR="00E80650" w:rsidRPr="0077128B" w:rsidRDefault="00F85BBE" w:rsidP="00BA4E5A">
            <w:pPr>
              <w:spacing w:after="0"/>
              <w:jc w:val="right"/>
              <w:rPr>
                <w:rFonts w:cstheme="minorHAnsi"/>
                <w:color w:val="FF0000"/>
                <w:sz w:val="20"/>
                <w:szCs w:val="20"/>
              </w:rPr>
            </w:pPr>
            <w:r>
              <w:rPr>
                <w:rFonts w:cstheme="minorHAnsi"/>
                <w:sz w:val="20"/>
                <w:szCs w:val="20"/>
              </w:rPr>
              <w:t>428 810</w:t>
            </w:r>
          </w:p>
        </w:tc>
        <w:tc>
          <w:tcPr>
            <w:tcW w:w="754" w:type="dxa"/>
            <w:tcBorders>
              <w:top w:val="nil"/>
              <w:left w:val="single" w:sz="4" w:space="0" w:color="auto"/>
              <w:bottom w:val="single" w:sz="4" w:space="0" w:color="auto"/>
              <w:right w:val="single" w:sz="4" w:space="0" w:color="auto"/>
            </w:tcBorders>
            <w:shd w:val="clear" w:color="auto" w:fill="auto"/>
            <w:vAlign w:val="center"/>
          </w:tcPr>
          <w:p w14:paraId="52BF5B99" w14:textId="246E0975" w:rsidR="00E80650" w:rsidRPr="0077128B" w:rsidRDefault="00F85BBE" w:rsidP="00BA4E5A">
            <w:pPr>
              <w:spacing w:after="0"/>
              <w:jc w:val="right"/>
              <w:rPr>
                <w:rFonts w:cstheme="minorHAnsi"/>
                <w:color w:val="FF0000"/>
                <w:sz w:val="20"/>
                <w:szCs w:val="20"/>
              </w:rPr>
            </w:pPr>
            <w:r w:rsidRPr="006A755F">
              <w:rPr>
                <w:rFonts w:cstheme="minorHAnsi"/>
                <w:sz w:val="20"/>
                <w:szCs w:val="20"/>
              </w:rPr>
              <w:t>x</w:t>
            </w:r>
          </w:p>
        </w:tc>
      </w:tr>
    </w:tbl>
    <w:p w14:paraId="0EB9F999" w14:textId="16476E76" w:rsidR="003D352C" w:rsidRPr="0077128B" w:rsidRDefault="00F97B54" w:rsidP="00BA4E5A">
      <w:pPr>
        <w:pStyle w:val="KOMtext"/>
        <w:rPr>
          <w:color w:val="FF0000"/>
        </w:rPr>
      </w:pPr>
      <w:r w:rsidRPr="00C859CD">
        <w:t xml:space="preserve">Schválený rozpočet Ředitelství silnic a dálnic ČR ve výši 325 354 tis. Kč byl v průběhu roku </w:t>
      </w:r>
      <w:r w:rsidRPr="00187A0F">
        <w:t xml:space="preserve">navýšen o 900 000 tis. Kč na částku 1 225 354 tis. Kč. Skutečné čerpání činilo 1 435 362 tis. Kč, </w:t>
      </w:r>
      <w:r w:rsidRPr="00187A0F">
        <w:br/>
        <w:t xml:space="preserve">tj. 117,1 % rozpočtu po změnách, a to včetně nároků z nespotřebovaných výdajů ve výši </w:t>
      </w:r>
      <w:r w:rsidRPr="00187A0F">
        <w:br/>
        <w:t>210 009 tis. Kč</w:t>
      </w:r>
      <w:r w:rsidRPr="002E64EE">
        <w:t xml:space="preserve">. Oproti roku 2022 došlo ke zvýšení čerpání o 1 266 </w:t>
      </w:r>
      <w:r w:rsidRPr="00B24703">
        <w:t xml:space="preserve">373 tis. Kč, tj. o 749,4 %. </w:t>
      </w:r>
      <w:r w:rsidRPr="00F80B50">
        <w:t>Zvýšení se týkalo především prostředků na úhradu pokut vyměřených FÚ a příspěvku, který byl určen k vrácení Státnímu fondu dopravní infrastruktury</w:t>
      </w:r>
    </w:p>
    <w:p w14:paraId="0C8DEF8D" w14:textId="041758E5" w:rsidR="00E80650" w:rsidRPr="006B6D61" w:rsidRDefault="00E80650" w:rsidP="006B6D61">
      <w:pPr>
        <w:pStyle w:val="KOMnadp5"/>
        <w:numPr>
          <w:ilvl w:val="0"/>
          <w:numId w:val="20"/>
        </w:numPr>
      </w:pPr>
      <w:r w:rsidRPr="006B6D61">
        <w:t>Neinvestiční příspěvek a transfery</w:t>
      </w:r>
    </w:p>
    <w:p w14:paraId="0A5DD4D9" w14:textId="77777777" w:rsidR="003B6D50" w:rsidRPr="003B6D50" w:rsidRDefault="003B6D50" w:rsidP="00A55880">
      <w:pPr>
        <w:pStyle w:val="KOMtext"/>
      </w:pPr>
      <w:r w:rsidRPr="003B6D50">
        <w:t>Schválený objem neinvestičního příspěvku a transferu stanovený pro Ředitelství silnic a dálnic ČR pro rok 2023 ve výši 33 113 tis. Kč (z toho prostředky EU 480 tis. Kč) byl v průběhu roku navýšen o 900 000 tis. Kč na 933 113 tis. Kč. Tyto prostředky byly určeny na úhradu příspěvku, který byl určen k vrácení Státnímu fondu dopravní infrastruktury.</w:t>
      </w:r>
    </w:p>
    <w:p w14:paraId="4CBB4AB2" w14:textId="77777777" w:rsidR="003B6D50" w:rsidRPr="003B6D50" w:rsidRDefault="003B6D50" w:rsidP="00A55880">
      <w:pPr>
        <w:pStyle w:val="KOMtext"/>
      </w:pPr>
      <w:r w:rsidRPr="003B6D50">
        <w:t>Neinvestiční prostředky byly čerpány ve výši 1 006 552 tis. Kč, tj. 107,9 % rozpočtu po změnách, z toho nároky z nespotřebovaných výdajů ve výši 73 440 tis. Kč. Prostředky byly použity:</w:t>
      </w:r>
    </w:p>
    <w:p w14:paraId="482D5B8A" w14:textId="512705E7" w:rsidR="003B6D50" w:rsidRPr="003B6D50" w:rsidRDefault="003B6D50" w:rsidP="00E54955">
      <w:pPr>
        <w:numPr>
          <w:ilvl w:val="0"/>
          <w:numId w:val="44"/>
        </w:numPr>
        <w:spacing w:before="120" w:after="120" w:line="276" w:lineRule="auto"/>
        <w:jc w:val="both"/>
        <w:rPr>
          <w:sz w:val="24"/>
          <w:szCs w:val="24"/>
          <w:lang w:eastAsia="cs-CZ"/>
        </w:rPr>
      </w:pPr>
      <w:r w:rsidRPr="003B6D50">
        <w:rPr>
          <w:sz w:val="24"/>
          <w:szCs w:val="24"/>
          <w:lang w:eastAsia="cs-CZ"/>
        </w:rPr>
        <w:t>ve výši 3 752 tis. Kč, z toho nároky z nespotřebovaných výdajů ve výši 252 tis. Kč,</w:t>
      </w:r>
      <w:r w:rsidR="00A55880">
        <w:rPr>
          <w:sz w:val="24"/>
          <w:szCs w:val="24"/>
          <w:lang w:eastAsia="cs-CZ"/>
        </w:rPr>
        <w:t xml:space="preserve"> </w:t>
      </w:r>
      <w:r w:rsidR="00A55880">
        <w:rPr>
          <w:sz w:val="24"/>
          <w:szCs w:val="24"/>
          <w:lang w:eastAsia="cs-CZ"/>
        </w:rPr>
        <w:br/>
      </w:r>
      <w:r w:rsidRPr="003B6D50">
        <w:rPr>
          <w:sz w:val="24"/>
          <w:szCs w:val="24"/>
          <w:lang w:eastAsia="cs-CZ"/>
        </w:rPr>
        <w:t xml:space="preserve">na zajištění správy a provozu Výcvikového střediska Kojetín, jehož správu a provoz zajišťuje ŘSD ČR pro Ústřední orgán MD od roku 2013. </w:t>
      </w:r>
    </w:p>
    <w:p w14:paraId="0F1DA4E9" w14:textId="77777777" w:rsidR="003B6D50" w:rsidRPr="003B6D50" w:rsidRDefault="003B6D50" w:rsidP="00E54955">
      <w:pPr>
        <w:numPr>
          <w:ilvl w:val="0"/>
          <w:numId w:val="44"/>
        </w:numPr>
        <w:spacing w:before="120" w:after="120" w:line="276" w:lineRule="auto"/>
        <w:jc w:val="both"/>
        <w:rPr>
          <w:sz w:val="24"/>
          <w:szCs w:val="24"/>
          <w:lang w:eastAsia="cs-CZ"/>
        </w:rPr>
      </w:pPr>
      <w:r w:rsidRPr="003B6D50">
        <w:rPr>
          <w:sz w:val="24"/>
          <w:szCs w:val="24"/>
          <w:lang w:eastAsia="cs-CZ"/>
        </w:rPr>
        <w:t xml:space="preserve">ve výši 998 078 tis. Kč, </w:t>
      </w:r>
      <w:r w:rsidRPr="003B6D50">
        <w:rPr>
          <w:color w:val="000000" w:themeColor="text1"/>
          <w:sz w:val="24"/>
          <w:szCs w:val="24"/>
          <w:lang w:eastAsia="cs-CZ"/>
        </w:rPr>
        <w:t xml:space="preserve">z toho nároky z nespotřebovaných výdajů ve výši 69 675 tis. Kč </w:t>
      </w:r>
      <w:r w:rsidRPr="003B6D50">
        <w:rPr>
          <w:color w:val="000000" w:themeColor="text1"/>
          <w:sz w:val="24"/>
          <w:szCs w:val="24"/>
          <w:lang w:eastAsia="cs-CZ"/>
        </w:rPr>
        <w:br/>
      </w:r>
      <w:r w:rsidRPr="003B6D50">
        <w:rPr>
          <w:sz w:val="24"/>
          <w:szCs w:val="24"/>
          <w:lang w:eastAsia="cs-CZ"/>
        </w:rPr>
        <w:t xml:space="preserve">na úhradu příspěvku, který byl určen k vrácení Státnímu fondu dopravní infrastruktury (dle §3 zákona 104/2000 Sb., o Státním fondu dopravní infrastruktury). Důvodem vrácení bylo porušení zákona o veřejných zakázkách. </w:t>
      </w:r>
    </w:p>
    <w:p w14:paraId="7F4C4812" w14:textId="611A45FC" w:rsidR="003B6D50" w:rsidRPr="003B6D50" w:rsidRDefault="003B6D50" w:rsidP="00E54955">
      <w:pPr>
        <w:numPr>
          <w:ilvl w:val="0"/>
          <w:numId w:val="44"/>
        </w:numPr>
        <w:spacing w:before="120" w:after="120" w:line="276" w:lineRule="auto"/>
        <w:jc w:val="both"/>
        <w:rPr>
          <w:sz w:val="24"/>
          <w:szCs w:val="24"/>
          <w:lang w:eastAsia="cs-CZ"/>
        </w:rPr>
      </w:pPr>
      <w:r w:rsidRPr="003B6D50">
        <w:rPr>
          <w:sz w:val="24"/>
          <w:szCs w:val="24"/>
          <w:lang w:eastAsia="cs-CZ"/>
        </w:rPr>
        <w:lastRenderedPageBreak/>
        <w:t xml:space="preserve"> ve výši 3 487 tis. Kč (vše nároky z nespotřebovaných výdajů) na úhradu pokut vyměřených FÚ za porušení rozpočtové kázně.</w:t>
      </w:r>
    </w:p>
    <w:p w14:paraId="2C75DB0B" w14:textId="77777777" w:rsidR="003B6D50" w:rsidRPr="003B6D50" w:rsidRDefault="003B6D50" w:rsidP="00E54955">
      <w:pPr>
        <w:numPr>
          <w:ilvl w:val="0"/>
          <w:numId w:val="44"/>
        </w:numPr>
        <w:spacing w:before="120" w:after="120" w:line="276" w:lineRule="auto"/>
        <w:jc w:val="both"/>
        <w:rPr>
          <w:sz w:val="24"/>
          <w:szCs w:val="24"/>
          <w:lang w:eastAsia="cs-CZ"/>
        </w:rPr>
      </w:pPr>
      <w:r w:rsidRPr="003B6D50">
        <w:rPr>
          <w:sz w:val="24"/>
          <w:szCs w:val="24"/>
          <w:lang w:eastAsia="cs-CZ"/>
        </w:rPr>
        <w:t>ve výši 730 tis. Kč na úhradu služeb odborných poradenských firem souvisejících s přípravou transformace organizace ŘSD ČR na státní podnik.</w:t>
      </w:r>
    </w:p>
    <w:p w14:paraId="4060FC41" w14:textId="77777777" w:rsidR="003B6D50" w:rsidRPr="003B6D50" w:rsidRDefault="003B6D50" w:rsidP="00E54955">
      <w:pPr>
        <w:numPr>
          <w:ilvl w:val="0"/>
          <w:numId w:val="44"/>
        </w:numPr>
        <w:spacing w:before="120" w:after="120" w:line="276" w:lineRule="auto"/>
        <w:jc w:val="both"/>
        <w:rPr>
          <w:sz w:val="24"/>
          <w:szCs w:val="24"/>
          <w:lang w:eastAsia="cs-CZ"/>
        </w:rPr>
      </w:pPr>
      <w:r w:rsidRPr="003B6D50">
        <w:rPr>
          <w:sz w:val="24"/>
          <w:szCs w:val="24"/>
          <w:lang w:eastAsia="cs-CZ"/>
        </w:rPr>
        <w:t xml:space="preserve">ve výši 505 tis. Kč (prostředky EU), z toho nároky z nespotřebovaných výdajů ve výši        25 tis. Kč, na akci </w:t>
      </w:r>
      <w:proofErr w:type="gramStart"/>
      <w:r w:rsidRPr="003B6D50">
        <w:rPr>
          <w:sz w:val="24"/>
          <w:szCs w:val="24"/>
          <w:lang w:eastAsia="cs-CZ"/>
        </w:rPr>
        <w:t>ŘSD - Digitální</w:t>
      </w:r>
      <w:proofErr w:type="gramEnd"/>
      <w:r w:rsidRPr="003B6D50">
        <w:rPr>
          <w:sz w:val="24"/>
          <w:szCs w:val="24"/>
          <w:lang w:eastAsia="cs-CZ"/>
        </w:rPr>
        <w:t xml:space="preserve"> technická mapa. Projekt Digitální technická mapa byl financován v rámci programu 127 06 „Rozvoj a obnova materiálně-technické základny systému řízení MD-PO, SFDI“ z prostředků Operačního programu podnikání a inovace pro konkurenceschopnost 2014+.</w:t>
      </w:r>
    </w:p>
    <w:p w14:paraId="63BA197C" w14:textId="56D91E3A" w:rsidR="003B6D50" w:rsidRPr="003B6D50" w:rsidRDefault="003B6D50" w:rsidP="00A55880">
      <w:pPr>
        <w:pStyle w:val="KOMtext"/>
      </w:pPr>
      <w:r w:rsidRPr="003B6D50">
        <w:t>Při porovnání skutečností za roky 2023 a 2022 dosáhlo čerpání neinvestičního příspěvku a transferů 849,4 % úrovně roku 2022. Vyšší čerpání neinvestičního příspěvku bylo ovlivněno navýšení příspěvku, který byl určen k vrácení Státnímu fondu dopravní infrastruktury (dle §</w:t>
      </w:r>
      <w:r w:rsidR="00F64A68">
        <w:t xml:space="preserve"> </w:t>
      </w:r>
      <w:r w:rsidRPr="003B6D50">
        <w:t xml:space="preserve">3 zákona 104/2000 Sb., o Státním fondu dopravní infrastruktury). </w:t>
      </w:r>
    </w:p>
    <w:p w14:paraId="30596BE5" w14:textId="77777777" w:rsidR="00BE0D60" w:rsidRPr="00BE0D60" w:rsidRDefault="00BE0D60" w:rsidP="00E54955">
      <w:pPr>
        <w:keepNext/>
        <w:keepLines/>
        <w:numPr>
          <w:ilvl w:val="0"/>
          <w:numId w:val="45"/>
        </w:numPr>
        <w:spacing w:before="160"/>
        <w:ind w:left="567"/>
        <w:jc w:val="both"/>
        <w:outlineLvl w:val="5"/>
        <w:rPr>
          <w:rFonts w:eastAsiaTheme="majorEastAsia" w:cstheme="minorHAnsi"/>
          <w:color w:val="2E74B5" w:themeColor="accent1" w:themeShade="BF"/>
          <w:sz w:val="24"/>
          <w:szCs w:val="24"/>
          <w:u w:val="single"/>
        </w:rPr>
      </w:pPr>
      <w:r w:rsidRPr="00BE0D60">
        <w:rPr>
          <w:rFonts w:eastAsiaTheme="majorEastAsia" w:cstheme="minorHAnsi"/>
          <w:color w:val="2E74B5" w:themeColor="accent1" w:themeShade="BF"/>
          <w:sz w:val="24"/>
          <w:szCs w:val="24"/>
          <w:u w:val="single"/>
        </w:rPr>
        <w:t>Investiční transfery</w:t>
      </w:r>
    </w:p>
    <w:p w14:paraId="2915F671" w14:textId="77777777" w:rsidR="004B0983" w:rsidRPr="0014700B" w:rsidRDefault="004B0983" w:rsidP="004B0983">
      <w:pPr>
        <w:pStyle w:val="KOMtext"/>
        <w:spacing w:before="160" w:after="120"/>
        <w:rPr>
          <w:color w:val="000000" w:themeColor="text1"/>
        </w:rPr>
      </w:pPr>
      <w:r w:rsidRPr="0014700B">
        <w:rPr>
          <w:color w:val="000000" w:themeColor="text1"/>
        </w:rPr>
        <w:t xml:space="preserve">Schválený objem investičního transferu stanovený pro Ředitelství silnic a dálnic ČR pro rok 2023 ve výši 292 241 tis. Kč (prostředky EU) nebyl v průběhu roku upravován. Prostředky byly určeny na program 127 06 “Rozvoj a obnova </w:t>
      </w:r>
      <w:proofErr w:type="gramStart"/>
      <w:r w:rsidRPr="0014700B">
        <w:rPr>
          <w:color w:val="000000" w:themeColor="text1"/>
        </w:rPr>
        <w:t>materiálně- technické</w:t>
      </w:r>
      <w:proofErr w:type="gramEnd"/>
      <w:r w:rsidRPr="0014700B">
        <w:rPr>
          <w:color w:val="000000" w:themeColor="text1"/>
        </w:rPr>
        <w:t xml:space="preserve"> základny systému řízení MD-PO, SFDI“, a to na realizaci akce „ŘSD ČR - Digitální technická mapa“. Projekt „ŘSD </w:t>
      </w:r>
      <w:proofErr w:type="gramStart"/>
      <w:r w:rsidRPr="0014700B">
        <w:rPr>
          <w:color w:val="000000" w:themeColor="text1"/>
        </w:rPr>
        <w:t>ČR - Digitální</w:t>
      </w:r>
      <w:proofErr w:type="gramEnd"/>
      <w:r w:rsidRPr="0014700B">
        <w:rPr>
          <w:color w:val="000000" w:themeColor="text1"/>
        </w:rPr>
        <w:t xml:space="preserve"> technická mapa“ byl financován ex-post z prostředků „</w:t>
      </w:r>
      <w:bookmarkStart w:id="984" w:name="_Hlk159791044"/>
      <w:r w:rsidRPr="0014700B">
        <w:rPr>
          <w:color w:val="000000" w:themeColor="text1"/>
        </w:rPr>
        <w:t>Operačního programu podnikání a inovace pro konkurenceschopnost 2014</w:t>
      </w:r>
      <w:bookmarkEnd w:id="984"/>
      <w:r w:rsidRPr="0014700B">
        <w:rPr>
          <w:color w:val="000000" w:themeColor="text1"/>
        </w:rPr>
        <w:t>+“. Předfinancování probíh</w:t>
      </w:r>
      <w:r>
        <w:rPr>
          <w:color w:val="000000" w:themeColor="text1"/>
        </w:rPr>
        <w:t>alo</w:t>
      </w:r>
      <w:r w:rsidRPr="0014700B">
        <w:rPr>
          <w:color w:val="000000" w:themeColor="text1"/>
        </w:rPr>
        <w:t xml:space="preserve"> z prostředků Státního fondu dopravní infrastruktury.</w:t>
      </w:r>
    </w:p>
    <w:p w14:paraId="4A9C13A2" w14:textId="32DE4FD6" w:rsidR="004B0983" w:rsidRDefault="004B0983" w:rsidP="004B0983">
      <w:pPr>
        <w:pStyle w:val="KOMtext"/>
        <w:spacing w:before="120" w:after="120"/>
        <w:rPr>
          <w:b/>
          <w:szCs w:val="24"/>
        </w:rPr>
      </w:pPr>
      <w:r w:rsidRPr="0014700B">
        <w:rPr>
          <w:color w:val="000000" w:themeColor="text1"/>
        </w:rPr>
        <w:t>V roce 2023 byly čerpány prostředky z investičního transferu</w:t>
      </w:r>
      <w:r>
        <w:rPr>
          <w:color w:val="000000" w:themeColor="text1"/>
        </w:rPr>
        <w:t xml:space="preserve"> ve výši 428 810 tis. Kč, z toho nároky z nespotřebovaných výdajů ve výši 136 569 tis. Kč. Prostředky byly použity na výše uvedenou akci „ŘSD ČR – Digitální technická mapa“.</w:t>
      </w:r>
      <w:r w:rsidRPr="006A755F">
        <w:rPr>
          <w:b/>
          <w:szCs w:val="24"/>
        </w:rPr>
        <w:t xml:space="preserve"> </w:t>
      </w:r>
    </w:p>
    <w:p w14:paraId="2ECE5FD3" w14:textId="6B5F1335" w:rsidR="00F53DBD" w:rsidRPr="006B6D61" w:rsidRDefault="00F53DBD" w:rsidP="00BA4E5A">
      <w:pPr>
        <w:pStyle w:val="KOMGrafy"/>
      </w:pPr>
      <w:bookmarkStart w:id="985" w:name="_Toc160457145"/>
      <w:r w:rsidRPr="006B6D61">
        <w:t xml:space="preserve">Graf č. </w:t>
      </w:r>
      <w:fldSimple w:instr=" SEQ Graf_č. \* ARABIC ">
        <w:r w:rsidR="00013820">
          <w:rPr>
            <w:noProof/>
          </w:rPr>
          <w:t>28</w:t>
        </w:r>
      </w:fldSimple>
      <w:r w:rsidRPr="006B6D61">
        <w:t>: Srovnání skutečností u Ředitelství silnic a dálnic ČR v letech 202</w:t>
      </w:r>
      <w:r w:rsidR="00976AA8">
        <w:t>2</w:t>
      </w:r>
      <w:r w:rsidRPr="006B6D61">
        <w:t xml:space="preserve"> a 202</w:t>
      </w:r>
      <w:r w:rsidR="00976AA8">
        <w:t>3</w:t>
      </w:r>
      <w:r w:rsidRPr="006B6D61">
        <w:t xml:space="preserve"> (v tis. Kč)</w:t>
      </w:r>
      <w:bookmarkEnd w:id="985"/>
    </w:p>
    <w:p w14:paraId="55C80897" w14:textId="42683393" w:rsidR="00E80650" w:rsidRPr="0077128B" w:rsidRDefault="004614B8" w:rsidP="00E80650">
      <w:pPr>
        <w:spacing w:beforeLines="100" w:before="240" w:line="276" w:lineRule="auto"/>
        <w:jc w:val="both"/>
        <w:rPr>
          <w:color w:val="FF0000"/>
        </w:rPr>
      </w:pPr>
      <w:r w:rsidRPr="004A12C5">
        <w:rPr>
          <w:noProof/>
          <w:color w:val="FF0000"/>
          <w:lang w:eastAsia="cs-CZ"/>
        </w:rPr>
        <w:drawing>
          <wp:inline distT="0" distB="0" distL="0" distR="0" wp14:anchorId="3ED556DF" wp14:editId="19727A29">
            <wp:extent cx="5760000" cy="2160000"/>
            <wp:effectExtent l="0" t="0" r="12700" b="12065"/>
            <wp:docPr id="1704355592" name="Graf 170435559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bookmarkEnd w:id="981"/>
    <w:bookmarkEnd w:id="982"/>
    <w:p w14:paraId="2A96EB37" w14:textId="4C95D7D6" w:rsidR="006D4475" w:rsidRPr="006B6D61" w:rsidRDefault="006D4475" w:rsidP="008A0E44">
      <w:pPr>
        <w:pStyle w:val="KOMnadp4"/>
      </w:pPr>
      <w:r w:rsidRPr="006B6D61">
        <w:lastRenderedPageBreak/>
        <w:t xml:space="preserve">Centrum a služeb pro silniční dopravu </w:t>
      </w:r>
    </w:p>
    <w:p w14:paraId="20A6F0D4" w14:textId="36736572" w:rsidR="006D4475" w:rsidRPr="006B6D61" w:rsidRDefault="006D4475" w:rsidP="00BA4E5A">
      <w:pPr>
        <w:pStyle w:val="KOMtext"/>
        <w:rPr>
          <w:rFonts w:cstheme="minorHAnsi"/>
          <w:sz w:val="20"/>
        </w:rPr>
      </w:pPr>
      <w:r w:rsidRPr="006B6D61">
        <w:t xml:space="preserve">Centrum služeb pro silniční dopravu je státní příspěvkovou organizací </w:t>
      </w:r>
      <w:proofErr w:type="gramStart"/>
      <w:r w:rsidRPr="006B6D61">
        <w:t>rezortu</w:t>
      </w:r>
      <w:proofErr w:type="gramEnd"/>
      <w:r w:rsidRPr="006B6D61">
        <w:t xml:space="preserve"> Ministerstva dopravy, která zabezpečuje zejména profesní vzdělávání pracovníků státní správy v oboru silniční dopravy, školení techniků stanic technické kontroly, kontrolních mechaniků měření emisí, zabezpečuje distribuci tiskopisů pro potřeby dopravně správních činností, distribuci registračních značek a logistiku na úseku centralizované výroby řidičského průkazu vzoru EU. Dále zabezpečuje systém kontrolního vážení vozidel, dodržování právního řádu a mezinárodních smluv, kterými je vázána Česká republika v oblasti práce osádek silniční dopravy (AETR) a přepravy nebezpečných věcí (ADR), a delegované činnosti na úseku BESIP. </w:t>
      </w:r>
    </w:p>
    <w:tbl>
      <w:tblPr>
        <w:tblW w:w="8982" w:type="dxa"/>
        <w:tblInd w:w="70" w:type="dxa"/>
        <w:tblCellMar>
          <w:left w:w="0" w:type="dxa"/>
          <w:right w:w="0" w:type="dxa"/>
        </w:tblCellMar>
        <w:tblLook w:val="04A0" w:firstRow="1" w:lastRow="0" w:firstColumn="1" w:lastColumn="0" w:noHBand="0" w:noVBand="1"/>
      </w:tblPr>
      <w:tblGrid>
        <w:gridCol w:w="2268"/>
        <w:gridCol w:w="1125"/>
        <w:gridCol w:w="1195"/>
        <w:gridCol w:w="1322"/>
        <w:gridCol w:w="1098"/>
        <w:gridCol w:w="1154"/>
        <w:gridCol w:w="820"/>
      </w:tblGrid>
      <w:tr w:rsidR="002F1BE7" w:rsidRPr="0044012B" w14:paraId="32409595" w14:textId="77777777" w:rsidTr="00BA4E5A">
        <w:trPr>
          <w:trHeight w:val="293"/>
          <w:tblHeader/>
        </w:trPr>
        <w:tc>
          <w:tcPr>
            <w:tcW w:w="8982" w:type="dxa"/>
            <w:gridSpan w:val="7"/>
            <w:tcBorders>
              <w:bottom w:val="nil"/>
            </w:tcBorders>
            <w:shd w:val="clear" w:color="auto" w:fill="auto"/>
            <w:tcMar>
              <w:top w:w="0" w:type="dxa"/>
              <w:left w:w="70" w:type="dxa"/>
              <w:bottom w:w="0" w:type="dxa"/>
              <w:right w:w="70" w:type="dxa"/>
            </w:tcMar>
            <w:vAlign w:val="center"/>
          </w:tcPr>
          <w:p w14:paraId="1A07A48E" w14:textId="2C6EFC98" w:rsidR="006A679A" w:rsidRPr="0077128B" w:rsidRDefault="006A679A" w:rsidP="00BA4E5A">
            <w:pPr>
              <w:spacing w:after="0" w:line="252" w:lineRule="auto"/>
              <w:jc w:val="right"/>
              <w:rPr>
                <w:rFonts w:eastAsia="Calibri" w:cstheme="minorHAnsi"/>
                <w:color w:val="FF0000"/>
                <w:sz w:val="20"/>
                <w:szCs w:val="20"/>
              </w:rPr>
            </w:pPr>
            <w:r w:rsidRPr="006B6D61">
              <w:rPr>
                <w:rFonts w:eastAsia="Calibri" w:cstheme="minorHAnsi"/>
                <w:sz w:val="20"/>
                <w:szCs w:val="20"/>
              </w:rPr>
              <w:t>v tis. Kč</w:t>
            </w:r>
          </w:p>
        </w:tc>
      </w:tr>
      <w:tr w:rsidR="002F1BE7" w:rsidRPr="0044012B" w14:paraId="3BB11F5D" w14:textId="77777777" w:rsidTr="00BA4E5A">
        <w:trPr>
          <w:trHeight w:val="348"/>
          <w:tblHeader/>
        </w:trPr>
        <w:tc>
          <w:tcPr>
            <w:tcW w:w="2268" w:type="dxa"/>
            <w:vMerge w:val="restart"/>
            <w:tcBorders>
              <w:top w:val="single" w:sz="8" w:space="0" w:color="auto"/>
              <w:left w:val="single" w:sz="8" w:space="0" w:color="auto"/>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3724E2FB" w14:textId="77777777" w:rsidR="006D4475" w:rsidRPr="006B6D61" w:rsidRDefault="006D4475" w:rsidP="00BA4E5A">
            <w:pPr>
              <w:spacing w:after="0" w:line="252" w:lineRule="auto"/>
              <w:jc w:val="center"/>
              <w:rPr>
                <w:rFonts w:eastAsia="Calibri" w:cstheme="minorHAnsi"/>
                <w:b/>
                <w:sz w:val="20"/>
                <w:szCs w:val="20"/>
              </w:rPr>
            </w:pPr>
            <w:r w:rsidRPr="006B6D61">
              <w:rPr>
                <w:rFonts w:eastAsia="Calibri" w:cstheme="minorHAnsi"/>
                <w:b/>
                <w:sz w:val="20"/>
                <w:szCs w:val="20"/>
              </w:rPr>
              <w:t>Ukazatel</w:t>
            </w:r>
          </w:p>
        </w:tc>
        <w:tc>
          <w:tcPr>
            <w:tcW w:w="1125" w:type="dxa"/>
            <w:vMerge w:val="restart"/>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1D24985E" w14:textId="77777777" w:rsidR="006D4475" w:rsidRPr="006B6D61" w:rsidRDefault="006D4475" w:rsidP="00CE2892">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1FF6182E" w14:textId="306A1B95" w:rsidR="006D4475" w:rsidRPr="006B6D61" w:rsidRDefault="00CA0188" w:rsidP="00CE2892">
            <w:pPr>
              <w:spacing w:after="0" w:line="252" w:lineRule="auto"/>
              <w:jc w:val="center"/>
              <w:rPr>
                <w:rFonts w:eastAsia="Calibri" w:cstheme="minorHAnsi"/>
                <w:b/>
                <w:sz w:val="20"/>
                <w:szCs w:val="20"/>
              </w:rPr>
            </w:pPr>
            <w:r w:rsidRPr="006B6D61">
              <w:rPr>
                <w:rFonts w:eastAsia="Calibri" w:cstheme="minorHAnsi"/>
                <w:b/>
                <w:sz w:val="20"/>
                <w:szCs w:val="20"/>
              </w:rPr>
              <w:t>2022</w:t>
            </w:r>
          </w:p>
        </w:tc>
        <w:tc>
          <w:tcPr>
            <w:tcW w:w="3615" w:type="dxa"/>
            <w:gridSpan w:val="3"/>
            <w:tcBorders>
              <w:top w:val="single" w:sz="8" w:space="0" w:color="auto"/>
              <w:left w:val="nil"/>
              <w:bottom w:val="single" w:sz="8" w:space="0" w:color="auto"/>
              <w:right w:val="single" w:sz="8" w:space="0" w:color="auto"/>
            </w:tcBorders>
            <w:shd w:val="clear" w:color="auto" w:fill="D9D9D9" w:themeFill="background1" w:themeFillShade="D9"/>
            <w:tcMar>
              <w:top w:w="0" w:type="dxa"/>
              <w:left w:w="70" w:type="dxa"/>
              <w:bottom w:w="0" w:type="dxa"/>
              <w:right w:w="70" w:type="dxa"/>
            </w:tcMar>
            <w:vAlign w:val="center"/>
            <w:hideMark/>
          </w:tcPr>
          <w:p w14:paraId="3F0A61DF" w14:textId="71B0E643" w:rsidR="006D4475" w:rsidRPr="006B6D61" w:rsidRDefault="006D4475" w:rsidP="00CE2892">
            <w:pPr>
              <w:spacing w:before="40" w:after="40" w:line="252" w:lineRule="auto"/>
              <w:jc w:val="center"/>
              <w:rPr>
                <w:rFonts w:eastAsia="Calibri" w:cstheme="minorHAnsi"/>
                <w:b/>
                <w:sz w:val="20"/>
                <w:szCs w:val="20"/>
              </w:rPr>
            </w:pPr>
            <w:r w:rsidRPr="006B6D61">
              <w:rPr>
                <w:rFonts w:eastAsia="Calibri" w:cstheme="minorHAnsi"/>
                <w:b/>
                <w:sz w:val="20"/>
                <w:szCs w:val="20"/>
              </w:rPr>
              <w:t xml:space="preserve">Rozpočet </w:t>
            </w:r>
            <w:r w:rsidR="00CA0188" w:rsidRPr="006B6D61">
              <w:rPr>
                <w:rFonts w:eastAsia="Calibri" w:cstheme="minorHAnsi"/>
                <w:b/>
                <w:sz w:val="20"/>
                <w:szCs w:val="20"/>
              </w:rPr>
              <w:t>2023</w:t>
            </w:r>
          </w:p>
        </w:tc>
        <w:tc>
          <w:tcPr>
            <w:tcW w:w="1154" w:type="dxa"/>
            <w:vMerge w:val="restart"/>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0C597498" w14:textId="77777777" w:rsidR="006D4475" w:rsidRPr="006B6D61" w:rsidRDefault="006D4475" w:rsidP="00CE2892">
            <w:pPr>
              <w:spacing w:after="0" w:line="252" w:lineRule="auto"/>
              <w:jc w:val="center"/>
              <w:rPr>
                <w:rFonts w:eastAsia="Calibri" w:cstheme="minorHAnsi"/>
                <w:b/>
                <w:sz w:val="20"/>
                <w:szCs w:val="20"/>
              </w:rPr>
            </w:pPr>
            <w:r w:rsidRPr="006B6D61">
              <w:rPr>
                <w:rFonts w:eastAsia="Calibri" w:cstheme="minorHAnsi"/>
                <w:b/>
                <w:sz w:val="20"/>
                <w:szCs w:val="20"/>
              </w:rPr>
              <w:t>Skutečnost</w:t>
            </w:r>
          </w:p>
          <w:p w14:paraId="5EDA90C2" w14:textId="2A7E8EF4" w:rsidR="006D4475" w:rsidRPr="006B6D61" w:rsidRDefault="00CA0188" w:rsidP="00CE2892">
            <w:pPr>
              <w:spacing w:after="0" w:line="252" w:lineRule="auto"/>
              <w:jc w:val="center"/>
              <w:rPr>
                <w:rFonts w:eastAsia="Calibri" w:cstheme="minorHAnsi"/>
                <w:b/>
                <w:sz w:val="20"/>
                <w:szCs w:val="20"/>
              </w:rPr>
            </w:pPr>
            <w:r w:rsidRPr="006B6D61">
              <w:rPr>
                <w:rFonts w:eastAsia="Calibri" w:cstheme="minorHAnsi"/>
                <w:b/>
                <w:sz w:val="20"/>
                <w:szCs w:val="20"/>
              </w:rPr>
              <w:t>20</w:t>
            </w:r>
            <w:r w:rsidR="00F5637B" w:rsidRPr="006B6D61">
              <w:rPr>
                <w:rFonts w:eastAsia="Calibri" w:cstheme="minorHAnsi"/>
                <w:b/>
                <w:sz w:val="20"/>
                <w:szCs w:val="20"/>
              </w:rPr>
              <w:t>23</w:t>
            </w:r>
          </w:p>
        </w:tc>
        <w:tc>
          <w:tcPr>
            <w:tcW w:w="820" w:type="dxa"/>
            <w:vMerge w:val="restart"/>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01F03C65" w14:textId="77777777" w:rsidR="006D4475" w:rsidRPr="006B6D61" w:rsidRDefault="006D4475" w:rsidP="00CE2892">
            <w:pPr>
              <w:spacing w:after="0" w:line="252" w:lineRule="auto"/>
              <w:jc w:val="center"/>
              <w:rPr>
                <w:rFonts w:eastAsia="Calibri" w:cstheme="minorHAnsi"/>
                <w:b/>
                <w:sz w:val="20"/>
                <w:szCs w:val="20"/>
              </w:rPr>
            </w:pPr>
            <w:r w:rsidRPr="006B6D61">
              <w:rPr>
                <w:rFonts w:eastAsia="Calibri" w:cstheme="minorHAnsi"/>
                <w:b/>
                <w:sz w:val="20"/>
                <w:szCs w:val="20"/>
              </w:rPr>
              <w:t>Index</w:t>
            </w:r>
          </w:p>
          <w:p w14:paraId="7849A0F7" w14:textId="77777777" w:rsidR="006D4475" w:rsidRPr="006B6D61" w:rsidRDefault="006D4475" w:rsidP="00CE2892">
            <w:pPr>
              <w:spacing w:after="0" w:line="252" w:lineRule="auto"/>
              <w:jc w:val="center"/>
              <w:rPr>
                <w:rFonts w:eastAsia="Calibri" w:cstheme="minorHAnsi"/>
                <w:b/>
                <w:sz w:val="20"/>
                <w:szCs w:val="20"/>
              </w:rPr>
            </w:pPr>
            <w:r w:rsidRPr="006B6D61">
              <w:rPr>
                <w:rFonts w:eastAsia="Calibri" w:cstheme="minorHAnsi"/>
                <w:b/>
                <w:sz w:val="20"/>
                <w:szCs w:val="20"/>
              </w:rPr>
              <w:t>(v %)</w:t>
            </w:r>
          </w:p>
        </w:tc>
      </w:tr>
      <w:tr w:rsidR="002F1BE7" w:rsidRPr="0044012B" w14:paraId="5E945061" w14:textId="77777777" w:rsidTr="00BA4E5A">
        <w:trPr>
          <w:trHeight w:val="463"/>
          <w:tblHeader/>
        </w:trPr>
        <w:tc>
          <w:tcPr>
            <w:tcW w:w="2268" w:type="dxa"/>
            <w:vMerge/>
            <w:tcBorders>
              <w:top w:val="single" w:sz="8" w:space="0" w:color="auto"/>
              <w:left w:val="single" w:sz="8" w:space="0" w:color="auto"/>
              <w:bottom w:val="nil"/>
              <w:right w:val="single" w:sz="8" w:space="0" w:color="auto"/>
            </w:tcBorders>
            <w:vAlign w:val="center"/>
            <w:hideMark/>
          </w:tcPr>
          <w:p w14:paraId="150D1877" w14:textId="77777777" w:rsidR="006D4475" w:rsidRPr="006B6D61" w:rsidRDefault="006D4475" w:rsidP="00CE2892">
            <w:pPr>
              <w:spacing w:after="0" w:line="240" w:lineRule="auto"/>
              <w:rPr>
                <w:rFonts w:eastAsia="Calibri" w:cstheme="minorHAnsi"/>
                <w:sz w:val="20"/>
                <w:szCs w:val="20"/>
              </w:rPr>
            </w:pPr>
          </w:p>
        </w:tc>
        <w:tc>
          <w:tcPr>
            <w:tcW w:w="1125" w:type="dxa"/>
            <w:vMerge/>
            <w:tcBorders>
              <w:top w:val="single" w:sz="8" w:space="0" w:color="auto"/>
              <w:left w:val="nil"/>
              <w:bottom w:val="nil"/>
              <w:right w:val="single" w:sz="8" w:space="0" w:color="auto"/>
            </w:tcBorders>
            <w:vAlign w:val="center"/>
            <w:hideMark/>
          </w:tcPr>
          <w:p w14:paraId="3270535D" w14:textId="77777777" w:rsidR="006D4475" w:rsidRPr="006B6D61" w:rsidRDefault="006D4475" w:rsidP="00CE2892">
            <w:pPr>
              <w:spacing w:after="0" w:line="240" w:lineRule="auto"/>
              <w:rPr>
                <w:rFonts w:eastAsia="Calibri" w:cstheme="minorHAnsi"/>
                <w:sz w:val="20"/>
                <w:szCs w:val="20"/>
              </w:rPr>
            </w:pPr>
          </w:p>
        </w:tc>
        <w:tc>
          <w:tcPr>
            <w:tcW w:w="1195" w:type="dxa"/>
            <w:tcBorders>
              <w:top w:val="nil"/>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1A3AF13A" w14:textId="77777777" w:rsidR="006D4475" w:rsidRPr="006B6D61" w:rsidRDefault="006D4475" w:rsidP="00CE2892">
            <w:pPr>
              <w:spacing w:before="40" w:after="40" w:line="252" w:lineRule="auto"/>
              <w:jc w:val="center"/>
              <w:rPr>
                <w:rFonts w:eastAsia="Calibri" w:cstheme="minorHAnsi"/>
                <w:b/>
                <w:sz w:val="20"/>
                <w:szCs w:val="20"/>
              </w:rPr>
            </w:pPr>
            <w:r w:rsidRPr="006B6D61">
              <w:rPr>
                <w:rFonts w:eastAsia="Calibri" w:cstheme="minorHAnsi"/>
                <w:b/>
                <w:sz w:val="20"/>
                <w:szCs w:val="20"/>
              </w:rPr>
              <w:t>schválený</w:t>
            </w:r>
          </w:p>
        </w:tc>
        <w:tc>
          <w:tcPr>
            <w:tcW w:w="1322"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6244FAC3" w14:textId="77777777" w:rsidR="006D4475" w:rsidRPr="006B6D61" w:rsidRDefault="006D4475" w:rsidP="00CE2892">
            <w:pPr>
              <w:spacing w:before="40" w:after="40" w:line="252" w:lineRule="auto"/>
              <w:jc w:val="center"/>
              <w:rPr>
                <w:rFonts w:eastAsia="Calibri" w:cstheme="minorHAnsi"/>
                <w:b/>
                <w:sz w:val="20"/>
                <w:szCs w:val="20"/>
              </w:rPr>
            </w:pPr>
            <w:r w:rsidRPr="006B6D61">
              <w:rPr>
                <w:rFonts w:eastAsia="Calibri" w:cstheme="minorHAnsi"/>
                <w:b/>
                <w:sz w:val="20"/>
                <w:szCs w:val="20"/>
              </w:rPr>
              <w:t>po změnách</w:t>
            </w:r>
          </w:p>
        </w:tc>
        <w:tc>
          <w:tcPr>
            <w:tcW w:w="1098"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0B54E9A1" w14:textId="77777777" w:rsidR="006D4475" w:rsidRPr="006B6D61" w:rsidRDefault="006D4475" w:rsidP="00CE2892">
            <w:pPr>
              <w:spacing w:before="40" w:after="40" w:line="252" w:lineRule="auto"/>
              <w:jc w:val="center"/>
              <w:rPr>
                <w:rFonts w:eastAsia="Calibri" w:cstheme="minorHAnsi"/>
                <w:b/>
                <w:sz w:val="20"/>
                <w:szCs w:val="20"/>
              </w:rPr>
            </w:pPr>
            <w:r w:rsidRPr="006B6D61">
              <w:rPr>
                <w:rFonts w:eastAsia="Calibri" w:cstheme="minorHAnsi"/>
                <w:b/>
                <w:sz w:val="20"/>
                <w:szCs w:val="20"/>
              </w:rPr>
              <w:t>konečný</w:t>
            </w:r>
          </w:p>
        </w:tc>
        <w:tc>
          <w:tcPr>
            <w:tcW w:w="1154" w:type="dxa"/>
            <w:vMerge/>
            <w:tcBorders>
              <w:top w:val="single" w:sz="8" w:space="0" w:color="auto"/>
              <w:left w:val="nil"/>
              <w:bottom w:val="nil"/>
              <w:right w:val="single" w:sz="8" w:space="0" w:color="auto"/>
            </w:tcBorders>
            <w:vAlign w:val="center"/>
            <w:hideMark/>
          </w:tcPr>
          <w:p w14:paraId="53937059" w14:textId="77777777" w:rsidR="006D4475" w:rsidRPr="0077128B" w:rsidRDefault="006D4475" w:rsidP="00CE2892">
            <w:pPr>
              <w:spacing w:after="0" w:line="240" w:lineRule="auto"/>
              <w:rPr>
                <w:rFonts w:eastAsia="Calibri" w:cstheme="minorHAnsi"/>
                <w:color w:val="FF0000"/>
                <w:sz w:val="20"/>
                <w:szCs w:val="20"/>
              </w:rPr>
            </w:pPr>
          </w:p>
        </w:tc>
        <w:tc>
          <w:tcPr>
            <w:tcW w:w="0" w:type="auto"/>
            <w:vMerge/>
            <w:tcBorders>
              <w:top w:val="single" w:sz="8" w:space="0" w:color="auto"/>
              <w:left w:val="nil"/>
              <w:bottom w:val="nil"/>
              <w:right w:val="single" w:sz="8" w:space="0" w:color="auto"/>
            </w:tcBorders>
            <w:vAlign w:val="center"/>
            <w:hideMark/>
          </w:tcPr>
          <w:p w14:paraId="5A49DC46" w14:textId="77777777" w:rsidR="006D4475" w:rsidRPr="0077128B" w:rsidRDefault="006D4475" w:rsidP="00CE2892">
            <w:pPr>
              <w:spacing w:after="0" w:line="240" w:lineRule="auto"/>
              <w:rPr>
                <w:rFonts w:eastAsia="Calibri" w:cstheme="minorHAnsi"/>
                <w:color w:val="FF0000"/>
                <w:sz w:val="20"/>
                <w:szCs w:val="20"/>
              </w:rPr>
            </w:pPr>
          </w:p>
        </w:tc>
      </w:tr>
      <w:tr w:rsidR="002F1BE7" w:rsidRPr="0044012B" w14:paraId="71768902" w14:textId="77777777" w:rsidTr="00CE2892">
        <w:trPr>
          <w:trHeight w:val="82"/>
          <w:tblHeader/>
        </w:trPr>
        <w:tc>
          <w:tcPr>
            <w:tcW w:w="2268" w:type="dxa"/>
            <w:tcBorders>
              <w:top w:val="single" w:sz="8" w:space="0" w:color="auto"/>
              <w:left w:val="single" w:sz="8" w:space="0" w:color="auto"/>
              <w:bottom w:val="nil"/>
              <w:right w:val="single" w:sz="8" w:space="0" w:color="auto"/>
            </w:tcBorders>
            <w:tcMar>
              <w:top w:w="0" w:type="dxa"/>
              <w:left w:w="70" w:type="dxa"/>
              <w:bottom w:w="0" w:type="dxa"/>
              <w:right w:w="70" w:type="dxa"/>
            </w:tcMar>
            <w:hideMark/>
          </w:tcPr>
          <w:p w14:paraId="7ADC891A"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a</w:t>
            </w:r>
          </w:p>
        </w:tc>
        <w:tc>
          <w:tcPr>
            <w:tcW w:w="1125" w:type="dxa"/>
            <w:tcBorders>
              <w:top w:val="single" w:sz="8" w:space="0" w:color="auto"/>
              <w:left w:val="nil"/>
              <w:bottom w:val="nil"/>
              <w:right w:val="single" w:sz="8" w:space="0" w:color="auto"/>
            </w:tcBorders>
            <w:tcMar>
              <w:top w:w="0" w:type="dxa"/>
              <w:left w:w="70" w:type="dxa"/>
              <w:bottom w:w="0" w:type="dxa"/>
              <w:right w:w="70" w:type="dxa"/>
            </w:tcMar>
            <w:hideMark/>
          </w:tcPr>
          <w:p w14:paraId="7984B1EA"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1</w:t>
            </w:r>
          </w:p>
        </w:tc>
        <w:tc>
          <w:tcPr>
            <w:tcW w:w="1195" w:type="dxa"/>
            <w:tcBorders>
              <w:top w:val="single" w:sz="8" w:space="0" w:color="auto"/>
              <w:left w:val="nil"/>
              <w:bottom w:val="nil"/>
              <w:right w:val="single" w:sz="8" w:space="0" w:color="auto"/>
            </w:tcBorders>
            <w:tcMar>
              <w:top w:w="0" w:type="dxa"/>
              <w:left w:w="70" w:type="dxa"/>
              <w:bottom w:w="0" w:type="dxa"/>
              <w:right w:w="70" w:type="dxa"/>
            </w:tcMar>
            <w:hideMark/>
          </w:tcPr>
          <w:p w14:paraId="72AA476E"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2</w:t>
            </w:r>
          </w:p>
        </w:tc>
        <w:tc>
          <w:tcPr>
            <w:tcW w:w="1322" w:type="dxa"/>
            <w:tcBorders>
              <w:top w:val="single" w:sz="8" w:space="0" w:color="auto"/>
              <w:left w:val="nil"/>
              <w:bottom w:val="nil"/>
              <w:right w:val="single" w:sz="8" w:space="0" w:color="auto"/>
            </w:tcBorders>
            <w:tcMar>
              <w:top w:w="0" w:type="dxa"/>
              <w:left w:w="70" w:type="dxa"/>
              <w:bottom w:w="0" w:type="dxa"/>
              <w:right w:w="70" w:type="dxa"/>
            </w:tcMar>
            <w:hideMark/>
          </w:tcPr>
          <w:p w14:paraId="098336AF"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3</w:t>
            </w:r>
          </w:p>
        </w:tc>
        <w:tc>
          <w:tcPr>
            <w:tcW w:w="1098" w:type="dxa"/>
            <w:tcBorders>
              <w:top w:val="single" w:sz="8" w:space="0" w:color="auto"/>
              <w:left w:val="nil"/>
              <w:bottom w:val="nil"/>
              <w:right w:val="single" w:sz="8" w:space="0" w:color="auto"/>
            </w:tcBorders>
            <w:tcMar>
              <w:top w:w="0" w:type="dxa"/>
              <w:left w:w="70" w:type="dxa"/>
              <w:bottom w:w="0" w:type="dxa"/>
              <w:right w:w="70" w:type="dxa"/>
            </w:tcMar>
            <w:hideMark/>
          </w:tcPr>
          <w:p w14:paraId="09D58476"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4</w:t>
            </w:r>
          </w:p>
        </w:tc>
        <w:tc>
          <w:tcPr>
            <w:tcW w:w="1154" w:type="dxa"/>
            <w:tcBorders>
              <w:top w:val="single" w:sz="8" w:space="0" w:color="auto"/>
              <w:left w:val="nil"/>
              <w:bottom w:val="nil"/>
              <w:right w:val="single" w:sz="8" w:space="0" w:color="auto"/>
            </w:tcBorders>
            <w:tcMar>
              <w:top w:w="0" w:type="dxa"/>
              <w:left w:w="70" w:type="dxa"/>
              <w:bottom w:w="0" w:type="dxa"/>
              <w:right w:w="70" w:type="dxa"/>
            </w:tcMar>
            <w:hideMark/>
          </w:tcPr>
          <w:p w14:paraId="5F474EC6"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5</w:t>
            </w:r>
          </w:p>
        </w:tc>
        <w:tc>
          <w:tcPr>
            <w:tcW w:w="820" w:type="dxa"/>
            <w:tcBorders>
              <w:top w:val="single" w:sz="8" w:space="0" w:color="auto"/>
              <w:left w:val="nil"/>
              <w:bottom w:val="nil"/>
              <w:right w:val="single" w:sz="8" w:space="0" w:color="auto"/>
            </w:tcBorders>
            <w:tcMar>
              <w:top w:w="0" w:type="dxa"/>
              <w:left w:w="70" w:type="dxa"/>
              <w:bottom w:w="0" w:type="dxa"/>
              <w:right w:w="70" w:type="dxa"/>
            </w:tcMar>
            <w:hideMark/>
          </w:tcPr>
          <w:p w14:paraId="4DA5ECB4" w14:textId="77777777" w:rsidR="006D4475" w:rsidRPr="006B6D61" w:rsidRDefault="006D4475" w:rsidP="00CE2892">
            <w:pPr>
              <w:spacing w:after="0" w:line="252" w:lineRule="auto"/>
              <w:jc w:val="center"/>
              <w:rPr>
                <w:rFonts w:eastAsia="Calibri" w:cstheme="minorHAnsi"/>
                <w:sz w:val="20"/>
                <w:szCs w:val="20"/>
              </w:rPr>
            </w:pPr>
            <w:r w:rsidRPr="006B6D61">
              <w:rPr>
                <w:rFonts w:eastAsia="Calibri" w:cstheme="minorHAnsi"/>
                <w:sz w:val="20"/>
                <w:szCs w:val="20"/>
              </w:rPr>
              <w:t>5/1</w:t>
            </w:r>
          </w:p>
        </w:tc>
      </w:tr>
      <w:tr w:rsidR="002F1BE7" w:rsidRPr="0044012B" w14:paraId="26ECC2C7" w14:textId="77777777" w:rsidTr="00D3010F">
        <w:trPr>
          <w:trHeight w:val="320"/>
          <w:tblHeader/>
        </w:trPr>
        <w:tc>
          <w:tcPr>
            <w:tcW w:w="2268" w:type="dxa"/>
            <w:tcBorders>
              <w:top w:val="single" w:sz="8" w:space="0" w:color="auto"/>
              <w:left w:val="single" w:sz="8" w:space="0" w:color="auto"/>
              <w:bottom w:val="nil"/>
              <w:right w:val="single" w:sz="8" w:space="0" w:color="auto"/>
            </w:tcBorders>
            <w:shd w:val="clear" w:color="auto" w:fill="D9D9D9" w:themeFill="background1" w:themeFillShade="D9"/>
            <w:tcMar>
              <w:top w:w="0" w:type="dxa"/>
              <w:left w:w="70" w:type="dxa"/>
              <w:bottom w:w="0" w:type="dxa"/>
              <w:right w:w="70" w:type="dxa"/>
            </w:tcMar>
            <w:hideMark/>
          </w:tcPr>
          <w:p w14:paraId="6B7306D6" w14:textId="3923BBEC" w:rsidR="006D4475" w:rsidRPr="006B6D61" w:rsidRDefault="00550671">
            <w:pPr>
              <w:spacing w:before="40" w:after="40" w:line="252" w:lineRule="auto"/>
              <w:rPr>
                <w:rFonts w:eastAsia="Calibri" w:cstheme="minorHAnsi"/>
                <w:b/>
                <w:bCs/>
                <w:sz w:val="20"/>
                <w:szCs w:val="20"/>
              </w:rPr>
            </w:pPr>
            <w:r w:rsidRPr="006B6D61">
              <w:rPr>
                <w:rFonts w:eastAsia="Calibri" w:cstheme="minorHAnsi"/>
                <w:b/>
                <w:bCs/>
                <w:sz w:val="20"/>
                <w:szCs w:val="20"/>
              </w:rPr>
              <w:t>Transfer celkem</w:t>
            </w:r>
            <w:r w:rsidR="006D4475" w:rsidRPr="006B6D61">
              <w:rPr>
                <w:rFonts w:eastAsia="Calibri" w:cstheme="minorHAnsi"/>
                <w:b/>
                <w:bCs/>
                <w:sz w:val="20"/>
                <w:szCs w:val="20"/>
              </w:rPr>
              <w:t xml:space="preserve"> </w:t>
            </w:r>
            <w:r w:rsidR="006D4475" w:rsidRPr="006B6D61">
              <w:rPr>
                <w:rFonts w:eastAsia="Calibri" w:cstheme="minorHAnsi"/>
                <w:b/>
                <w:sz w:val="20"/>
                <w:szCs w:val="20"/>
              </w:rPr>
              <w:t>(v tom:)</w:t>
            </w:r>
          </w:p>
        </w:tc>
        <w:tc>
          <w:tcPr>
            <w:tcW w:w="1125"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36DA3C59" w14:textId="543EEECC" w:rsidR="006D4475" w:rsidRPr="006B6D61" w:rsidRDefault="00FD643C">
            <w:pPr>
              <w:spacing w:before="40" w:after="40" w:line="252" w:lineRule="auto"/>
              <w:jc w:val="right"/>
              <w:rPr>
                <w:rFonts w:eastAsia="Calibri" w:cstheme="minorHAnsi"/>
                <w:b/>
                <w:bCs/>
                <w:sz w:val="20"/>
                <w:szCs w:val="20"/>
              </w:rPr>
            </w:pPr>
            <w:r w:rsidRPr="006B6D61">
              <w:rPr>
                <w:rFonts w:eastAsia="Calibri" w:cstheme="minorHAnsi"/>
                <w:b/>
                <w:bCs/>
                <w:sz w:val="20"/>
                <w:szCs w:val="20"/>
              </w:rPr>
              <w:t>91 216</w:t>
            </w:r>
          </w:p>
        </w:tc>
        <w:tc>
          <w:tcPr>
            <w:tcW w:w="1195"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6D49FEDE" w14:textId="0D5BDEE1" w:rsidR="006D4475" w:rsidRPr="006B6D61" w:rsidRDefault="00322DC8">
            <w:pPr>
              <w:spacing w:before="40" w:after="40" w:line="252" w:lineRule="auto"/>
              <w:jc w:val="right"/>
              <w:rPr>
                <w:rFonts w:eastAsia="Calibri" w:cstheme="minorHAnsi"/>
                <w:b/>
                <w:bCs/>
                <w:sz w:val="20"/>
                <w:szCs w:val="20"/>
              </w:rPr>
            </w:pPr>
            <w:r w:rsidRPr="006B6D61">
              <w:rPr>
                <w:rFonts w:eastAsia="Calibri" w:cstheme="minorHAnsi"/>
                <w:b/>
                <w:bCs/>
                <w:sz w:val="20"/>
                <w:szCs w:val="20"/>
              </w:rPr>
              <w:t>109 991</w:t>
            </w:r>
          </w:p>
        </w:tc>
        <w:tc>
          <w:tcPr>
            <w:tcW w:w="1322"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4AC37100" w14:textId="18821E41" w:rsidR="006D4475" w:rsidRPr="006B6D61" w:rsidRDefault="00322DC8">
            <w:pPr>
              <w:spacing w:before="40" w:after="40" w:line="252" w:lineRule="auto"/>
              <w:jc w:val="right"/>
              <w:rPr>
                <w:rFonts w:eastAsia="Calibri" w:cstheme="minorHAnsi"/>
                <w:b/>
                <w:bCs/>
                <w:sz w:val="20"/>
                <w:szCs w:val="20"/>
              </w:rPr>
            </w:pPr>
            <w:r w:rsidRPr="006B6D61">
              <w:rPr>
                <w:rFonts w:eastAsia="Calibri" w:cstheme="minorHAnsi"/>
                <w:b/>
                <w:bCs/>
                <w:sz w:val="20"/>
                <w:szCs w:val="20"/>
              </w:rPr>
              <w:t>88 045</w:t>
            </w:r>
          </w:p>
        </w:tc>
        <w:tc>
          <w:tcPr>
            <w:tcW w:w="1098"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46D2EBA2" w14:textId="52CF6626" w:rsidR="006D4475" w:rsidRPr="0077128B" w:rsidRDefault="00E951D2">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 xml:space="preserve">92 </w:t>
            </w:r>
            <w:r w:rsidR="00D77742" w:rsidRPr="006B6D61">
              <w:rPr>
                <w:rFonts w:eastAsia="Calibri" w:cstheme="minorHAnsi"/>
                <w:b/>
                <w:bCs/>
                <w:sz w:val="20"/>
                <w:szCs w:val="20"/>
              </w:rPr>
              <w:t>772</w:t>
            </w:r>
          </w:p>
        </w:tc>
        <w:tc>
          <w:tcPr>
            <w:tcW w:w="1154"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24A68F81" w14:textId="798EA508" w:rsidR="006D4475" w:rsidRPr="0077128B" w:rsidRDefault="0014563C">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92 772</w:t>
            </w:r>
          </w:p>
        </w:tc>
        <w:tc>
          <w:tcPr>
            <w:tcW w:w="820" w:type="dxa"/>
            <w:tcBorders>
              <w:top w:val="single" w:sz="8" w:space="0" w:color="auto"/>
              <w:left w:val="nil"/>
              <w:bottom w:val="nil"/>
              <w:right w:val="single" w:sz="8" w:space="0" w:color="auto"/>
            </w:tcBorders>
            <w:shd w:val="clear" w:color="auto" w:fill="D9D9D9" w:themeFill="background1" w:themeFillShade="D9"/>
            <w:tcMar>
              <w:top w:w="0" w:type="dxa"/>
              <w:left w:w="70" w:type="dxa"/>
              <w:bottom w:w="0" w:type="dxa"/>
              <w:right w:w="70" w:type="dxa"/>
            </w:tcMar>
            <w:vAlign w:val="center"/>
            <w:hideMark/>
          </w:tcPr>
          <w:p w14:paraId="24DBFFB0" w14:textId="705E0CF4" w:rsidR="006D4475" w:rsidRPr="0077128B" w:rsidRDefault="00C06CA5">
            <w:pPr>
              <w:spacing w:before="40" w:after="40" w:line="252" w:lineRule="auto"/>
              <w:jc w:val="right"/>
              <w:rPr>
                <w:rFonts w:eastAsia="Calibri" w:cstheme="minorHAnsi"/>
                <w:b/>
                <w:bCs/>
                <w:color w:val="FF0000"/>
                <w:sz w:val="20"/>
                <w:szCs w:val="20"/>
              </w:rPr>
            </w:pPr>
            <w:r w:rsidRPr="006B6D61">
              <w:rPr>
                <w:rFonts w:eastAsia="Calibri" w:cstheme="minorHAnsi"/>
                <w:b/>
                <w:bCs/>
                <w:sz w:val="20"/>
                <w:szCs w:val="20"/>
              </w:rPr>
              <w:t>101</w:t>
            </w:r>
            <w:r w:rsidR="00A03C63" w:rsidRPr="006B6D61">
              <w:rPr>
                <w:rFonts w:eastAsia="Calibri" w:cstheme="minorHAnsi"/>
                <w:b/>
                <w:bCs/>
                <w:sz w:val="20"/>
                <w:szCs w:val="20"/>
              </w:rPr>
              <w:t>,7</w:t>
            </w:r>
          </w:p>
        </w:tc>
      </w:tr>
      <w:tr w:rsidR="002F1BE7" w:rsidRPr="0044012B" w14:paraId="18BB20E1" w14:textId="77777777" w:rsidTr="003F0A7C">
        <w:trPr>
          <w:trHeight w:val="320"/>
          <w:tblHeader/>
        </w:trPr>
        <w:tc>
          <w:tcPr>
            <w:tcW w:w="2268" w:type="dxa"/>
            <w:tcBorders>
              <w:top w:val="single" w:sz="8" w:space="0" w:color="auto"/>
              <w:left w:val="single" w:sz="8" w:space="0" w:color="auto"/>
              <w:bottom w:val="nil"/>
              <w:right w:val="single" w:sz="8" w:space="0" w:color="auto"/>
            </w:tcBorders>
            <w:tcMar>
              <w:top w:w="0" w:type="dxa"/>
              <w:left w:w="70" w:type="dxa"/>
              <w:bottom w:w="0" w:type="dxa"/>
              <w:right w:w="70" w:type="dxa"/>
            </w:tcMar>
            <w:hideMark/>
          </w:tcPr>
          <w:p w14:paraId="66D4480F" w14:textId="3FE43C7F" w:rsidR="003F7322" w:rsidRPr="006B6D61" w:rsidRDefault="003F7322" w:rsidP="003F7322">
            <w:pPr>
              <w:spacing w:after="0" w:line="252" w:lineRule="auto"/>
              <w:jc w:val="both"/>
              <w:rPr>
                <w:rFonts w:eastAsia="Calibri" w:cstheme="minorHAnsi"/>
                <w:b/>
                <w:sz w:val="20"/>
                <w:szCs w:val="20"/>
              </w:rPr>
            </w:pPr>
            <w:r w:rsidRPr="006B6D61">
              <w:rPr>
                <w:rFonts w:eastAsia="Calibri" w:cstheme="minorHAnsi"/>
                <w:b/>
                <w:bCs/>
                <w:sz w:val="20"/>
                <w:szCs w:val="20"/>
              </w:rPr>
              <w:t xml:space="preserve">Neinvestiční příspěvek </w:t>
            </w:r>
            <w:r w:rsidR="00005095">
              <w:rPr>
                <w:rFonts w:eastAsia="Calibri" w:cstheme="minorHAnsi"/>
                <w:b/>
                <w:bCs/>
                <w:sz w:val="20"/>
                <w:szCs w:val="20"/>
              </w:rPr>
              <w:br/>
            </w:r>
            <w:r w:rsidRPr="006B6D61">
              <w:rPr>
                <w:rFonts w:eastAsia="Calibri" w:cstheme="minorHAnsi"/>
                <w:b/>
                <w:bCs/>
                <w:sz w:val="20"/>
                <w:szCs w:val="20"/>
              </w:rPr>
              <w:t xml:space="preserve">a transfer </w:t>
            </w:r>
            <w:r w:rsidRPr="006B6D61">
              <w:rPr>
                <w:rFonts w:eastAsia="Calibri" w:cstheme="minorHAnsi"/>
                <w:b/>
                <w:sz w:val="20"/>
                <w:szCs w:val="20"/>
              </w:rPr>
              <w:t xml:space="preserve">v tom: </w:t>
            </w:r>
          </w:p>
        </w:tc>
        <w:tc>
          <w:tcPr>
            <w:tcW w:w="1125" w:type="dxa"/>
            <w:tcBorders>
              <w:top w:val="single" w:sz="8" w:space="0" w:color="auto"/>
              <w:left w:val="nil"/>
              <w:bottom w:val="nil"/>
              <w:right w:val="single" w:sz="8" w:space="0" w:color="auto"/>
            </w:tcBorders>
            <w:tcMar>
              <w:top w:w="0" w:type="dxa"/>
              <w:left w:w="70" w:type="dxa"/>
              <w:bottom w:w="0" w:type="dxa"/>
              <w:right w:w="70" w:type="dxa"/>
            </w:tcMar>
            <w:vAlign w:val="center"/>
            <w:hideMark/>
          </w:tcPr>
          <w:p w14:paraId="78DD4D20" w14:textId="6323DFF4" w:rsidR="003F7322" w:rsidRPr="006B6D61" w:rsidRDefault="00FD643C">
            <w:pPr>
              <w:spacing w:after="0" w:line="252" w:lineRule="auto"/>
              <w:jc w:val="right"/>
              <w:rPr>
                <w:rFonts w:eastAsia="Calibri" w:cstheme="minorHAnsi"/>
                <w:b/>
                <w:bCs/>
                <w:sz w:val="20"/>
                <w:szCs w:val="20"/>
              </w:rPr>
            </w:pPr>
            <w:r w:rsidRPr="006B6D61">
              <w:rPr>
                <w:rFonts w:cstheme="minorHAnsi"/>
                <w:b/>
                <w:sz w:val="20"/>
                <w:szCs w:val="20"/>
              </w:rPr>
              <w:t>86 541</w:t>
            </w:r>
          </w:p>
        </w:tc>
        <w:tc>
          <w:tcPr>
            <w:tcW w:w="1195" w:type="dxa"/>
            <w:tcBorders>
              <w:top w:val="single" w:sz="8" w:space="0" w:color="auto"/>
              <w:left w:val="nil"/>
              <w:bottom w:val="nil"/>
              <w:right w:val="single" w:sz="8" w:space="0" w:color="auto"/>
            </w:tcBorders>
            <w:tcMar>
              <w:top w:w="0" w:type="dxa"/>
              <w:left w:w="70" w:type="dxa"/>
              <w:bottom w:w="0" w:type="dxa"/>
              <w:right w:w="70" w:type="dxa"/>
            </w:tcMar>
            <w:vAlign w:val="center"/>
            <w:hideMark/>
          </w:tcPr>
          <w:p w14:paraId="5CE4B11F" w14:textId="72538275" w:rsidR="003F7322" w:rsidRPr="006B6D61" w:rsidRDefault="00814EEE">
            <w:pPr>
              <w:spacing w:after="0" w:line="252" w:lineRule="auto"/>
              <w:jc w:val="right"/>
              <w:rPr>
                <w:rFonts w:eastAsia="Calibri" w:cstheme="minorHAnsi"/>
                <w:b/>
                <w:bCs/>
                <w:sz w:val="20"/>
                <w:szCs w:val="20"/>
              </w:rPr>
            </w:pPr>
            <w:r w:rsidRPr="006B6D61">
              <w:rPr>
                <w:rFonts w:cstheme="minorHAnsi"/>
                <w:b/>
                <w:sz w:val="20"/>
                <w:szCs w:val="20"/>
              </w:rPr>
              <w:t>109 991</w:t>
            </w:r>
          </w:p>
        </w:tc>
        <w:tc>
          <w:tcPr>
            <w:tcW w:w="1322" w:type="dxa"/>
            <w:tcBorders>
              <w:top w:val="single" w:sz="8" w:space="0" w:color="auto"/>
              <w:left w:val="nil"/>
              <w:bottom w:val="nil"/>
              <w:right w:val="single" w:sz="8" w:space="0" w:color="auto"/>
            </w:tcBorders>
            <w:tcMar>
              <w:top w:w="0" w:type="dxa"/>
              <w:left w:w="70" w:type="dxa"/>
              <w:bottom w:w="0" w:type="dxa"/>
              <w:right w:w="70" w:type="dxa"/>
            </w:tcMar>
            <w:vAlign w:val="center"/>
            <w:hideMark/>
          </w:tcPr>
          <w:p w14:paraId="4C6BCCB3" w14:textId="08C0B526" w:rsidR="003F7322" w:rsidRPr="006B6D61" w:rsidRDefault="005E59A8">
            <w:pPr>
              <w:spacing w:after="0" w:line="252" w:lineRule="auto"/>
              <w:jc w:val="right"/>
              <w:rPr>
                <w:rFonts w:eastAsia="Calibri" w:cstheme="minorHAnsi"/>
                <w:b/>
                <w:bCs/>
                <w:sz w:val="20"/>
                <w:szCs w:val="20"/>
              </w:rPr>
            </w:pPr>
            <w:r w:rsidRPr="006B6D61">
              <w:rPr>
                <w:rFonts w:cstheme="minorHAnsi"/>
                <w:b/>
                <w:sz w:val="20"/>
                <w:szCs w:val="20"/>
              </w:rPr>
              <w:t>88 045</w:t>
            </w:r>
          </w:p>
        </w:tc>
        <w:tc>
          <w:tcPr>
            <w:tcW w:w="1098" w:type="dxa"/>
            <w:tcBorders>
              <w:top w:val="single" w:sz="8" w:space="0" w:color="auto"/>
              <w:left w:val="nil"/>
              <w:bottom w:val="nil"/>
              <w:right w:val="single" w:sz="8" w:space="0" w:color="auto"/>
            </w:tcBorders>
            <w:tcMar>
              <w:top w:w="0" w:type="dxa"/>
              <w:left w:w="70" w:type="dxa"/>
              <w:bottom w:w="0" w:type="dxa"/>
              <w:right w:w="70" w:type="dxa"/>
            </w:tcMar>
            <w:vAlign w:val="center"/>
            <w:hideMark/>
          </w:tcPr>
          <w:p w14:paraId="5E98D215" w14:textId="63F222FB" w:rsidR="003F7322" w:rsidRPr="006B6D61" w:rsidRDefault="00097010">
            <w:pPr>
              <w:spacing w:after="0" w:line="252" w:lineRule="auto"/>
              <w:jc w:val="right"/>
              <w:rPr>
                <w:rFonts w:eastAsia="Calibri" w:cstheme="minorHAnsi"/>
                <w:b/>
                <w:bCs/>
                <w:sz w:val="20"/>
                <w:szCs w:val="20"/>
              </w:rPr>
            </w:pPr>
            <w:r w:rsidRPr="006B6D61">
              <w:rPr>
                <w:rFonts w:eastAsia="Calibri" w:cstheme="minorHAnsi"/>
                <w:b/>
                <w:bCs/>
                <w:sz w:val="20"/>
                <w:szCs w:val="20"/>
              </w:rPr>
              <w:t>88 045</w:t>
            </w:r>
          </w:p>
        </w:tc>
        <w:tc>
          <w:tcPr>
            <w:tcW w:w="1154" w:type="dxa"/>
            <w:tcBorders>
              <w:top w:val="single" w:sz="8" w:space="0" w:color="auto"/>
              <w:left w:val="nil"/>
              <w:bottom w:val="nil"/>
              <w:right w:val="single" w:sz="8" w:space="0" w:color="auto"/>
            </w:tcBorders>
            <w:tcMar>
              <w:top w:w="0" w:type="dxa"/>
              <w:left w:w="70" w:type="dxa"/>
              <w:bottom w:w="0" w:type="dxa"/>
              <w:right w:w="70" w:type="dxa"/>
            </w:tcMar>
            <w:vAlign w:val="center"/>
            <w:hideMark/>
          </w:tcPr>
          <w:p w14:paraId="27C04E6A" w14:textId="5B34EF84" w:rsidR="003F7322" w:rsidRPr="006B6D61" w:rsidRDefault="0062658C">
            <w:pPr>
              <w:spacing w:after="0" w:line="252" w:lineRule="auto"/>
              <w:jc w:val="right"/>
              <w:rPr>
                <w:rFonts w:eastAsia="Calibri" w:cstheme="minorHAnsi"/>
                <w:b/>
                <w:bCs/>
                <w:sz w:val="20"/>
                <w:szCs w:val="20"/>
              </w:rPr>
            </w:pPr>
            <w:r w:rsidRPr="006B6D61">
              <w:rPr>
                <w:rFonts w:eastAsia="Calibri" w:cstheme="minorHAnsi"/>
                <w:b/>
                <w:bCs/>
                <w:sz w:val="20"/>
                <w:szCs w:val="20"/>
              </w:rPr>
              <w:t>88 045</w:t>
            </w:r>
          </w:p>
        </w:tc>
        <w:tc>
          <w:tcPr>
            <w:tcW w:w="820" w:type="dxa"/>
            <w:tcBorders>
              <w:top w:val="single" w:sz="8" w:space="0" w:color="auto"/>
              <w:left w:val="nil"/>
              <w:bottom w:val="nil"/>
              <w:right w:val="single" w:sz="8" w:space="0" w:color="auto"/>
            </w:tcBorders>
            <w:tcMar>
              <w:top w:w="0" w:type="dxa"/>
              <w:left w:w="70" w:type="dxa"/>
              <w:bottom w:w="0" w:type="dxa"/>
              <w:right w:w="70" w:type="dxa"/>
            </w:tcMar>
            <w:vAlign w:val="center"/>
          </w:tcPr>
          <w:p w14:paraId="178D09BC" w14:textId="18D59038" w:rsidR="003F7322" w:rsidRPr="0077128B" w:rsidRDefault="00FD33CC">
            <w:pPr>
              <w:spacing w:after="0" w:line="252" w:lineRule="auto"/>
              <w:jc w:val="right"/>
              <w:rPr>
                <w:rFonts w:eastAsia="Calibri" w:cstheme="minorHAnsi"/>
                <w:b/>
                <w:bCs/>
                <w:color w:val="FF0000"/>
                <w:sz w:val="20"/>
                <w:szCs w:val="20"/>
              </w:rPr>
            </w:pPr>
            <w:r w:rsidRPr="006B6D61">
              <w:rPr>
                <w:rFonts w:cstheme="minorHAnsi"/>
                <w:b/>
                <w:sz w:val="20"/>
                <w:szCs w:val="20"/>
              </w:rPr>
              <w:t>101,7</w:t>
            </w:r>
          </w:p>
        </w:tc>
      </w:tr>
      <w:tr w:rsidR="002F1BE7" w:rsidRPr="0044012B" w14:paraId="360797AA" w14:textId="77777777" w:rsidTr="003F0A7C">
        <w:trPr>
          <w:trHeight w:val="225"/>
          <w:tblHeader/>
        </w:trPr>
        <w:tc>
          <w:tcPr>
            <w:tcW w:w="2268" w:type="dxa"/>
            <w:tcBorders>
              <w:top w:val="nil"/>
              <w:left w:val="single" w:sz="8" w:space="0" w:color="auto"/>
              <w:bottom w:val="nil"/>
              <w:right w:val="single" w:sz="8" w:space="0" w:color="auto"/>
            </w:tcBorders>
            <w:tcMar>
              <w:top w:w="0" w:type="dxa"/>
              <w:left w:w="70" w:type="dxa"/>
              <w:bottom w:w="0" w:type="dxa"/>
              <w:right w:w="70" w:type="dxa"/>
            </w:tcMar>
          </w:tcPr>
          <w:p w14:paraId="5DE91853" w14:textId="77777777" w:rsidR="00550671" w:rsidRPr="006B6D61" w:rsidRDefault="00550671" w:rsidP="001C5A32">
            <w:pPr>
              <w:spacing w:after="0" w:line="252" w:lineRule="auto"/>
              <w:rPr>
                <w:rFonts w:eastAsia="Calibri" w:cstheme="minorHAnsi"/>
                <w:sz w:val="20"/>
                <w:szCs w:val="20"/>
              </w:rPr>
            </w:pPr>
            <w:r w:rsidRPr="006B6D61">
              <w:rPr>
                <w:rFonts w:cstheme="minorHAnsi"/>
                <w:sz w:val="20"/>
                <w:szCs w:val="20"/>
              </w:rPr>
              <w:t>platy zaměstnanců a ostatní platby za provedenou práci</w:t>
            </w:r>
          </w:p>
        </w:tc>
        <w:tc>
          <w:tcPr>
            <w:tcW w:w="1125" w:type="dxa"/>
            <w:tcBorders>
              <w:top w:val="nil"/>
              <w:left w:val="nil"/>
              <w:bottom w:val="nil"/>
              <w:right w:val="single" w:sz="8" w:space="0" w:color="auto"/>
            </w:tcBorders>
            <w:tcMar>
              <w:top w:w="0" w:type="dxa"/>
              <w:left w:w="70" w:type="dxa"/>
              <w:bottom w:w="0" w:type="dxa"/>
              <w:right w:w="70" w:type="dxa"/>
            </w:tcMar>
            <w:vAlign w:val="center"/>
          </w:tcPr>
          <w:p w14:paraId="52571805" w14:textId="540A7215" w:rsidR="00550671" w:rsidRPr="006B6D61" w:rsidRDefault="00FD643C">
            <w:pPr>
              <w:spacing w:after="0" w:line="252" w:lineRule="auto"/>
              <w:jc w:val="right"/>
              <w:rPr>
                <w:rFonts w:eastAsia="Calibri" w:cstheme="minorHAnsi"/>
                <w:sz w:val="20"/>
                <w:szCs w:val="20"/>
              </w:rPr>
            </w:pPr>
            <w:r w:rsidRPr="006B6D61">
              <w:rPr>
                <w:rFonts w:cstheme="minorHAnsi"/>
                <w:sz w:val="20"/>
                <w:szCs w:val="20"/>
              </w:rPr>
              <w:t>34 089</w:t>
            </w:r>
          </w:p>
        </w:tc>
        <w:tc>
          <w:tcPr>
            <w:tcW w:w="1195" w:type="dxa"/>
            <w:tcBorders>
              <w:top w:val="nil"/>
              <w:left w:val="nil"/>
              <w:bottom w:val="nil"/>
              <w:right w:val="single" w:sz="8" w:space="0" w:color="auto"/>
            </w:tcBorders>
            <w:tcMar>
              <w:top w:w="0" w:type="dxa"/>
              <w:left w:w="70" w:type="dxa"/>
              <w:bottom w:w="0" w:type="dxa"/>
              <w:right w:w="70" w:type="dxa"/>
            </w:tcMar>
            <w:vAlign w:val="center"/>
          </w:tcPr>
          <w:p w14:paraId="724158EC" w14:textId="2FC7833F" w:rsidR="00550671" w:rsidRPr="006B6D61" w:rsidRDefault="000A0CB2">
            <w:pPr>
              <w:spacing w:after="0" w:line="252" w:lineRule="auto"/>
              <w:jc w:val="right"/>
              <w:rPr>
                <w:rFonts w:eastAsia="Calibri" w:cstheme="minorHAnsi"/>
                <w:sz w:val="20"/>
                <w:szCs w:val="20"/>
              </w:rPr>
            </w:pPr>
            <w:r w:rsidRPr="006B6D61">
              <w:rPr>
                <w:rFonts w:cstheme="minorHAnsi"/>
                <w:sz w:val="20"/>
                <w:szCs w:val="20"/>
              </w:rPr>
              <w:t>36 257</w:t>
            </w:r>
          </w:p>
        </w:tc>
        <w:tc>
          <w:tcPr>
            <w:tcW w:w="1322" w:type="dxa"/>
            <w:tcBorders>
              <w:top w:val="nil"/>
              <w:left w:val="nil"/>
              <w:bottom w:val="nil"/>
              <w:right w:val="single" w:sz="8" w:space="0" w:color="auto"/>
            </w:tcBorders>
            <w:tcMar>
              <w:top w:w="0" w:type="dxa"/>
              <w:left w:w="70" w:type="dxa"/>
              <w:bottom w:w="0" w:type="dxa"/>
              <w:right w:w="70" w:type="dxa"/>
            </w:tcMar>
            <w:vAlign w:val="center"/>
          </w:tcPr>
          <w:p w14:paraId="4FFD3F28" w14:textId="1402C5C8" w:rsidR="00550671" w:rsidRPr="006B6D61" w:rsidRDefault="004669E7">
            <w:pPr>
              <w:spacing w:after="0" w:line="252" w:lineRule="auto"/>
              <w:jc w:val="right"/>
              <w:rPr>
                <w:rFonts w:eastAsia="Calibri" w:cstheme="minorHAnsi"/>
                <w:sz w:val="20"/>
                <w:szCs w:val="20"/>
              </w:rPr>
            </w:pPr>
            <w:r w:rsidRPr="006B6D61">
              <w:rPr>
                <w:rFonts w:cstheme="minorHAnsi"/>
                <w:sz w:val="20"/>
                <w:szCs w:val="20"/>
              </w:rPr>
              <w:t>35 428</w:t>
            </w:r>
          </w:p>
        </w:tc>
        <w:tc>
          <w:tcPr>
            <w:tcW w:w="1098" w:type="dxa"/>
            <w:tcBorders>
              <w:top w:val="nil"/>
              <w:left w:val="nil"/>
              <w:bottom w:val="nil"/>
              <w:right w:val="single" w:sz="8" w:space="0" w:color="auto"/>
            </w:tcBorders>
            <w:tcMar>
              <w:top w:w="0" w:type="dxa"/>
              <w:left w:w="70" w:type="dxa"/>
              <w:bottom w:w="0" w:type="dxa"/>
              <w:right w:w="70" w:type="dxa"/>
            </w:tcMar>
            <w:vAlign w:val="center"/>
          </w:tcPr>
          <w:p w14:paraId="416CD140" w14:textId="496A3E7B" w:rsidR="00550671" w:rsidRPr="006B6D61" w:rsidRDefault="00B97F61">
            <w:pPr>
              <w:spacing w:after="0" w:line="252" w:lineRule="auto"/>
              <w:jc w:val="right"/>
              <w:rPr>
                <w:rFonts w:eastAsia="Calibri" w:cstheme="minorHAnsi"/>
                <w:sz w:val="20"/>
                <w:szCs w:val="20"/>
              </w:rPr>
            </w:pPr>
            <w:r w:rsidRPr="006B6D61">
              <w:rPr>
                <w:rFonts w:eastAsia="Calibri" w:cstheme="minorHAnsi"/>
                <w:sz w:val="20"/>
                <w:szCs w:val="20"/>
              </w:rPr>
              <w:t>35 428</w:t>
            </w:r>
          </w:p>
        </w:tc>
        <w:tc>
          <w:tcPr>
            <w:tcW w:w="1154" w:type="dxa"/>
            <w:tcBorders>
              <w:top w:val="nil"/>
              <w:left w:val="nil"/>
              <w:bottom w:val="nil"/>
              <w:right w:val="single" w:sz="8" w:space="0" w:color="auto"/>
            </w:tcBorders>
            <w:tcMar>
              <w:top w:w="0" w:type="dxa"/>
              <w:left w:w="70" w:type="dxa"/>
              <w:bottom w:w="0" w:type="dxa"/>
              <w:right w:w="70" w:type="dxa"/>
            </w:tcMar>
            <w:vAlign w:val="center"/>
          </w:tcPr>
          <w:p w14:paraId="06A4576D" w14:textId="0BEBD0B3" w:rsidR="00550671" w:rsidRPr="006B6D61" w:rsidRDefault="00DF3CF5">
            <w:pPr>
              <w:spacing w:after="0" w:line="252" w:lineRule="auto"/>
              <w:jc w:val="right"/>
              <w:rPr>
                <w:rFonts w:eastAsia="Calibri" w:cstheme="minorHAnsi"/>
                <w:sz w:val="20"/>
                <w:szCs w:val="20"/>
              </w:rPr>
            </w:pPr>
            <w:r w:rsidRPr="006B6D61">
              <w:rPr>
                <w:rFonts w:cstheme="minorHAnsi"/>
                <w:sz w:val="20"/>
                <w:szCs w:val="20"/>
              </w:rPr>
              <w:t>35 179</w:t>
            </w:r>
          </w:p>
        </w:tc>
        <w:tc>
          <w:tcPr>
            <w:tcW w:w="820" w:type="dxa"/>
            <w:tcBorders>
              <w:top w:val="nil"/>
              <w:left w:val="nil"/>
              <w:bottom w:val="nil"/>
              <w:right w:val="single" w:sz="8" w:space="0" w:color="auto"/>
            </w:tcBorders>
            <w:tcMar>
              <w:top w:w="0" w:type="dxa"/>
              <w:left w:w="70" w:type="dxa"/>
              <w:bottom w:w="0" w:type="dxa"/>
              <w:right w:w="70" w:type="dxa"/>
            </w:tcMar>
            <w:vAlign w:val="center"/>
          </w:tcPr>
          <w:p w14:paraId="69BA9589" w14:textId="70B21899" w:rsidR="00550671" w:rsidRPr="006B6D61" w:rsidRDefault="007F4602">
            <w:pPr>
              <w:spacing w:after="0" w:line="252" w:lineRule="auto"/>
              <w:jc w:val="right"/>
              <w:rPr>
                <w:rFonts w:eastAsia="Calibri" w:cstheme="minorHAnsi"/>
                <w:sz w:val="20"/>
                <w:szCs w:val="20"/>
              </w:rPr>
            </w:pPr>
            <w:r w:rsidRPr="006B6D61">
              <w:rPr>
                <w:rFonts w:cstheme="minorHAnsi"/>
                <w:sz w:val="20"/>
                <w:szCs w:val="20"/>
              </w:rPr>
              <w:t>103,2</w:t>
            </w:r>
          </w:p>
        </w:tc>
      </w:tr>
      <w:tr w:rsidR="002F1BE7" w:rsidRPr="0044012B" w14:paraId="79923B39" w14:textId="77777777" w:rsidTr="003F0A7C">
        <w:trPr>
          <w:trHeight w:val="225"/>
          <w:tblHeader/>
        </w:trPr>
        <w:tc>
          <w:tcPr>
            <w:tcW w:w="2268" w:type="dxa"/>
            <w:tcBorders>
              <w:top w:val="nil"/>
              <w:left w:val="single" w:sz="8" w:space="0" w:color="auto"/>
              <w:bottom w:val="nil"/>
              <w:right w:val="single" w:sz="8" w:space="0" w:color="auto"/>
            </w:tcBorders>
            <w:tcMar>
              <w:top w:w="0" w:type="dxa"/>
              <w:left w:w="70" w:type="dxa"/>
              <w:bottom w:w="0" w:type="dxa"/>
              <w:right w:w="70" w:type="dxa"/>
            </w:tcMar>
          </w:tcPr>
          <w:p w14:paraId="2606D745" w14:textId="77777777" w:rsidR="00550671" w:rsidRPr="006B6D61" w:rsidRDefault="00550671" w:rsidP="001C5A32">
            <w:pPr>
              <w:spacing w:after="0" w:line="252" w:lineRule="auto"/>
              <w:rPr>
                <w:rFonts w:eastAsia="Calibri" w:cstheme="minorHAnsi"/>
                <w:sz w:val="20"/>
                <w:szCs w:val="20"/>
              </w:rPr>
            </w:pPr>
            <w:r w:rsidRPr="006B6D61">
              <w:rPr>
                <w:rFonts w:cstheme="minorHAnsi"/>
                <w:sz w:val="20"/>
                <w:szCs w:val="20"/>
              </w:rPr>
              <w:t>povinné pojistné placené zaměstnavatelem</w:t>
            </w:r>
          </w:p>
        </w:tc>
        <w:tc>
          <w:tcPr>
            <w:tcW w:w="1125" w:type="dxa"/>
            <w:tcBorders>
              <w:top w:val="nil"/>
              <w:left w:val="nil"/>
              <w:bottom w:val="nil"/>
              <w:right w:val="single" w:sz="8" w:space="0" w:color="auto"/>
            </w:tcBorders>
            <w:tcMar>
              <w:top w:w="0" w:type="dxa"/>
              <w:left w:w="70" w:type="dxa"/>
              <w:bottom w:w="0" w:type="dxa"/>
              <w:right w:w="70" w:type="dxa"/>
            </w:tcMar>
            <w:vAlign w:val="center"/>
          </w:tcPr>
          <w:p w14:paraId="6F7D3161" w14:textId="7B66A0E9" w:rsidR="00550671" w:rsidRPr="006B6D61" w:rsidRDefault="00FD643C">
            <w:pPr>
              <w:spacing w:after="0" w:line="252" w:lineRule="auto"/>
              <w:jc w:val="right"/>
              <w:rPr>
                <w:rFonts w:eastAsia="Calibri" w:cstheme="minorHAnsi"/>
                <w:sz w:val="20"/>
                <w:szCs w:val="20"/>
              </w:rPr>
            </w:pPr>
            <w:r w:rsidRPr="006B6D61">
              <w:rPr>
                <w:rFonts w:cstheme="minorHAnsi"/>
                <w:sz w:val="20"/>
                <w:szCs w:val="20"/>
              </w:rPr>
              <w:t>11 522</w:t>
            </w:r>
          </w:p>
        </w:tc>
        <w:tc>
          <w:tcPr>
            <w:tcW w:w="1195" w:type="dxa"/>
            <w:tcBorders>
              <w:top w:val="nil"/>
              <w:left w:val="nil"/>
              <w:bottom w:val="nil"/>
              <w:right w:val="single" w:sz="8" w:space="0" w:color="auto"/>
            </w:tcBorders>
            <w:tcMar>
              <w:top w:w="0" w:type="dxa"/>
              <w:left w:w="70" w:type="dxa"/>
              <w:bottom w:w="0" w:type="dxa"/>
              <w:right w:w="70" w:type="dxa"/>
            </w:tcMar>
            <w:vAlign w:val="center"/>
          </w:tcPr>
          <w:p w14:paraId="30DC42BC" w14:textId="2B380A40" w:rsidR="00550671" w:rsidRPr="006B6D61" w:rsidRDefault="005E7B96">
            <w:pPr>
              <w:spacing w:after="0" w:line="252" w:lineRule="auto"/>
              <w:jc w:val="right"/>
              <w:rPr>
                <w:rFonts w:eastAsia="Calibri" w:cstheme="minorHAnsi"/>
                <w:sz w:val="20"/>
                <w:szCs w:val="20"/>
              </w:rPr>
            </w:pPr>
            <w:r w:rsidRPr="006B6D61">
              <w:rPr>
                <w:rFonts w:cstheme="minorHAnsi"/>
                <w:sz w:val="20"/>
                <w:szCs w:val="20"/>
              </w:rPr>
              <w:t>12 255</w:t>
            </w:r>
          </w:p>
        </w:tc>
        <w:tc>
          <w:tcPr>
            <w:tcW w:w="1322" w:type="dxa"/>
            <w:tcBorders>
              <w:top w:val="nil"/>
              <w:left w:val="nil"/>
              <w:bottom w:val="nil"/>
              <w:right w:val="single" w:sz="8" w:space="0" w:color="auto"/>
            </w:tcBorders>
            <w:tcMar>
              <w:top w:w="0" w:type="dxa"/>
              <w:left w:w="70" w:type="dxa"/>
              <w:bottom w:w="0" w:type="dxa"/>
              <w:right w:w="70" w:type="dxa"/>
            </w:tcMar>
            <w:vAlign w:val="center"/>
          </w:tcPr>
          <w:p w14:paraId="0CF900BD" w14:textId="078DD700" w:rsidR="00550671" w:rsidRPr="006B6D61" w:rsidRDefault="00490BBC">
            <w:pPr>
              <w:spacing w:after="0" w:line="252" w:lineRule="auto"/>
              <w:jc w:val="right"/>
              <w:rPr>
                <w:rFonts w:eastAsia="Calibri" w:cstheme="minorHAnsi"/>
                <w:sz w:val="20"/>
                <w:szCs w:val="20"/>
              </w:rPr>
            </w:pPr>
            <w:r w:rsidRPr="006B6D61">
              <w:rPr>
                <w:rFonts w:cstheme="minorHAnsi"/>
                <w:sz w:val="20"/>
                <w:szCs w:val="20"/>
              </w:rPr>
              <w:t>11 975</w:t>
            </w:r>
          </w:p>
        </w:tc>
        <w:tc>
          <w:tcPr>
            <w:tcW w:w="1098" w:type="dxa"/>
            <w:tcBorders>
              <w:top w:val="nil"/>
              <w:left w:val="nil"/>
              <w:bottom w:val="nil"/>
              <w:right w:val="single" w:sz="8" w:space="0" w:color="auto"/>
            </w:tcBorders>
            <w:tcMar>
              <w:top w:w="0" w:type="dxa"/>
              <w:left w:w="70" w:type="dxa"/>
              <w:bottom w:w="0" w:type="dxa"/>
              <w:right w:w="70" w:type="dxa"/>
            </w:tcMar>
            <w:vAlign w:val="center"/>
          </w:tcPr>
          <w:p w14:paraId="479E0F5A" w14:textId="677DE21B" w:rsidR="00550671" w:rsidRPr="006B6D61" w:rsidRDefault="005E4D82">
            <w:pPr>
              <w:spacing w:after="0" w:line="252" w:lineRule="auto"/>
              <w:jc w:val="right"/>
              <w:rPr>
                <w:rFonts w:eastAsia="Calibri" w:cstheme="minorHAnsi"/>
                <w:sz w:val="20"/>
                <w:szCs w:val="20"/>
              </w:rPr>
            </w:pPr>
            <w:r w:rsidRPr="006B6D61">
              <w:rPr>
                <w:rFonts w:eastAsia="Calibri" w:cstheme="minorHAnsi"/>
                <w:sz w:val="20"/>
                <w:szCs w:val="20"/>
              </w:rPr>
              <w:t>11 975</w:t>
            </w:r>
          </w:p>
        </w:tc>
        <w:tc>
          <w:tcPr>
            <w:tcW w:w="1154" w:type="dxa"/>
            <w:tcBorders>
              <w:top w:val="nil"/>
              <w:left w:val="nil"/>
              <w:bottom w:val="nil"/>
              <w:right w:val="single" w:sz="8" w:space="0" w:color="auto"/>
            </w:tcBorders>
            <w:tcMar>
              <w:top w:w="0" w:type="dxa"/>
              <w:left w:w="70" w:type="dxa"/>
              <w:bottom w:w="0" w:type="dxa"/>
              <w:right w:w="70" w:type="dxa"/>
            </w:tcMar>
            <w:vAlign w:val="center"/>
          </w:tcPr>
          <w:p w14:paraId="15BFCE7C" w14:textId="63580E1B" w:rsidR="00550671" w:rsidRPr="006B6D61" w:rsidRDefault="00025FB0">
            <w:pPr>
              <w:spacing w:after="0" w:line="252" w:lineRule="auto"/>
              <w:jc w:val="right"/>
              <w:rPr>
                <w:rFonts w:eastAsia="Calibri" w:cstheme="minorHAnsi"/>
                <w:sz w:val="20"/>
                <w:szCs w:val="20"/>
              </w:rPr>
            </w:pPr>
            <w:r w:rsidRPr="006B6D61">
              <w:rPr>
                <w:rFonts w:cstheme="minorHAnsi"/>
                <w:sz w:val="20"/>
                <w:szCs w:val="20"/>
              </w:rPr>
              <w:t>11 891</w:t>
            </w:r>
          </w:p>
        </w:tc>
        <w:tc>
          <w:tcPr>
            <w:tcW w:w="820" w:type="dxa"/>
            <w:tcBorders>
              <w:top w:val="nil"/>
              <w:left w:val="nil"/>
              <w:bottom w:val="nil"/>
              <w:right w:val="single" w:sz="8" w:space="0" w:color="auto"/>
            </w:tcBorders>
            <w:tcMar>
              <w:top w:w="0" w:type="dxa"/>
              <w:left w:w="70" w:type="dxa"/>
              <w:bottom w:w="0" w:type="dxa"/>
              <w:right w:w="70" w:type="dxa"/>
            </w:tcMar>
            <w:vAlign w:val="center"/>
          </w:tcPr>
          <w:p w14:paraId="7A6115E7" w14:textId="44221C04" w:rsidR="00550671" w:rsidRPr="006B6D61" w:rsidRDefault="00674ABC">
            <w:pPr>
              <w:spacing w:after="0" w:line="252" w:lineRule="auto"/>
              <w:jc w:val="right"/>
              <w:rPr>
                <w:rFonts w:eastAsia="Calibri" w:cstheme="minorHAnsi"/>
                <w:sz w:val="20"/>
                <w:szCs w:val="20"/>
              </w:rPr>
            </w:pPr>
            <w:r w:rsidRPr="006B6D61">
              <w:rPr>
                <w:rFonts w:cstheme="minorHAnsi"/>
                <w:sz w:val="20"/>
                <w:szCs w:val="20"/>
              </w:rPr>
              <w:t>103,2</w:t>
            </w:r>
          </w:p>
        </w:tc>
      </w:tr>
      <w:tr w:rsidR="002F1BE7" w:rsidRPr="0044012B" w14:paraId="72FA58E4" w14:textId="77777777" w:rsidTr="003F0A7C">
        <w:trPr>
          <w:trHeight w:val="225"/>
          <w:tblHeader/>
        </w:trPr>
        <w:tc>
          <w:tcPr>
            <w:tcW w:w="2268" w:type="dxa"/>
            <w:tcBorders>
              <w:top w:val="nil"/>
              <w:left w:val="single" w:sz="8" w:space="0" w:color="auto"/>
              <w:bottom w:val="nil"/>
              <w:right w:val="single" w:sz="8" w:space="0" w:color="auto"/>
            </w:tcBorders>
            <w:tcMar>
              <w:top w:w="0" w:type="dxa"/>
              <w:left w:w="70" w:type="dxa"/>
              <w:bottom w:w="0" w:type="dxa"/>
              <w:right w:w="70" w:type="dxa"/>
            </w:tcMar>
          </w:tcPr>
          <w:p w14:paraId="71BEABBA" w14:textId="77777777" w:rsidR="00550671" w:rsidRPr="006B6D61" w:rsidRDefault="00550671" w:rsidP="001C5A32">
            <w:pPr>
              <w:spacing w:after="0" w:line="252" w:lineRule="auto"/>
              <w:rPr>
                <w:rFonts w:eastAsia="Calibri" w:cstheme="minorHAnsi"/>
                <w:sz w:val="20"/>
                <w:szCs w:val="20"/>
              </w:rPr>
            </w:pPr>
            <w:r w:rsidRPr="006B6D61">
              <w:rPr>
                <w:rFonts w:cstheme="minorHAnsi"/>
                <w:sz w:val="20"/>
                <w:szCs w:val="20"/>
              </w:rPr>
              <w:t>základní příděl FKSP</w:t>
            </w:r>
          </w:p>
        </w:tc>
        <w:tc>
          <w:tcPr>
            <w:tcW w:w="1125" w:type="dxa"/>
            <w:tcBorders>
              <w:top w:val="nil"/>
              <w:left w:val="nil"/>
              <w:bottom w:val="nil"/>
              <w:right w:val="single" w:sz="8" w:space="0" w:color="auto"/>
            </w:tcBorders>
            <w:tcMar>
              <w:top w:w="0" w:type="dxa"/>
              <w:left w:w="70" w:type="dxa"/>
              <w:bottom w:w="0" w:type="dxa"/>
              <w:right w:w="70" w:type="dxa"/>
            </w:tcMar>
            <w:vAlign w:val="center"/>
          </w:tcPr>
          <w:p w14:paraId="3ACF04EB" w14:textId="6B99A91B" w:rsidR="00550671" w:rsidRPr="006B6D61" w:rsidRDefault="00FD643C">
            <w:pPr>
              <w:spacing w:after="0" w:line="252" w:lineRule="auto"/>
              <w:jc w:val="right"/>
              <w:rPr>
                <w:rFonts w:eastAsia="Calibri" w:cstheme="minorHAnsi"/>
                <w:sz w:val="20"/>
                <w:szCs w:val="20"/>
              </w:rPr>
            </w:pPr>
            <w:r w:rsidRPr="006B6D61">
              <w:rPr>
                <w:rFonts w:cstheme="minorHAnsi"/>
                <w:sz w:val="20"/>
                <w:szCs w:val="20"/>
              </w:rPr>
              <w:t>668</w:t>
            </w:r>
          </w:p>
        </w:tc>
        <w:tc>
          <w:tcPr>
            <w:tcW w:w="1195" w:type="dxa"/>
            <w:tcBorders>
              <w:top w:val="nil"/>
              <w:left w:val="nil"/>
              <w:bottom w:val="nil"/>
              <w:right w:val="single" w:sz="8" w:space="0" w:color="auto"/>
            </w:tcBorders>
            <w:tcMar>
              <w:top w:w="0" w:type="dxa"/>
              <w:left w:w="70" w:type="dxa"/>
              <w:bottom w:w="0" w:type="dxa"/>
              <w:right w:w="70" w:type="dxa"/>
            </w:tcMar>
            <w:vAlign w:val="center"/>
          </w:tcPr>
          <w:p w14:paraId="32FC7913" w14:textId="00F960FB" w:rsidR="00550671" w:rsidRPr="006B6D61" w:rsidRDefault="002B1046">
            <w:pPr>
              <w:spacing w:after="0" w:line="252" w:lineRule="auto"/>
              <w:jc w:val="right"/>
              <w:rPr>
                <w:rFonts w:eastAsia="Calibri" w:cstheme="minorHAnsi"/>
                <w:sz w:val="20"/>
                <w:szCs w:val="20"/>
              </w:rPr>
            </w:pPr>
            <w:r w:rsidRPr="006B6D61">
              <w:rPr>
                <w:rFonts w:cstheme="minorHAnsi"/>
                <w:sz w:val="20"/>
                <w:szCs w:val="20"/>
              </w:rPr>
              <w:t>696</w:t>
            </w:r>
          </w:p>
        </w:tc>
        <w:tc>
          <w:tcPr>
            <w:tcW w:w="1322" w:type="dxa"/>
            <w:tcBorders>
              <w:top w:val="nil"/>
              <w:left w:val="nil"/>
              <w:bottom w:val="nil"/>
              <w:right w:val="single" w:sz="8" w:space="0" w:color="auto"/>
            </w:tcBorders>
            <w:tcMar>
              <w:top w:w="0" w:type="dxa"/>
              <w:left w:w="70" w:type="dxa"/>
              <w:bottom w:w="0" w:type="dxa"/>
              <w:right w:w="70" w:type="dxa"/>
            </w:tcMar>
            <w:vAlign w:val="center"/>
          </w:tcPr>
          <w:p w14:paraId="1ABD8F3E" w14:textId="7A0A2D82" w:rsidR="00550671" w:rsidRPr="006B6D61" w:rsidRDefault="008260AF">
            <w:pPr>
              <w:spacing w:after="0" w:line="252" w:lineRule="auto"/>
              <w:jc w:val="right"/>
              <w:rPr>
                <w:rFonts w:eastAsia="Calibri" w:cstheme="minorHAnsi"/>
                <w:sz w:val="20"/>
                <w:szCs w:val="20"/>
              </w:rPr>
            </w:pPr>
            <w:r w:rsidRPr="006B6D61">
              <w:rPr>
                <w:rFonts w:cstheme="minorHAnsi"/>
                <w:sz w:val="20"/>
                <w:szCs w:val="20"/>
              </w:rPr>
              <w:t>680</w:t>
            </w:r>
          </w:p>
        </w:tc>
        <w:tc>
          <w:tcPr>
            <w:tcW w:w="1098" w:type="dxa"/>
            <w:tcBorders>
              <w:top w:val="nil"/>
              <w:left w:val="nil"/>
              <w:bottom w:val="nil"/>
              <w:right w:val="single" w:sz="8" w:space="0" w:color="auto"/>
            </w:tcBorders>
            <w:tcMar>
              <w:top w:w="0" w:type="dxa"/>
              <w:left w:w="70" w:type="dxa"/>
              <w:bottom w:w="0" w:type="dxa"/>
              <w:right w:w="70" w:type="dxa"/>
            </w:tcMar>
            <w:vAlign w:val="center"/>
          </w:tcPr>
          <w:p w14:paraId="752CFFFB" w14:textId="7380DA7F" w:rsidR="00550671" w:rsidRPr="006B6D61" w:rsidRDefault="008260AF">
            <w:pPr>
              <w:spacing w:after="0" w:line="252" w:lineRule="auto"/>
              <w:jc w:val="right"/>
              <w:rPr>
                <w:rFonts w:eastAsia="Calibri" w:cstheme="minorHAnsi"/>
                <w:sz w:val="20"/>
                <w:szCs w:val="20"/>
              </w:rPr>
            </w:pPr>
            <w:r w:rsidRPr="006B6D61">
              <w:rPr>
                <w:rFonts w:eastAsia="Calibri" w:cstheme="minorHAnsi"/>
                <w:sz w:val="20"/>
                <w:szCs w:val="20"/>
              </w:rPr>
              <w:t>680</w:t>
            </w:r>
          </w:p>
        </w:tc>
        <w:tc>
          <w:tcPr>
            <w:tcW w:w="1154" w:type="dxa"/>
            <w:tcBorders>
              <w:top w:val="nil"/>
              <w:left w:val="nil"/>
              <w:bottom w:val="nil"/>
              <w:right w:val="single" w:sz="8" w:space="0" w:color="auto"/>
            </w:tcBorders>
            <w:tcMar>
              <w:top w:w="0" w:type="dxa"/>
              <w:left w:w="70" w:type="dxa"/>
              <w:bottom w:w="0" w:type="dxa"/>
              <w:right w:w="70" w:type="dxa"/>
            </w:tcMar>
            <w:vAlign w:val="center"/>
          </w:tcPr>
          <w:p w14:paraId="5A6544CE" w14:textId="314B32B3" w:rsidR="00550671" w:rsidRPr="006B6D61" w:rsidRDefault="00113CAA">
            <w:pPr>
              <w:spacing w:after="0" w:line="252" w:lineRule="auto"/>
              <w:jc w:val="right"/>
              <w:rPr>
                <w:rFonts w:eastAsia="Calibri" w:cstheme="minorHAnsi"/>
                <w:sz w:val="20"/>
                <w:szCs w:val="20"/>
              </w:rPr>
            </w:pPr>
            <w:r w:rsidRPr="006B6D61">
              <w:rPr>
                <w:rFonts w:cstheme="minorHAnsi"/>
                <w:sz w:val="20"/>
                <w:szCs w:val="20"/>
              </w:rPr>
              <w:t>680</w:t>
            </w:r>
          </w:p>
        </w:tc>
        <w:tc>
          <w:tcPr>
            <w:tcW w:w="820" w:type="dxa"/>
            <w:tcBorders>
              <w:top w:val="nil"/>
              <w:left w:val="nil"/>
              <w:bottom w:val="nil"/>
              <w:right w:val="single" w:sz="8" w:space="0" w:color="auto"/>
            </w:tcBorders>
            <w:tcMar>
              <w:top w:w="0" w:type="dxa"/>
              <w:left w:w="70" w:type="dxa"/>
              <w:bottom w:w="0" w:type="dxa"/>
              <w:right w:w="70" w:type="dxa"/>
            </w:tcMar>
            <w:vAlign w:val="center"/>
          </w:tcPr>
          <w:p w14:paraId="7A0D8027" w14:textId="2CE4BA8C" w:rsidR="00550671" w:rsidRPr="006B6D61" w:rsidRDefault="00914779">
            <w:pPr>
              <w:spacing w:after="0" w:line="252" w:lineRule="auto"/>
              <w:jc w:val="right"/>
              <w:rPr>
                <w:rFonts w:eastAsia="Calibri" w:cstheme="minorHAnsi"/>
                <w:sz w:val="20"/>
                <w:szCs w:val="20"/>
              </w:rPr>
            </w:pPr>
            <w:r w:rsidRPr="006B6D61">
              <w:rPr>
                <w:rFonts w:cstheme="minorHAnsi"/>
                <w:sz w:val="20"/>
                <w:szCs w:val="20"/>
              </w:rPr>
              <w:t>101,8</w:t>
            </w:r>
          </w:p>
        </w:tc>
      </w:tr>
      <w:tr w:rsidR="002F1BE7" w:rsidRPr="0044012B" w14:paraId="04E618ED" w14:textId="77777777" w:rsidTr="001C5A32">
        <w:trPr>
          <w:trHeight w:val="225"/>
          <w:tblHeader/>
        </w:trPr>
        <w:tc>
          <w:tcPr>
            <w:tcW w:w="2268" w:type="dxa"/>
            <w:tcBorders>
              <w:top w:val="nil"/>
              <w:left w:val="single" w:sz="8" w:space="0" w:color="auto"/>
              <w:bottom w:val="single" w:sz="4" w:space="0" w:color="auto"/>
              <w:right w:val="single" w:sz="8" w:space="0" w:color="auto"/>
            </w:tcBorders>
            <w:tcMar>
              <w:top w:w="0" w:type="dxa"/>
              <w:left w:w="70" w:type="dxa"/>
              <w:bottom w:w="0" w:type="dxa"/>
              <w:right w:w="70" w:type="dxa"/>
            </w:tcMar>
          </w:tcPr>
          <w:p w14:paraId="07F86CFD" w14:textId="1AE35490" w:rsidR="006D4475" w:rsidRPr="006B6D61" w:rsidRDefault="006D4475" w:rsidP="001C5A32">
            <w:pPr>
              <w:spacing w:after="0" w:line="252" w:lineRule="auto"/>
              <w:rPr>
                <w:rFonts w:eastAsia="Calibri" w:cstheme="minorHAnsi"/>
                <w:sz w:val="20"/>
                <w:szCs w:val="20"/>
              </w:rPr>
            </w:pPr>
            <w:r w:rsidRPr="006B6D61">
              <w:rPr>
                <w:rFonts w:cstheme="minorHAnsi"/>
                <w:sz w:val="20"/>
                <w:szCs w:val="20"/>
              </w:rPr>
              <w:t xml:space="preserve"> RISPF </w:t>
            </w:r>
          </w:p>
        </w:tc>
        <w:tc>
          <w:tcPr>
            <w:tcW w:w="1125" w:type="dxa"/>
            <w:tcBorders>
              <w:top w:val="nil"/>
              <w:left w:val="nil"/>
              <w:bottom w:val="single" w:sz="4" w:space="0" w:color="auto"/>
              <w:right w:val="single" w:sz="8" w:space="0" w:color="auto"/>
            </w:tcBorders>
            <w:tcMar>
              <w:top w:w="0" w:type="dxa"/>
              <w:left w:w="70" w:type="dxa"/>
              <w:bottom w:w="0" w:type="dxa"/>
              <w:right w:w="70" w:type="dxa"/>
            </w:tcMar>
            <w:vAlign w:val="center"/>
          </w:tcPr>
          <w:p w14:paraId="6079E23A" w14:textId="5DD54534" w:rsidR="006D4475" w:rsidRPr="006B6D61" w:rsidRDefault="00FD643C">
            <w:pPr>
              <w:spacing w:after="0" w:line="252" w:lineRule="auto"/>
              <w:jc w:val="right"/>
              <w:rPr>
                <w:rFonts w:eastAsia="Calibri" w:cstheme="minorHAnsi"/>
                <w:sz w:val="20"/>
                <w:szCs w:val="20"/>
              </w:rPr>
            </w:pPr>
            <w:r w:rsidRPr="006B6D61">
              <w:rPr>
                <w:rFonts w:cstheme="minorHAnsi"/>
                <w:sz w:val="20"/>
                <w:szCs w:val="20"/>
              </w:rPr>
              <w:t>0</w:t>
            </w:r>
          </w:p>
        </w:tc>
        <w:tc>
          <w:tcPr>
            <w:tcW w:w="1195" w:type="dxa"/>
            <w:tcBorders>
              <w:top w:val="nil"/>
              <w:left w:val="nil"/>
              <w:bottom w:val="single" w:sz="4" w:space="0" w:color="auto"/>
              <w:right w:val="single" w:sz="8" w:space="0" w:color="auto"/>
            </w:tcBorders>
            <w:tcMar>
              <w:top w:w="0" w:type="dxa"/>
              <w:left w:w="70" w:type="dxa"/>
              <w:bottom w:w="0" w:type="dxa"/>
              <w:right w:w="70" w:type="dxa"/>
            </w:tcMar>
            <w:vAlign w:val="center"/>
          </w:tcPr>
          <w:p w14:paraId="3EE8AD60" w14:textId="77777777" w:rsidR="006D4475" w:rsidRPr="006B6D61" w:rsidRDefault="006D4475">
            <w:pPr>
              <w:spacing w:after="0" w:line="252" w:lineRule="auto"/>
              <w:jc w:val="right"/>
              <w:rPr>
                <w:rFonts w:eastAsia="Calibri" w:cstheme="minorHAnsi"/>
                <w:sz w:val="20"/>
                <w:szCs w:val="20"/>
              </w:rPr>
            </w:pPr>
            <w:r w:rsidRPr="006B6D61">
              <w:rPr>
                <w:rFonts w:cstheme="minorHAnsi"/>
                <w:sz w:val="20"/>
                <w:szCs w:val="20"/>
              </w:rPr>
              <w:t>0</w:t>
            </w:r>
          </w:p>
        </w:tc>
        <w:tc>
          <w:tcPr>
            <w:tcW w:w="1322" w:type="dxa"/>
            <w:tcBorders>
              <w:top w:val="nil"/>
              <w:left w:val="nil"/>
              <w:bottom w:val="single" w:sz="4" w:space="0" w:color="auto"/>
              <w:right w:val="single" w:sz="8" w:space="0" w:color="auto"/>
            </w:tcBorders>
            <w:tcMar>
              <w:top w:w="0" w:type="dxa"/>
              <w:left w:w="70" w:type="dxa"/>
              <w:bottom w:w="0" w:type="dxa"/>
              <w:right w:w="70" w:type="dxa"/>
            </w:tcMar>
            <w:vAlign w:val="center"/>
          </w:tcPr>
          <w:p w14:paraId="7F5021B3" w14:textId="77777777" w:rsidR="006D4475" w:rsidRPr="006B6D61" w:rsidRDefault="006D4475">
            <w:pPr>
              <w:spacing w:after="0" w:line="252" w:lineRule="auto"/>
              <w:jc w:val="right"/>
              <w:rPr>
                <w:rFonts w:eastAsia="Calibri" w:cstheme="minorHAnsi"/>
                <w:sz w:val="20"/>
                <w:szCs w:val="20"/>
              </w:rPr>
            </w:pPr>
            <w:r w:rsidRPr="006B6D61">
              <w:rPr>
                <w:rFonts w:cstheme="minorHAnsi"/>
                <w:sz w:val="20"/>
                <w:szCs w:val="20"/>
              </w:rPr>
              <w:t>0</w:t>
            </w:r>
          </w:p>
        </w:tc>
        <w:tc>
          <w:tcPr>
            <w:tcW w:w="1098" w:type="dxa"/>
            <w:tcBorders>
              <w:top w:val="nil"/>
              <w:left w:val="nil"/>
              <w:bottom w:val="single" w:sz="4" w:space="0" w:color="auto"/>
              <w:right w:val="single" w:sz="8" w:space="0" w:color="auto"/>
            </w:tcBorders>
            <w:tcMar>
              <w:top w:w="0" w:type="dxa"/>
              <w:left w:w="70" w:type="dxa"/>
              <w:bottom w:w="0" w:type="dxa"/>
              <w:right w:w="70" w:type="dxa"/>
            </w:tcMar>
            <w:vAlign w:val="center"/>
          </w:tcPr>
          <w:p w14:paraId="4029CA76" w14:textId="77777777" w:rsidR="006D4475" w:rsidRPr="006B6D61" w:rsidRDefault="006D4475">
            <w:pPr>
              <w:spacing w:after="0" w:line="252" w:lineRule="auto"/>
              <w:jc w:val="right"/>
              <w:rPr>
                <w:rFonts w:eastAsia="Calibri" w:cstheme="minorHAnsi"/>
                <w:sz w:val="20"/>
                <w:szCs w:val="20"/>
              </w:rPr>
            </w:pPr>
            <w:r w:rsidRPr="006B6D61">
              <w:rPr>
                <w:rFonts w:eastAsia="Calibri" w:cstheme="minorHAnsi"/>
                <w:sz w:val="20"/>
                <w:szCs w:val="20"/>
              </w:rPr>
              <w:t>0</w:t>
            </w:r>
          </w:p>
        </w:tc>
        <w:tc>
          <w:tcPr>
            <w:tcW w:w="1154" w:type="dxa"/>
            <w:tcBorders>
              <w:top w:val="nil"/>
              <w:left w:val="nil"/>
              <w:bottom w:val="single" w:sz="4" w:space="0" w:color="auto"/>
              <w:right w:val="single" w:sz="8" w:space="0" w:color="auto"/>
            </w:tcBorders>
            <w:tcMar>
              <w:top w:w="0" w:type="dxa"/>
              <w:left w:w="70" w:type="dxa"/>
              <w:bottom w:w="0" w:type="dxa"/>
              <w:right w:w="70" w:type="dxa"/>
            </w:tcMar>
            <w:vAlign w:val="center"/>
          </w:tcPr>
          <w:p w14:paraId="1E48E337" w14:textId="77777777" w:rsidR="006D4475" w:rsidRPr="006B6D61" w:rsidRDefault="006D4475">
            <w:pPr>
              <w:spacing w:after="0" w:line="252" w:lineRule="auto"/>
              <w:jc w:val="right"/>
              <w:rPr>
                <w:rFonts w:eastAsia="Calibri" w:cstheme="minorHAnsi"/>
                <w:sz w:val="20"/>
                <w:szCs w:val="20"/>
              </w:rPr>
            </w:pPr>
            <w:r w:rsidRPr="006B6D61">
              <w:rPr>
                <w:rFonts w:cstheme="minorHAnsi"/>
                <w:sz w:val="20"/>
                <w:szCs w:val="20"/>
              </w:rPr>
              <w:t>0</w:t>
            </w:r>
          </w:p>
        </w:tc>
        <w:tc>
          <w:tcPr>
            <w:tcW w:w="820" w:type="dxa"/>
            <w:tcBorders>
              <w:top w:val="nil"/>
              <w:left w:val="nil"/>
              <w:bottom w:val="single" w:sz="4" w:space="0" w:color="auto"/>
              <w:right w:val="single" w:sz="8" w:space="0" w:color="auto"/>
            </w:tcBorders>
            <w:tcMar>
              <w:top w:w="0" w:type="dxa"/>
              <w:left w:w="70" w:type="dxa"/>
              <w:bottom w:w="0" w:type="dxa"/>
              <w:right w:w="70" w:type="dxa"/>
            </w:tcMar>
            <w:vAlign w:val="center"/>
          </w:tcPr>
          <w:p w14:paraId="6D41805B" w14:textId="59CCCC82" w:rsidR="006D4475" w:rsidRPr="006B6D61" w:rsidRDefault="00AC5F0F">
            <w:pPr>
              <w:spacing w:after="0" w:line="252" w:lineRule="auto"/>
              <w:jc w:val="right"/>
              <w:rPr>
                <w:rFonts w:eastAsia="Calibri" w:cstheme="minorHAnsi"/>
                <w:sz w:val="20"/>
                <w:szCs w:val="20"/>
              </w:rPr>
            </w:pPr>
            <w:r>
              <w:rPr>
                <w:rFonts w:cstheme="minorHAnsi"/>
                <w:sz w:val="20"/>
                <w:szCs w:val="20"/>
              </w:rPr>
              <w:t>x</w:t>
            </w:r>
          </w:p>
        </w:tc>
      </w:tr>
      <w:tr w:rsidR="002F1BE7" w:rsidRPr="0044012B" w14:paraId="072E7C75" w14:textId="77777777" w:rsidTr="001C5A32">
        <w:trPr>
          <w:trHeight w:val="314"/>
          <w:tblHeader/>
        </w:trPr>
        <w:tc>
          <w:tcPr>
            <w:tcW w:w="2268" w:type="dxa"/>
            <w:tcBorders>
              <w:top w:val="single" w:sz="4" w:space="0" w:color="auto"/>
              <w:left w:val="single" w:sz="8" w:space="0" w:color="auto"/>
              <w:bottom w:val="nil"/>
              <w:right w:val="single" w:sz="8" w:space="0" w:color="auto"/>
            </w:tcBorders>
            <w:tcMar>
              <w:top w:w="0" w:type="dxa"/>
              <w:left w:w="70" w:type="dxa"/>
              <w:bottom w:w="0" w:type="dxa"/>
              <w:right w:w="70" w:type="dxa"/>
            </w:tcMar>
            <w:hideMark/>
          </w:tcPr>
          <w:p w14:paraId="1B82B08B" w14:textId="62F414DB" w:rsidR="006D4475" w:rsidRPr="006B6D61" w:rsidRDefault="00550671" w:rsidP="003F0A7C">
            <w:pPr>
              <w:spacing w:before="40" w:after="40" w:line="252" w:lineRule="auto"/>
              <w:rPr>
                <w:rFonts w:eastAsia="Calibri" w:cstheme="minorHAnsi"/>
                <w:b/>
                <w:bCs/>
                <w:sz w:val="20"/>
                <w:szCs w:val="20"/>
              </w:rPr>
            </w:pPr>
            <w:r w:rsidRPr="006B6D61">
              <w:rPr>
                <w:rFonts w:eastAsia="Calibri" w:cstheme="minorHAnsi"/>
                <w:b/>
                <w:bCs/>
                <w:sz w:val="20"/>
                <w:szCs w:val="20"/>
              </w:rPr>
              <w:t>Investiční transfer</w:t>
            </w:r>
            <w:r w:rsidR="00C92EEE" w:rsidRPr="006B6D61">
              <w:rPr>
                <w:rFonts w:eastAsia="Calibri" w:cstheme="minorHAnsi"/>
                <w:b/>
                <w:bCs/>
                <w:sz w:val="20"/>
                <w:szCs w:val="20"/>
              </w:rPr>
              <w:t xml:space="preserve"> v tom:</w:t>
            </w:r>
          </w:p>
        </w:tc>
        <w:tc>
          <w:tcPr>
            <w:tcW w:w="1125" w:type="dxa"/>
            <w:tcBorders>
              <w:top w:val="single" w:sz="4" w:space="0" w:color="auto"/>
              <w:left w:val="nil"/>
              <w:bottom w:val="nil"/>
              <w:right w:val="single" w:sz="8" w:space="0" w:color="auto"/>
            </w:tcBorders>
            <w:tcMar>
              <w:top w:w="0" w:type="dxa"/>
              <w:left w:w="70" w:type="dxa"/>
              <w:bottom w:w="0" w:type="dxa"/>
              <w:right w:w="70" w:type="dxa"/>
            </w:tcMar>
            <w:vAlign w:val="center"/>
            <w:hideMark/>
          </w:tcPr>
          <w:p w14:paraId="7FBB72F3" w14:textId="20CE714B" w:rsidR="006D4475" w:rsidRPr="006B6D61" w:rsidRDefault="008E523F">
            <w:pPr>
              <w:spacing w:before="40" w:after="40" w:line="252" w:lineRule="auto"/>
              <w:jc w:val="right"/>
              <w:rPr>
                <w:rFonts w:eastAsia="Calibri" w:cstheme="minorHAnsi"/>
                <w:b/>
                <w:bCs/>
                <w:sz w:val="20"/>
                <w:szCs w:val="20"/>
              </w:rPr>
            </w:pPr>
            <w:r w:rsidRPr="006B6D61">
              <w:rPr>
                <w:rFonts w:eastAsia="Calibri" w:cstheme="minorHAnsi"/>
                <w:b/>
                <w:bCs/>
                <w:sz w:val="20"/>
                <w:szCs w:val="20"/>
              </w:rPr>
              <w:t>4 675</w:t>
            </w:r>
          </w:p>
        </w:tc>
        <w:tc>
          <w:tcPr>
            <w:tcW w:w="1195" w:type="dxa"/>
            <w:tcBorders>
              <w:top w:val="single" w:sz="4" w:space="0" w:color="auto"/>
              <w:left w:val="nil"/>
              <w:bottom w:val="nil"/>
              <w:right w:val="single" w:sz="8" w:space="0" w:color="auto"/>
            </w:tcBorders>
            <w:tcMar>
              <w:top w:w="0" w:type="dxa"/>
              <w:left w:w="70" w:type="dxa"/>
              <w:bottom w:w="0" w:type="dxa"/>
              <w:right w:w="70" w:type="dxa"/>
            </w:tcMar>
            <w:vAlign w:val="center"/>
            <w:hideMark/>
          </w:tcPr>
          <w:p w14:paraId="5535C5CB" w14:textId="020824F8" w:rsidR="006D4475" w:rsidRPr="006B6D61" w:rsidRDefault="001B72A9">
            <w:pPr>
              <w:spacing w:before="40" w:after="40" w:line="252" w:lineRule="auto"/>
              <w:jc w:val="right"/>
              <w:rPr>
                <w:rFonts w:eastAsia="Calibri" w:cstheme="minorHAnsi"/>
                <w:b/>
                <w:bCs/>
                <w:sz w:val="20"/>
                <w:szCs w:val="20"/>
              </w:rPr>
            </w:pPr>
            <w:r w:rsidRPr="006B6D61">
              <w:rPr>
                <w:rFonts w:eastAsia="Calibri" w:cstheme="minorHAnsi"/>
                <w:b/>
                <w:bCs/>
                <w:sz w:val="20"/>
                <w:szCs w:val="20"/>
              </w:rPr>
              <w:t>0</w:t>
            </w:r>
          </w:p>
        </w:tc>
        <w:tc>
          <w:tcPr>
            <w:tcW w:w="1322" w:type="dxa"/>
            <w:tcBorders>
              <w:top w:val="single" w:sz="4" w:space="0" w:color="auto"/>
              <w:left w:val="nil"/>
              <w:bottom w:val="nil"/>
              <w:right w:val="single" w:sz="8" w:space="0" w:color="auto"/>
            </w:tcBorders>
            <w:tcMar>
              <w:top w:w="0" w:type="dxa"/>
              <w:left w:w="70" w:type="dxa"/>
              <w:bottom w:w="0" w:type="dxa"/>
              <w:right w:w="70" w:type="dxa"/>
            </w:tcMar>
            <w:vAlign w:val="center"/>
            <w:hideMark/>
          </w:tcPr>
          <w:p w14:paraId="0AF1DDC8" w14:textId="2ADD0A76" w:rsidR="006D4475" w:rsidRPr="006B6D61" w:rsidRDefault="00AC5F0F">
            <w:pPr>
              <w:spacing w:before="40" w:after="40" w:line="252" w:lineRule="auto"/>
              <w:jc w:val="right"/>
              <w:rPr>
                <w:rFonts w:eastAsia="Calibri" w:cstheme="minorHAnsi"/>
                <w:b/>
                <w:bCs/>
                <w:sz w:val="20"/>
                <w:szCs w:val="20"/>
              </w:rPr>
            </w:pPr>
            <w:r w:rsidRPr="006B6D61">
              <w:rPr>
                <w:rFonts w:eastAsia="Calibri" w:cstheme="minorHAnsi"/>
                <w:b/>
                <w:bCs/>
                <w:sz w:val="20"/>
                <w:szCs w:val="20"/>
              </w:rPr>
              <w:t>0</w:t>
            </w:r>
          </w:p>
        </w:tc>
        <w:tc>
          <w:tcPr>
            <w:tcW w:w="1098" w:type="dxa"/>
            <w:tcBorders>
              <w:top w:val="single" w:sz="4" w:space="0" w:color="auto"/>
              <w:left w:val="nil"/>
              <w:bottom w:val="nil"/>
              <w:right w:val="single" w:sz="8" w:space="0" w:color="auto"/>
            </w:tcBorders>
            <w:tcMar>
              <w:top w:w="0" w:type="dxa"/>
              <w:left w:w="70" w:type="dxa"/>
              <w:bottom w:w="0" w:type="dxa"/>
              <w:right w:w="70" w:type="dxa"/>
            </w:tcMar>
            <w:vAlign w:val="center"/>
            <w:hideMark/>
          </w:tcPr>
          <w:p w14:paraId="7BD5FDBF" w14:textId="7CE71DE4" w:rsidR="006D4475" w:rsidRPr="006B6D61" w:rsidRDefault="00877B22">
            <w:pPr>
              <w:spacing w:before="40" w:after="40" w:line="252" w:lineRule="auto"/>
              <w:jc w:val="right"/>
              <w:rPr>
                <w:rFonts w:eastAsia="Calibri" w:cstheme="minorHAnsi"/>
                <w:b/>
                <w:bCs/>
                <w:sz w:val="20"/>
                <w:szCs w:val="20"/>
              </w:rPr>
            </w:pPr>
            <w:r w:rsidRPr="006B6D61">
              <w:rPr>
                <w:rFonts w:eastAsia="Calibri" w:cstheme="minorHAnsi"/>
                <w:b/>
                <w:bCs/>
                <w:sz w:val="20"/>
                <w:szCs w:val="20"/>
              </w:rPr>
              <w:t>4 727</w:t>
            </w:r>
          </w:p>
        </w:tc>
        <w:tc>
          <w:tcPr>
            <w:tcW w:w="1154" w:type="dxa"/>
            <w:tcBorders>
              <w:top w:val="single" w:sz="4" w:space="0" w:color="auto"/>
              <w:left w:val="nil"/>
              <w:bottom w:val="nil"/>
              <w:right w:val="single" w:sz="8" w:space="0" w:color="auto"/>
            </w:tcBorders>
            <w:tcMar>
              <w:top w:w="0" w:type="dxa"/>
              <w:left w:w="70" w:type="dxa"/>
              <w:bottom w:w="0" w:type="dxa"/>
              <w:right w:w="70" w:type="dxa"/>
            </w:tcMar>
            <w:vAlign w:val="center"/>
            <w:hideMark/>
          </w:tcPr>
          <w:p w14:paraId="5B747C26" w14:textId="4972A98A" w:rsidR="006D4475" w:rsidRPr="006B6D61" w:rsidRDefault="007F3D81">
            <w:pPr>
              <w:spacing w:before="40" w:after="40" w:line="252" w:lineRule="auto"/>
              <w:jc w:val="right"/>
              <w:rPr>
                <w:rFonts w:eastAsia="Calibri" w:cstheme="minorHAnsi"/>
                <w:b/>
                <w:bCs/>
                <w:sz w:val="20"/>
                <w:szCs w:val="20"/>
              </w:rPr>
            </w:pPr>
            <w:r w:rsidRPr="006B6D61">
              <w:rPr>
                <w:rFonts w:eastAsia="Calibri" w:cstheme="minorHAnsi"/>
                <w:b/>
                <w:bCs/>
                <w:sz w:val="20"/>
                <w:szCs w:val="20"/>
              </w:rPr>
              <w:t>4 727</w:t>
            </w:r>
          </w:p>
        </w:tc>
        <w:tc>
          <w:tcPr>
            <w:tcW w:w="820" w:type="dxa"/>
            <w:tcBorders>
              <w:top w:val="single" w:sz="4" w:space="0" w:color="auto"/>
              <w:left w:val="nil"/>
              <w:bottom w:val="nil"/>
              <w:right w:val="single" w:sz="8" w:space="0" w:color="auto"/>
            </w:tcBorders>
            <w:tcMar>
              <w:top w:w="0" w:type="dxa"/>
              <w:left w:w="70" w:type="dxa"/>
              <w:bottom w:w="0" w:type="dxa"/>
              <w:right w:w="70" w:type="dxa"/>
            </w:tcMar>
            <w:vAlign w:val="center"/>
          </w:tcPr>
          <w:p w14:paraId="1ECBB013" w14:textId="4EDEFAC2" w:rsidR="006D4475" w:rsidRPr="006B6D61" w:rsidRDefault="007B7963">
            <w:pPr>
              <w:spacing w:before="40" w:after="40" w:line="252" w:lineRule="auto"/>
              <w:jc w:val="right"/>
              <w:rPr>
                <w:rFonts w:eastAsia="Calibri" w:cstheme="minorHAnsi"/>
                <w:b/>
                <w:bCs/>
                <w:sz w:val="20"/>
                <w:szCs w:val="20"/>
              </w:rPr>
            </w:pPr>
            <w:r w:rsidRPr="006B6D61">
              <w:rPr>
                <w:rFonts w:eastAsia="Calibri" w:cstheme="minorHAnsi"/>
                <w:b/>
                <w:bCs/>
                <w:sz w:val="20"/>
                <w:szCs w:val="20"/>
              </w:rPr>
              <w:t>101,1</w:t>
            </w:r>
          </w:p>
        </w:tc>
      </w:tr>
      <w:tr w:rsidR="002F1BE7" w:rsidRPr="0044012B" w14:paraId="46EF92BF" w14:textId="77777777" w:rsidTr="003F0A7C">
        <w:trPr>
          <w:trHeight w:val="225"/>
          <w:tblHeader/>
        </w:trPr>
        <w:tc>
          <w:tcPr>
            <w:tcW w:w="226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D6946C9" w14:textId="48D0EFFF" w:rsidR="006D4475" w:rsidRPr="006B6D61" w:rsidRDefault="006D4475" w:rsidP="00CE2892">
            <w:pPr>
              <w:spacing w:after="0" w:line="252" w:lineRule="auto"/>
              <w:ind w:hanging="4"/>
              <w:jc w:val="both"/>
              <w:rPr>
                <w:rFonts w:eastAsia="Calibri" w:cstheme="minorHAnsi"/>
                <w:sz w:val="20"/>
                <w:szCs w:val="20"/>
              </w:rPr>
            </w:pPr>
            <w:r w:rsidRPr="006B6D61">
              <w:rPr>
                <w:rFonts w:eastAsia="Calibri" w:cstheme="minorHAnsi"/>
                <w:sz w:val="20"/>
                <w:szCs w:val="20"/>
              </w:rPr>
              <w:t>RISPF</w:t>
            </w:r>
          </w:p>
        </w:tc>
        <w:tc>
          <w:tcPr>
            <w:tcW w:w="1125" w:type="dxa"/>
            <w:tcBorders>
              <w:top w:val="nil"/>
              <w:left w:val="nil"/>
              <w:bottom w:val="single" w:sz="8" w:space="0" w:color="auto"/>
              <w:right w:val="single" w:sz="8" w:space="0" w:color="auto"/>
            </w:tcBorders>
            <w:tcMar>
              <w:top w:w="0" w:type="dxa"/>
              <w:left w:w="70" w:type="dxa"/>
              <w:bottom w:w="0" w:type="dxa"/>
              <w:right w:w="70" w:type="dxa"/>
            </w:tcMar>
            <w:vAlign w:val="center"/>
          </w:tcPr>
          <w:p w14:paraId="6ACD3BEC" w14:textId="5B46C655" w:rsidR="006D4475" w:rsidRPr="006B6D61" w:rsidRDefault="008E523F">
            <w:pPr>
              <w:spacing w:after="0" w:line="252" w:lineRule="auto"/>
              <w:jc w:val="right"/>
              <w:rPr>
                <w:rFonts w:eastAsia="Calibri" w:cstheme="minorHAnsi"/>
                <w:sz w:val="20"/>
                <w:szCs w:val="20"/>
              </w:rPr>
            </w:pPr>
            <w:r w:rsidRPr="006B6D61">
              <w:rPr>
                <w:rFonts w:eastAsia="Calibri" w:cstheme="minorHAnsi"/>
                <w:sz w:val="20"/>
                <w:szCs w:val="20"/>
              </w:rPr>
              <w:t>4 675</w:t>
            </w:r>
          </w:p>
        </w:tc>
        <w:tc>
          <w:tcPr>
            <w:tcW w:w="1195" w:type="dxa"/>
            <w:tcBorders>
              <w:top w:val="nil"/>
              <w:left w:val="nil"/>
              <w:bottom w:val="single" w:sz="8" w:space="0" w:color="auto"/>
              <w:right w:val="single" w:sz="8" w:space="0" w:color="auto"/>
            </w:tcBorders>
            <w:tcMar>
              <w:top w:w="0" w:type="dxa"/>
              <w:left w:w="70" w:type="dxa"/>
              <w:bottom w:w="0" w:type="dxa"/>
              <w:right w:w="70" w:type="dxa"/>
            </w:tcMar>
            <w:vAlign w:val="center"/>
          </w:tcPr>
          <w:p w14:paraId="5E80C1B2" w14:textId="139239B0" w:rsidR="006D4475" w:rsidRPr="006B6D61" w:rsidRDefault="001B72A9">
            <w:pPr>
              <w:spacing w:after="0" w:line="252" w:lineRule="auto"/>
              <w:jc w:val="right"/>
              <w:rPr>
                <w:rFonts w:eastAsia="Calibri" w:cstheme="minorHAnsi"/>
                <w:sz w:val="20"/>
                <w:szCs w:val="20"/>
              </w:rPr>
            </w:pPr>
            <w:r w:rsidRPr="006B6D61">
              <w:rPr>
                <w:rFonts w:eastAsia="Calibri" w:cstheme="minorHAnsi"/>
                <w:sz w:val="20"/>
                <w:szCs w:val="20"/>
              </w:rPr>
              <w:t>0</w:t>
            </w:r>
          </w:p>
        </w:tc>
        <w:tc>
          <w:tcPr>
            <w:tcW w:w="1322" w:type="dxa"/>
            <w:tcBorders>
              <w:top w:val="nil"/>
              <w:left w:val="nil"/>
              <w:bottom w:val="single" w:sz="8" w:space="0" w:color="auto"/>
              <w:right w:val="single" w:sz="8" w:space="0" w:color="auto"/>
            </w:tcBorders>
            <w:tcMar>
              <w:top w:w="0" w:type="dxa"/>
              <w:left w:w="70" w:type="dxa"/>
              <w:bottom w:w="0" w:type="dxa"/>
              <w:right w:w="70" w:type="dxa"/>
            </w:tcMar>
            <w:vAlign w:val="center"/>
          </w:tcPr>
          <w:p w14:paraId="0C93B856" w14:textId="45338D42" w:rsidR="006D4475" w:rsidRPr="006B6D61" w:rsidRDefault="00AC5F0F">
            <w:pPr>
              <w:spacing w:after="0" w:line="252" w:lineRule="auto"/>
              <w:jc w:val="right"/>
              <w:rPr>
                <w:rFonts w:eastAsia="Calibri" w:cstheme="minorHAnsi"/>
                <w:sz w:val="20"/>
                <w:szCs w:val="20"/>
              </w:rPr>
            </w:pPr>
            <w:r w:rsidRPr="007B7963">
              <w:rPr>
                <w:rFonts w:eastAsia="Calibri" w:cstheme="minorHAnsi"/>
                <w:sz w:val="20"/>
                <w:szCs w:val="20"/>
              </w:rPr>
              <w:t>0</w:t>
            </w:r>
          </w:p>
        </w:tc>
        <w:tc>
          <w:tcPr>
            <w:tcW w:w="1098" w:type="dxa"/>
            <w:tcBorders>
              <w:top w:val="nil"/>
              <w:left w:val="nil"/>
              <w:bottom w:val="single" w:sz="8" w:space="0" w:color="auto"/>
              <w:right w:val="single" w:sz="8" w:space="0" w:color="auto"/>
            </w:tcBorders>
            <w:tcMar>
              <w:top w:w="0" w:type="dxa"/>
              <w:left w:w="70" w:type="dxa"/>
              <w:bottom w:w="0" w:type="dxa"/>
              <w:right w:w="70" w:type="dxa"/>
            </w:tcMar>
            <w:vAlign w:val="center"/>
          </w:tcPr>
          <w:p w14:paraId="1A137996" w14:textId="65BF09C5" w:rsidR="006D4475" w:rsidRPr="006B6D61" w:rsidRDefault="00877B22">
            <w:pPr>
              <w:spacing w:after="0" w:line="252" w:lineRule="auto"/>
              <w:jc w:val="right"/>
              <w:rPr>
                <w:rFonts w:eastAsia="Calibri" w:cstheme="minorHAnsi"/>
                <w:sz w:val="20"/>
                <w:szCs w:val="20"/>
              </w:rPr>
            </w:pPr>
            <w:r w:rsidRPr="006B6D61">
              <w:rPr>
                <w:rFonts w:eastAsia="Calibri" w:cstheme="minorHAnsi"/>
                <w:sz w:val="20"/>
                <w:szCs w:val="20"/>
              </w:rPr>
              <w:t>4 727</w:t>
            </w:r>
          </w:p>
        </w:tc>
        <w:tc>
          <w:tcPr>
            <w:tcW w:w="1154" w:type="dxa"/>
            <w:tcBorders>
              <w:top w:val="nil"/>
              <w:left w:val="nil"/>
              <w:bottom w:val="single" w:sz="8" w:space="0" w:color="auto"/>
              <w:right w:val="single" w:sz="8" w:space="0" w:color="auto"/>
            </w:tcBorders>
            <w:tcMar>
              <w:top w:w="0" w:type="dxa"/>
              <w:left w:w="70" w:type="dxa"/>
              <w:bottom w:w="0" w:type="dxa"/>
              <w:right w:w="70" w:type="dxa"/>
            </w:tcMar>
            <w:vAlign w:val="center"/>
          </w:tcPr>
          <w:p w14:paraId="782C27C3" w14:textId="6CE6C0E0" w:rsidR="006D4475" w:rsidRPr="006B6D61" w:rsidRDefault="00F666EF">
            <w:pPr>
              <w:spacing w:after="0" w:line="252" w:lineRule="auto"/>
              <w:jc w:val="right"/>
              <w:rPr>
                <w:rFonts w:eastAsia="Calibri" w:cstheme="minorHAnsi"/>
                <w:sz w:val="20"/>
                <w:szCs w:val="20"/>
              </w:rPr>
            </w:pPr>
            <w:r w:rsidRPr="006B6D61">
              <w:rPr>
                <w:rFonts w:eastAsia="Calibri" w:cstheme="minorHAnsi"/>
                <w:sz w:val="20"/>
                <w:szCs w:val="20"/>
              </w:rPr>
              <w:t>4 727</w:t>
            </w:r>
          </w:p>
        </w:tc>
        <w:tc>
          <w:tcPr>
            <w:tcW w:w="820" w:type="dxa"/>
            <w:tcBorders>
              <w:top w:val="nil"/>
              <w:left w:val="nil"/>
              <w:bottom w:val="single" w:sz="8" w:space="0" w:color="auto"/>
              <w:right w:val="single" w:sz="8" w:space="0" w:color="auto"/>
            </w:tcBorders>
            <w:tcMar>
              <w:top w:w="0" w:type="dxa"/>
              <w:left w:w="70" w:type="dxa"/>
              <w:bottom w:w="0" w:type="dxa"/>
              <w:right w:w="70" w:type="dxa"/>
            </w:tcMar>
            <w:vAlign w:val="center"/>
          </w:tcPr>
          <w:p w14:paraId="50FE4D7D" w14:textId="6B824A4F" w:rsidR="006D4475" w:rsidRPr="006B6D61" w:rsidRDefault="007B7963">
            <w:pPr>
              <w:spacing w:after="0" w:line="252" w:lineRule="auto"/>
              <w:jc w:val="right"/>
              <w:rPr>
                <w:rFonts w:eastAsia="Calibri" w:cstheme="minorHAnsi"/>
                <w:sz w:val="20"/>
                <w:szCs w:val="20"/>
              </w:rPr>
            </w:pPr>
            <w:r w:rsidRPr="006B6D61">
              <w:rPr>
                <w:rFonts w:eastAsia="Calibri" w:cstheme="minorHAnsi"/>
                <w:sz w:val="20"/>
                <w:szCs w:val="20"/>
              </w:rPr>
              <w:t>101,1</w:t>
            </w:r>
          </w:p>
        </w:tc>
      </w:tr>
    </w:tbl>
    <w:p w14:paraId="6B192417" w14:textId="1C85463C" w:rsidR="00F12C6D" w:rsidRPr="006B6D61" w:rsidRDefault="00F12C6D" w:rsidP="003F0A7C">
      <w:pPr>
        <w:pStyle w:val="KOMtext"/>
      </w:pPr>
      <w:r w:rsidRPr="006B6D61">
        <w:t xml:space="preserve">Schválený rozpočet byl ve výši </w:t>
      </w:r>
      <w:r w:rsidR="002B73BB" w:rsidRPr="006B6D61">
        <w:t>109 99</w:t>
      </w:r>
      <w:r w:rsidR="00EE1245" w:rsidRPr="006B6D61">
        <w:t>1</w:t>
      </w:r>
      <w:r w:rsidRPr="006B6D61">
        <w:t xml:space="preserve"> tis. Kč. V průběhu roku byl rozpočet </w:t>
      </w:r>
      <w:r w:rsidR="00B57FC3" w:rsidRPr="006B6D61">
        <w:t xml:space="preserve">snížen </w:t>
      </w:r>
      <w:r w:rsidR="003900D2" w:rsidRPr="006B6D61">
        <w:br/>
      </w:r>
      <w:r w:rsidRPr="006B6D61">
        <w:t xml:space="preserve">o </w:t>
      </w:r>
      <w:r w:rsidR="00025505" w:rsidRPr="006B6D61">
        <w:t>21 946</w:t>
      </w:r>
      <w:r w:rsidRPr="006B6D61">
        <w:t xml:space="preserve"> tis. Kč na částku </w:t>
      </w:r>
      <w:r w:rsidR="00BD11DC" w:rsidRPr="006B6D61">
        <w:t>88 045</w:t>
      </w:r>
      <w:r w:rsidRPr="006B6D61">
        <w:t xml:space="preserve"> tis. Kč. Skutečné čerpání bylo ve výši </w:t>
      </w:r>
      <w:r w:rsidR="00843963" w:rsidRPr="006B6D61">
        <w:t>92 772</w:t>
      </w:r>
      <w:r w:rsidRPr="006B6D61">
        <w:t xml:space="preserve"> tis. Kč, </w:t>
      </w:r>
      <w:r w:rsidR="003900D2" w:rsidRPr="006B6D61">
        <w:br/>
      </w:r>
      <w:r w:rsidRPr="006B6D61">
        <w:t xml:space="preserve">tj. </w:t>
      </w:r>
      <w:r w:rsidR="008A5330" w:rsidRPr="006B6D61">
        <w:t>105</w:t>
      </w:r>
      <w:r w:rsidR="003900D2" w:rsidRPr="006B6D61">
        <w:t>,4</w:t>
      </w:r>
      <w:r w:rsidRPr="006B6D61">
        <w:t xml:space="preserve"> % rozpočtu po změnách, a to včetně čerpání nároků z nespotřebovaných výdajů ve výši </w:t>
      </w:r>
      <w:r w:rsidR="008A5330" w:rsidRPr="006B6D61">
        <w:t>4 727</w:t>
      </w:r>
      <w:r w:rsidRPr="006B6D61">
        <w:t xml:space="preserve"> tis. Kč</w:t>
      </w:r>
      <w:r w:rsidR="003900D2" w:rsidRPr="006B6D61">
        <w:t xml:space="preserve">. </w:t>
      </w:r>
      <w:r w:rsidRPr="006B6D61">
        <w:t xml:space="preserve">Oproti roku </w:t>
      </w:r>
      <w:r w:rsidR="00C87CC4" w:rsidRPr="006B6D61">
        <w:t xml:space="preserve">2022 </w:t>
      </w:r>
      <w:r w:rsidRPr="006B6D61">
        <w:t xml:space="preserve">došlo ke zvýšení čerpaných výdajů o </w:t>
      </w:r>
      <w:r w:rsidR="005F19FA" w:rsidRPr="006B6D61">
        <w:t>1 556</w:t>
      </w:r>
      <w:r w:rsidRPr="006B6D61">
        <w:t xml:space="preserve"> tis. Kč, </w:t>
      </w:r>
      <w:r w:rsidR="00005095">
        <w:br/>
      </w:r>
      <w:r w:rsidRPr="006B6D61">
        <w:t xml:space="preserve">tj. o </w:t>
      </w:r>
      <w:r w:rsidR="00B7635A" w:rsidRPr="006B6D61">
        <w:t>1,7</w:t>
      </w:r>
      <w:r w:rsidRPr="006B6D61">
        <w:t xml:space="preserve"> %. Zvýšené výdaje se </w:t>
      </w:r>
      <w:r w:rsidR="00BC511C">
        <w:t xml:space="preserve">týkaly </w:t>
      </w:r>
      <w:r w:rsidR="00FB7D17" w:rsidRPr="006B6D61">
        <w:t xml:space="preserve">především výdajů na platy zaměstnanců a příslušenství. </w:t>
      </w:r>
      <w:r w:rsidR="00A66EFB" w:rsidRPr="006B6D61">
        <w:t xml:space="preserve"> </w:t>
      </w:r>
    </w:p>
    <w:p w14:paraId="2E4B4EEB" w14:textId="054A8A57" w:rsidR="008E0136" w:rsidRPr="006B6D61" w:rsidRDefault="008E0136" w:rsidP="00BA4E5A">
      <w:pPr>
        <w:pStyle w:val="KOMGrafy"/>
      </w:pPr>
      <w:bookmarkStart w:id="986" w:name="_Toc160457146"/>
      <w:r w:rsidRPr="006B6D61">
        <w:lastRenderedPageBreak/>
        <w:t>Graf č.</w:t>
      </w:r>
      <w:r w:rsidR="00CC6D8E" w:rsidRPr="006B6D61">
        <w:t xml:space="preserve"> </w:t>
      </w:r>
      <w:r w:rsidR="00CC6D8E" w:rsidRPr="006B6D61">
        <w:fldChar w:fldCharType="begin"/>
      </w:r>
      <w:r w:rsidR="00CC6D8E" w:rsidRPr="006B6D61">
        <w:rPr>
          <w:noProof/>
        </w:rPr>
        <w:instrText xml:space="preserve"> SEQ Graf_č. \* ARABIC </w:instrText>
      </w:r>
      <w:r w:rsidR="00CC6D8E" w:rsidRPr="006B6D61">
        <w:rPr>
          <w:noProof/>
        </w:rPr>
        <w:fldChar w:fldCharType="separate"/>
      </w:r>
      <w:r w:rsidR="00013820">
        <w:rPr>
          <w:noProof/>
        </w:rPr>
        <w:t>29</w:t>
      </w:r>
      <w:r w:rsidR="00CC6D8E" w:rsidRPr="006B6D61">
        <w:rPr>
          <w:noProof/>
        </w:rPr>
        <w:fldChar w:fldCharType="end"/>
      </w:r>
      <w:r w:rsidRPr="006B6D61">
        <w:t xml:space="preserve"> Srovnání skutečností u Centra služeb pro silniční dopravu v letech </w:t>
      </w:r>
      <w:r w:rsidR="009E4682" w:rsidRPr="006B6D61">
        <w:t xml:space="preserve">2022 </w:t>
      </w:r>
      <w:r w:rsidRPr="006B6D61">
        <w:t xml:space="preserve">a </w:t>
      </w:r>
      <w:r w:rsidR="009E4682" w:rsidRPr="006B6D61">
        <w:t xml:space="preserve">2023 </w:t>
      </w:r>
      <w:r w:rsidRPr="006B6D61">
        <w:br/>
        <w:t>(v tis. Kč)</w:t>
      </w:r>
      <w:bookmarkEnd w:id="986"/>
      <w:r w:rsidRPr="006B6D61">
        <w:t xml:space="preserve"> </w:t>
      </w:r>
    </w:p>
    <w:p w14:paraId="1E08E19F" w14:textId="39EB7D56" w:rsidR="008E0136" w:rsidRPr="0077128B" w:rsidRDefault="008E0136" w:rsidP="00495B2D">
      <w:pPr>
        <w:keepLines/>
        <w:spacing w:before="240" w:after="240" w:line="276" w:lineRule="auto"/>
        <w:jc w:val="both"/>
        <w:rPr>
          <w:rFonts w:eastAsia="Times New Roman" w:cstheme="minorHAnsi"/>
          <w:b/>
          <w:color w:val="FF0000"/>
          <w:sz w:val="24"/>
          <w:szCs w:val="20"/>
          <w:u w:val="single"/>
          <w:lang w:eastAsia="cs-CZ"/>
        </w:rPr>
      </w:pPr>
      <w:r w:rsidRPr="002F1BE7">
        <w:rPr>
          <w:noProof/>
          <w:color w:val="FF0000"/>
          <w:lang w:eastAsia="cs-CZ"/>
        </w:rPr>
        <w:drawing>
          <wp:inline distT="0" distB="0" distL="0" distR="0" wp14:anchorId="5814522A" wp14:editId="7F8F4097">
            <wp:extent cx="5760000" cy="2160000"/>
            <wp:effectExtent l="0" t="0" r="12700" b="12065"/>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14:paraId="0CB04210" w14:textId="1D07B903" w:rsidR="00697170" w:rsidRPr="006B6D61" w:rsidRDefault="006C18DB" w:rsidP="00BA4E5A">
      <w:pPr>
        <w:pStyle w:val="KOMnadp5"/>
        <w:rPr>
          <w:rFonts w:eastAsia="Times New Roman"/>
          <w:color w:val="auto"/>
          <w:lang w:eastAsia="cs-CZ"/>
        </w:rPr>
      </w:pPr>
      <w:r w:rsidRPr="006B6D61">
        <w:rPr>
          <w:rFonts w:eastAsia="Times New Roman"/>
          <w:color w:val="auto"/>
          <w:lang w:eastAsia="cs-CZ"/>
        </w:rPr>
        <w:t>Neinvestiční příspěvek a transfer</w:t>
      </w:r>
      <w:r w:rsidR="00E80650" w:rsidRPr="006B6D61">
        <w:rPr>
          <w:rFonts w:eastAsia="Times New Roman"/>
          <w:color w:val="auto"/>
          <w:lang w:eastAsia="cs-CZ"/>
        </w:rPr>
        <w:t>y</w:t>
      </w:r>
    </w:p>
    <w:p w14:paraId="098B7826" w14:textId="2A2443DD" w:rsidR="00D45FAB" w:rsidRDefault="00D45FAB" w:rsidP="00D45FAB">
      <w:pPr>
        <w:pStyle w:val="KOMtext"/>
      </w:pPr>
      <w:r w:rsidRPr="00127822">
        <w:t xml:space="preserve">Centru služeb pro silniční dopravu byl schválen neinvestiční příspěvek pro rok 2023 ve výši </w:t>
      </w:r>
      <w:r w:rsidRPr="00127822">
        <w:br/>
      </w:r>
      <w:r w:rsidRPr="00127822">
        <w:rPr>
          <w:bCs/>
        </w:rPr>
        <w:t>109 991</w:t>
      </w:r>
      <w:r w:rsidRPr="00127822">
        <w:t xml:space="preserve"> tis. Kč, z toho 58 041 tis. Kč výdaje na dopravně správní agendy, 40 593 tis. Kč výdaje na zabezpečení delegovaných činností BESIP a 11 356 tis. Kč výdaje na činnost organizace. Rozpočet byl v průběhu 1. pololetí roku 2023 snížen o 226 tis. Kč na 109 765 tis. Kč. Důvodem snížení je přesun finančních prostředků na Úřad pro zastupování státu ve věcech majetkových. V průběhu 3. čtvrtletí roku 2023 byl dále snížen rozpočet o 21 720 </w:t>
      </w:r>
      <w:r>
        <w:t>tis.</w:t>
      </w:r>
      <w:r w:rsidRPr="00127822">
        <w:t xml:space="preserve"> Kč z důvodu delimitace činností BESIP z CSPSD a Ministerstvo doprav</w:t>
      </w:r>
      <w:r w:rsidR="00AB544D">
        <w:t xml:space="preserve">y. </w:t>
      </w:r>
    </w:p>
    <w:p w14:paraId="64E531B4" w14:textId="16534BFA" w:rsidR="00495B2D" w:rsidRPr="006B6D61" w:rsidRDefault="00F03435" w:rsidP="003F0A7C">
      <w:pPr>
        <w:pStyle w:val="KOMtext"/>
      </w:pPr>
      <w:r w:rsidRPr="006B6D61">
        <w:t xml:space="preserve">K 31. 12. 2023 čerpalo CSPSD neinvestiční prostředky ve výši 88 045 tis. Kč, tj. 100,00 % upraveného rozpočtu, z toho prostředky ve výši 16 434 tis. Kč byly použity na zabezpečení delegovaných činností BESIP, 60 255 tis. Kč byly výdaje stanovené na dopravně správní agendy a 11 356 tis. Kč výdaje na činnost organizace. </w:t>
      </w:r>
      <w:r w:rsidR="001B7AD8" w:rsidRPr="006B6D61">
        <w:t xml:space="preserve"> </w:t>
      </w:r>
    </w:p>
    <w:p w14:paraId="6BF2D3C1" w14:textId="4F4A57F1" w:rsidR="00495B2D" w:rsidRPr="006B6D61" w:rsidRDefault="00495B2D" w:rsidP="003F0A7C">
      <w:pPr>
        <w:pStyle w:val="KOMtext"/>
        <w:rPr>
          <w:rFonts w:cstheme="minorHAnsi"/>
          <w:i/>
        </w:rPr>
      </w:pPr>
      <w:r w:rsidRPr="006B6D61">
        <w:rPr>
          <w:i/>
        </w:rPr>
        <w:t xml:space="preserve">Pozn.: Limit mzdových nákladů příspěvkové organizace Centrum služeb pro silniční dopravu po změnách v objemu </w:t>
      </w:r>
      <w:r w:rsidR="00F85B7D" w:rsidRPr="006B6D61">
        <w:rPr>
          <w:i/>
        </w:rPr>
        <w:t>35 428</w:t>
      </w:r>
      <w:r w:rsidRPr="006B6D61">
        <w:rPr>
          <w:i/>
        </w:rPr>
        <w:t xml:space="preserve"> tis. Kč byl čerpán ve výši </w:t>
      </w:r>
      <w:r w:rsidR="00C44BA5" w:rsidRPr="006B6D61">
        <w:rPr>
          <w:i/>
        </w:rPr>
        <w:t>40 847</w:t>
      </w:r>
      <w:r w:rsidRPr="006B6D61">
        <w:rPr>
          <w:i/>
        </w:rPr>
        <w:t xml:space="preserve"> tis. Kč, tj. na </w:t>
      </w:r>
      <w:r w:rsidR="000E2A2D" w:rsidRPr="006B6D61">
        <w:rPr>
          <w:i/>
        </w:rPr>
        <w:t>115</w:t>
      </w:r>
      <w:r w:rsidR="00697170" w:rsidRPr="006B6D61">
        <w:rPr>
          <w:i/>
        </w:rPr>
        <w:t>,</w:t>
      </w:r>
      <w:r w:rsidR="000E2A2D" w:rsidRPr="006B6D61">
        <w:rPr>
          <w:i/>
        </w:rPr>
        <w:t>3</w:t>
      </w:r>
      <w:r w:rsidRPr="006B6D61">
        <w:rPr>
          <w:i/>
        </w:rPr>
        <w:t xml:space="preserve"> %, v důsledku překročení limitu prostředků na platy po změnách (</w:t>
      </w:r>
      <w:r w:rsidR="00F32126" w:rsidRPr="006B6D61">
        <w:rPr>
          <w:i/>
        </w:rPr>
        <w:t xml:space="preserve">33 </w:t>
      </w:r>
      <w:r w:rsidR="001816CD" w:rsidRPr="006B6D61">
        <w:rPr>
          <w:i/>
        </w:rPr>
        <w:t>9</w:t>
      </w:r>
      <w:r w:rsidR="00F32126" w:rsidRPr="006B6D61">
        <w:rPr>
          <w:i/>
        </w:rPr>
        <w:t>95</w:t>
      </w:r>
      <w:r w:rsidRPr="006B6D61">
        <w:rPr>
          <w:i/>
        </w:rPr>
        <w:t xml:space="preserve"> tis. Kč) o </w:t>
      </w:r>
      <w:r w:rsidR="00A740FD" w:rsidRPr="006B6D61">
        <w:rPr>
          <w:i/>
        </w:rPr>
        <w:t>5 667</w:t>
      </w:r>
      <w:r w:rsidRPr="006B6D61">
        <w:rPr>
          <w:i/>
        </w:rPr>
        <w:t xml:space="preserve"> tis. Kč, které bylo uhrazeno podle § 59 zákona č. 218/2000 Sb., rozpočtová pravidla, z fondu odměn.</w:t>
      </w:r>
      <w:r w:rsidR="00697170" w:rsidRPr="006B6D61">
        <w:rPr>
          <w:i/>
        </w:rPr>
        <w:t xml:space="preserve"> </w:t>
      </w:r>
    </w:p>
    <w:p w14:paraId="2B86168B" w14:textId="5F611021" w:rsidR="006D4475" w:rsidRPr="006B6D61" w:rsidRDefault="00E57F5D" w:rsidP="003F0A7C">
      <w:pPr>
        <w:pStyle w:val="KOMtext"/>
        <w:rPr>
          <w:rFonts w:cstheme="minorHAnsi"/>
        </w:rPr>
      </w:pPr>
      <w:r w:rsidRPr="006B6D61">
        <w:t xml:space="preserve">Oproti období k 31. 12. 2022, kdy byl příspěvek čerpán ve výši 86 541 tis. Kč, je </w:t>
      </w:r>
      <w:r w:rsidRPr="006B6D61">
        <w:br/>
        <w:t xml:space="preserve">k 31. 12. 2023 příspěvek čerpán ve výši 88 045 tis. Kč, tj. 101,74 % úrovně roku 2022. </w:t>
      </w:r>
    </w:p>
    <w:p w14:paraId="12D63D42" w14:textId="77777777" w:rsidR="006C18DB" w:rsidRPr="006B6D61" w:rsidRDefault="006C18DB" w:rsidP="00BA4E5A">
      <w:pPr>
        <w:pStyle w:val="KOMnadp5"/>
      </w:pPr>
      <w:r w:rsidRPr="006B6D61">
        <w:t>Investiční transfery</w:t>
      </w:r>
    </w:p>
    <w:p w14:paraId="73C397D9" w14:textId="000A6AFD" w:rsidR="00FB416C" w:rsidRPr="006A755F" w:rsidRDefault="00FB416C" w:rsidP="00FB416C">
      <w:pPr>
        <w:pStyle w:val="KOMtext"/>
      </w:pPr>
      <w:r w:rsidRPr="006A755F">
        <w:t>Schválený objem investičního transferu stanovený pro Centrum služeb pro silniční dopravu pro rok 202</w:t>
      </w:r>
      <w:r>
        <w:t>3</w:t>
      </w:r>
      <w:r w:rsidRPr="006A755F">
        <w:t xml:space="preserve"> ve výši 0 tis. Kč </w:t>
      </w:r>
      <w:r>
        <w:t>ne</w:t>
      </w:r>
      <w:r w:rsidRPr="006A755F">
        <w:t>byl v průběhu roku</w:t>
      </w:r>
      <w:r>
        <w:t xml:space="preserve"> upravován</w:t>
      </w:r>
      <w:r w:rsidRPr="006A755F">
        <w:t>.</w:t>
      </w:r>
    </w:p>
    <w:p w14:paraId="31A54E47" w14:textId="77777777" w:rsidR="00FB416C" w:rsidRPr="006A755F" w:rsidRDefault="00FB416C" w:rsidP="00FB416C">
      <w:pPr>
        <w:pStyle w:val="KOMtext"/>
        <w:rPr>
          <w:rFonts w:cstheme="minorHAnsi"/>
          <w:lang w:eastAsia="ar-SA"/>
        </w:rPr>
      </w:pPr>
      <w:r w:rsidRPr="006A755F">
        <w:lastRenderedPageBreak/>
        <w:t>V roce 202</w:t>
      </w:r>
      <w:r>
        <w:t>3</w:t>
      </w:r>
      <w:r w:rsidRPr="006A755F">
        <w:t xml:space="preserve"> byly čerpány prostředky investičního transferu ve výši 4 </w:t>
      </w:r>
      <w:r>
        <w:t>727</w:t>
      </w:r>
      <w:r w:rsidRPr="006A755F">
        <w:t xml:space="preserve"> tis. Kč (v plné výši z nároků z nespotřebovaných výdajů). Prostředky byly čerpány na pořízení</w:t>
      </w:r>
      <w:r>
        <w:t xml:space="preserve"> jízdní soupravy pro výcvik zkušebních komisařů</w:t>
      </w:r>
      <w:r w:rsidRPr="006A755F">
        <w:rPr>
          <w:rFonts w:cstheme="minorHAnsi"/>
          <w:lang w:eastAsia="ar-SA"/>
        </w:rPr>
        <w:t>.</w:t>
      </w:r>
      <w:r>
        <w:rPr>
          <w:rFonts w:cstheme="minorHAnsi"/>
          <w:lang w:eastAsia="ar-SA"/>
        </w:rPr>
        <w:t xml:space="preserve"> </w:t>
      </w:r>
      <w:r w:rsidRPr="006A755F">
        <w:rPr>
          <w:rFonts w:cstheme="minorHAnsi"/>
          <w:lang w:eastAsia="ar-SA"/>
        </w:rPr>
        <w:t xml:space="preserve"> Akce byla realizována v rámci programu 127 06 „Rozvoj a obnova materiálně-technické základny systému řízení MP-PO,</w:t>
      </w:r>
      <w:r>
        <w:rPr>
          <w:rFonts w:cstheme="minorHAnsi"/>
          <w:lang w:eastAsia="ar-SA"/>
        </w:rPr>
        <w:t xml:space="preserve"> </w:t>
      </w:r>
      <w:r w:rsidRPr="006A755F">
        <w:rPr>
          <w:rFonts w:cstheme="minorHAnsi"/>
          <w:lang w:eastAsia="ar-SA"/>
        </w:rPr>
        <w:t>SFDI“.</w:t>
      </w:r>
    </w:p>
    <w:p w14:paraId="1E80D009" w14:textId="1D871A32" w:rsidR="00D761BE" w:rsidRDefault="00D761BE" w:rsidP="008A0E44">
      <w:pPr>
        <w:pStyle w:val="KOMnadp4"/>
      </w:pPr>
      <w:r w:rsidRPr="0077128B">
        <w:t>Hospodaření příspěvkových organizací za rok 202</w:t>
      </w:r>
      <w:r w:rsidR="00005095">
        <w:t>3</w:t>
      </w:r>
    </w:p>
    <w:p w14:paraId="163F69F3" w14:textId="763D76B2" w:rsidR="00365920" w:rsidRPr="00B67AA4" w:rsidRDefault="00365920" w:rsidP="00365920">
      <w:pPr>
        <w:suppressAutoHyphens/>
        <w:spacing w:before="120" w:after="0" w:line="276" w:lineRule="auto"/>
        <w:jc w:val="both"/>
        <w:rPr>
          <w:rFonts w:eastAsia="Times New Roman" w:cstheme="minorHAnsi"/>
          <w:sz w:val="24"/>
          <w:szCs w:val="24"/>
          <w:lang w:eastAsia="cs-CZ"/>
        </w:rPr>
      </w:pPr>
      <w:r w:rsidRPr="007E4046">
        <w:rPr>
          <w:rFonts w:eastAsia="Times New Roman" w:cstheme="minorHAnsi"/>
          <w:b/>
          <w:sz w:val="24"/>
          <w:szCs w:val="24"/>
          <w:lang w:eastAsia="cs-CZ"/>
        </w:rPr>
        <w:t>Hospodaření příspěvkových organizací za rok 202</w:t>
      </w:r>
      <w:r w:rsidR="007E4046" w:rsidRPr="007E4046">
        <w:rPr>
          <w:rFonts w:eastAsia="Times New Roman" w:cstheme="minorHAnsi"/>
          <w:b/>
          <w:sz w:val="24"/>
          <w:szCs w:val="24"/>
          <w:lang w:eastAsia="cs-CZ"/>
        </w:rPr>
        <w:t>3</w:t>
      </w:r>
      <w:r w:rsidRPr="007E4046">
        <w:rPr>
          <w:rFonts w:eastAsia="Times New Roman" w:cstheme="minorHAnsi"/>
          <w:sz w:val="24"/>
          <w:szCs w:val="24"/>
          <w:lang w:eastAsia="cs-CZ"/>
        </w:rPr>
        <w:t xml:space="preserve"> skončilo podle účetních výkazů </w:t>
      </w:r>
      <w:r w:rsidR="005C405D">
        <w:rPr>
          <w:rFonts w:eastAsia="Times New Roman" w:cstheme="minorHAnsi"/>
          <w:sz w:val="24"/>
          <w:szCs w:val="24"/>
          <w:lang w:eastAsia="cs-CZ"/>
        </w:rPr>
        <w:t>zhoršeným</w:t>
      </w:r>
      <w:r w:rsidRPr="007E4046">
        <w:rPr>
          <w:rFonts w:eastAsia="Times New Roman" w:cstheme="minorHAnsi"/>
          <w:sz w:val="24"/>
          <w:szCs w:val="24"/>
          <w:lang w:eastAsia="cs-CZ"/>
        </w:rPr>
        <w:t xml:space="preserve"> </w:t>
      </w:r>
      <w:r w:rsidRPr="005C405D">
        <w:rPr>
          <w:rFonts w:eastAsia="Times New Roman" w:cstheme="minorHAnsi"/>
          <w:sz w:val="24"/>
          <w:szCs w:val="24"/>
          <w:lang w:eastAsia="cs-CZ"/>
        </w:rPr>
        <w:t xml:space="preserve">hospodářským výsledkem celkem (hlavní a hospodářská činnost) před zdaněním </w:t>
      </w:r>
      <w:r w:rsidRPr="005C405D">
        <w:rPr>
          <w:rFonts w:eastAsia="Times New Roman" w:cstheme="minorHAnsi"/>
          <w:sz w:val="24"/>
          <w:szCs w:val="24"/>
          <w:lang w:eastAsia="cs-CZ"/>
        </w:rPr>
        <w:br/>
        <w:t xml:space="preserve">ve výši </w:t>
      </w:r>
      <w:r w:rsidR="005C405D" w:rsidRPr="005C405D">
        <w:rPr>
          <w:rFonts w:eastAsia="Times New Roman" w:cstheme="minorHAnsi"/>
          <w:sz w:val="24"/>
          <w:szCs w:val="24"/>
          <w:lang w:eastAsia="cs-CZ"/>
        </w:rPr>
        <w:t>601 448</w:t>
      </w:r>
      <w:r w:rsidRPr="005C405D">
        <w:rPr>
          <w:rFonts w:eastAsia="Times New Roman" w:cstheme="minorHAnsi"/>
          <w:sz w:val="24"/>
          <w:szCs w:val="24"/>
          <w:lang w:eastAsia="cs-CZ"/>
        </w:rPr>
        <w:t xml:space="preserve"> tis. Kč (ŘSD ČR </w:t>
      </w:r>
      <w:r w:rsidR="005C405D" w:rsidRPr="005C405D">
        <w:rPr>
          <w:rFonts w:eastAsia="Times New Roman" w:cstheme="minorHAnsi"/>
          <w:sz w:val="24"/>
          <w:szCs w:val="24"/>
          <w:lang w:eastAsia="cs-CZ"/>
        </w:rPr>
        <w:t>zhoršený</w:t>
      </w:r>
      <w:r w:rsidRPr="005C405D">
        <w:rPr>
          <w:rFonts w:eastAsia="Times New Roman" w:cstheme="minorHAnsi"/>
          <w:sz w:val="24"/>
          <w:szCs w:val="24"/>
          <w:lang w:eastAsia="cs-CZ"/>
        </w:rPr>
        <w:t xml:space="preserve"> hospodářský výsledek </w:t>
      </w:r>
      <w:r w:rsidRPr="00B67AA4">
        <w:rPr>
          <w:rFonts w:eastAsia="Times New Roman" w:cstheme="minorHAnsi"/>
          <w:sz w:val="24"/>
          <w:szCs w:val="24"/>
          <w:lang w:eastAsia="cs-CZ"/>
        </w:rPr>
        <w:t xml:space="preserve">celkem ve výši </w:t>
      </w:r>
      <w:r w:rsidR="005C405D" w:rsidRPr="00B67AA4">
        <w:rPr>
          <w:rFonts w:eastAsia="Times New Roman" w:cstheme="minorHAnsi"/>
          <w:sz w:val="24"/>
          <w:szCs w:val="24"/>
          <w:lang w:eastAsia="cs-CZ"/>
        </w:rPr>
        <w:t>619 294</w:t>
      </w:r>
      <w:r w:rsidRPr="00B67AA4">
        <w:rPr>
          <w:rFonts w:eastAsia="Times New Roman" w:cstheme="minorHAnsi"/>
          <w:sz w:val="24"/>
          <w:szCs w:val="24"/>
          <w:lang w:eastAsia="cs-CZ"/>
        </w:rPr>
        <w:t> tis. Kč, CSPSD</w:t>
      </w:r>
      <w:r w:rsidR="005C405D" w:rsidRPr="00B67AA4">
        <w:rPr>
          <w:rFonts w:eastAsia="Times New Roman" w:cstheme="minorHAnsi"/>
          <w:sz w:val="24"/>
          <w:szCs w:val="24"/>
          <w:lang w:eastAsia="cs-CZ"/>
        </w:rPr>
        <w:t xml:space="preserve"> zlepšený hospodářský výsledek</w:t>
      </w:r>
      <w:r w:rsidRPr="00B67AA4">
        <w:rPr>
          <w:rFonts w:eastAsia="Times New Roman" w:cstheme="minorHAnsi"/>
          <w:sz w:val="24"/>
          <w:szCs w:val="24"/>
          <w:lang w:eastAsia="cs-CZ"/>
        </w:rPr>
        <w:t xml:space="preserve"> ve výši </w:t>
      </w:r>
      <w:r w:rsidR="005C405D" w:rsidRPr="00B67AA4">
        <w:rPr>
          <w:rFonts w:eastAsia="Times New Roman" w:cstheme="minorHAnsi"/>
          <w:sz w:val="24"/>
          <w:szCs w:val="24"/>
          <w:lang w:eastAsia="cs-CZ"/>
        </w:rPr>
        <w:t>17 846</w:t>
      </w:r>
      <w:r w:rsidRPr="00B67AA4">
        <w:rPr>
          <w:rFonts w:eastAsia="Times New Roman" w:cstheme="minorHAnsi"/>
          <w:sz w:val="24"/>
          <w:szCs w:val="24"/>
          <w:lang w:eastAsia="cs-CZ"/>
        </w:rPr>
        <w:t xml:space="preserve"> tis. Kč). Celkový dosažený </w:t>
      </w:r>
      <w:r w:rsidR="005C405D" w:rsidRPr="00B67AA4">
        <w:rPr>
          <w:rFonts w:eastAsia="Times New Roman" w:cstheme="minorHAnsi"/>
          <w:sz w:val="24"/>
          <w:szCs w:val="24"/>
          <w:lang w:eastAsia="cs-CZ"/>
        </w:rPr>
        <w:t>zhoršený</w:t>
      </w:r>
      <w:r w:rsidRPr="00B67AA4">
        <w:rPr>
          <w:rFonts w:eastAsia="Times New Roman" w:cstheme="minorHAnsi"/>
          <w:sz w:val="24"/>
          <w:szCs w:val="24"/>
          <w:lang w:eastAsia="cs-CZ"/>
        </w:rPr>
        <w:t xml:space="preserve"> hospodářský výsledek běžného období je </w:t>
      </w:r>
      <w:r w:rsidR="00B67AA4" w:rsidRPr="00B67AA4">
        <w:rPr>
          <w:rFonts w:eastAsia="Times New Roman" w:cstheme="minorHAnsi"/>
          <w:sz w:val="24"/>
          <w:szCs w:val="24"/>
          <w:lang w:eastAsia="cs-CZ"/>
        </w:rPr>
        <w:t>647 336</w:t>
      </w:r>
      <w:r w:rsidRPr="00B67AA4">
        <w:rPr>
          <w:rFonts w:eastAsia="Times New Roman" w:cstheme="minorHAnsi"/>
          <w:sz w:val="24"/>
          <w:szCs w:val="24"/>
          <w:lang w:eastAsia="cs-CZ"/>
        </w:rPr>
        <w:t xml:space="preserve"> tis. Kč (ŘSD </w:t>
      </w:r>
      <w:proofErr w:type="gramStart"/>
      <w:r w:rsidRPr="00B67AA4">
        <w:rPr>
          <w:rFonts w:eastAsia="Times New Roman" w:cstheme="minorHAnsi"/>
          <w:sz w:val="24"/>
          <w:szCs w:val="24"/>
          <w:lang w:eastAsia="cs-CZ"/>
        </w:rPr>
        <w:t xml:space="preserve">ČR </w:t>
      </w:r>
      <w:r w:rsidR="00B67AA4" w:rsidRPr="00B67AA4">
        <w:rPr>
          <w:rFonts w:eastAsia="Times New Roman" w:cstheme="minorHAnsi"/>
          <w:sz w:val="24"/>
          <w:szCs w:val="24"/>
          <w:lang w:eastAsia="cs-CZ"/>
        </w:rPr>
        <w:t xml:space="preserve"> zhoršený</w:t>
      </w:r>
      <w:proofErr w:type="gramEnd"/>
      <w:r w:rsidR="00B67AA4" w:rsidRPr="00B67AA4">
        <w:rPr>
          <w:rFonts w:eastAsia="Times New Roman" w:cstheme="minorHAnsi"/>
          <w:sz w:val="24"/>
          <w:szCs w:val="24"/>
          <w:lang w:eastAsia="cs-CZ"/>
        </w:rPr>
        <w:t xml:space="preserve"> </w:t>
      </w:r>
      <w:r w:rsidRPr="00B67AA4">
        <w:rPr>
          <w:rFonts w:eastAsia="Times New Roman" w:cstheme="minorHAnsi"/>
          <w:sz w:val="24"/>
          <w:szCs w:val="24"/>
          <w:lang w:eastAsia="cs-CZ"/>
        </w:rPr>
        <w:t xml:space="preserve">hospodářský výsledek ve výši </w:t>
      </w:r>
      <w:r w:rsidR="00B67AA4" w:rsidRPr="00B67AA4">
        <w:rPr>
          <w:rFonts w:eastAsia="Times New Roman" w:cstheme="minorHAnsi"/>
          <w:sz w:val="24"/>
          <w:szCs w:val="24"/>
          <w:lang w:eastAsia="cs-CZ"/>
        </w:rPr>
        <w:t>661 041</w:t>
      </w:r>
      <w:r w:rsidRPr="00B67AA4">
        <w:rPr>
          <w:rFonts w:eastAsia="Times New Roman" w:cstheme="minorHAnsi"/>
          <w:sz w:val="24"/>
          <w:szCs w:val="24"/>
          <w:lang w:eastAsia="cs-CZ"/>
        </w:rPr>
        <w:t xml:space="preserve"> tis. Kč, CSPSD</w:t>
      </w:r>
      <w:r w:rsidR="00B67AA4" w:rsidRPr="00B67AA4">
        <w:rPr>
          <w:rFonts w:eastAsia="Times New Roman" w:cstheme="minorHAnsi"/>
          <w:sz w:val="24"/>
          <w:szCs w:val="24"/>
          <w:lang w:eastAsia="cs-CZ"/>
        </w:rPr>
        <w:t xml:space="preserve"> zlepšený</w:t>
      </w:r>
      <w:r w:rsidRPr="00B67AA4">
        <w:rPr>
          <w:rFonts w:eastAsia="Times New Roman" w:cstheme="minorHAnsi"/>
          <w:sz w:val="24"/>
          <w:szCs w:val="24"/>
          <w:lang w:eastAsia="cs-CZ"/>
        </w:rPr>
        <w:t xml:space="preserve"> hospodářský výsledek ve výši </w:t>
      </w:r>
      <w:r w:rsidR="00B67AA4" w:rsidRPr="00B67AA4">
        <w:rPr>
          <w:rFonts w:eastAsia="Times New Roman" w:cstheme="minorHAnsi"/>
          <w:sz w:val="24"/>
          <w:szCs w:val="24"/>
          <w:lang w:eastAsia="cs-CZ"/>
        </w:rPr>
        <w:t>13 705</w:t>
      </w:r>
      <w:r w:rsidRPr="00B67AA4">
        <w:rPr>
          <w:rFonts w:eastAsia="Times New Roman" w:cstheme="minorHAnsi"/>
          <w:sz w:val="24"/>
          <w:szCs w:val="24"/>
          <w:lang w:eastAsia="cs-CZ"/>
        </w:rPr>
        <w:t xml:space="preserve"> tis. Kč).</w:t>
      </w:r>
    </w:p>
    <w:p w14:paraId="19D04262" w14:textId="77777777" w:rsidR="00365920" w:rsidRPr="007E4046" w:rsidRDefault="00365920" w:rsidP="00365920">
      <w:pPr>
        <w:keepLines/>
        <w:spacing w:before="120" w:after="120" w:line="276" w:lineRule="auto"/>
        <w:jc w:val="both"/>
        <w:rPr>
          <w:rFonts w:eastAsia="Times New Roman" w:cstheme="minorHAnsi"/>
          <w:sz w:val="24"/>
          <w:szCs w:val="24"/>
          <w:lang w:eastAsia="cs-CZ"/>
        </w:rPr>
      </w:pPr>
      <w:r w:rsidRPr="007E4046">
        <w:rPr>
          <w:rFonts w:eastAsia="Times New Roman" w:cstheme="minorHAnsi"/>
          <w:sz w:val="24"/>
          <w:szCs w:val="24"/>
          <w:lang w:eastAsia="cs-CZ"/>
        </w:rPr>
        <w:t>Posouzení hospodářského výsledku včetně jeho rozdělení je v souladu s </w:t>
      </w:r>
      <w:proofErr w:type="spellStart"/>
      <w:r w:rsidRPr="007E4046">
        <w:rPr>
          <w:rFonts w:eastAsia="Times New Roman" w:cstheme="minorHAnsi"/>
          <w:sz w:val="24"/>
          <w:szCs w:val="24"/>
          <w:lang w:eastAsia="cs-CZ"/>
        </w:rPr>
        <w:t>vyhl</w:t>
      </w:r>
      <w:proofErr w:type="spellEnd"/>
      <w:r w:rsidRPr="007E4046">
        <w:rPr>
          <w:rFonts w:eastAsia="Times New Roman" w:cstheme="minorHAnsi"/>
          <w:sz w:val="24"/>
          <w:szCs w:val="24"/>
          <w:lang w:eastAsia="cs-CZ"/>
        </w:rPr>
        <w:t xml:space="preserve">. č. 220/2013 Sb., </w:t>
      </w:r>
      <w:r w:rsidRPr="007E4046">
        <w:rPr>
          <w:rFonts w:eastAsia="Times New Roman" w:cstheme="minorHAnsi"/>
          <w:sz w:val="24"/>
          <w:szCs w:val="24"/>
          <w:lang w:eastAsia="cs-CZ"/>
        </w:rPr>
        <w:br/>
        <w:t>o požadavcích na schvalování účetních závěrek některých vybraných účetních jednotek, součástí schválení účetních závěrek.</w:t>
      </w:r>
    </w:p>
    <w:p w14:paraId="658F586E" w14:textId="5D5F995E" w:rsidR="00365920" w:rsidRPr="007E4046" w:rsidRDefault="00365920" w:rsidP="00365920">
      <w:pPr>
        <w:spacing w:before="120" w:after="120" w:line="276" w:lineRule="auto"/>
        <w:jc w:val="both"/>
        <w:rPr>
          <w:rFonts w:eastAsia="Calibri" w:cstheme="minorHAnsi"/>
          <w:sz w:val="24"/>
          <w:szCs w:val="20"/>
        </w:rPr>
      </w:pPr>
      <w:r w:rsidRPr="007E4046">
        <w:rPr>
          <w:rFonts w:eastAsia="Calibri" w:cstheme="minorHAnsi"/>
          <w:sz w:val="24"/>
          <w:szCs w:val="20"/>
        </w:rPr>
        <w:t>Srovnání dosaženého hospodářského výsledku (po zdanění) v letech 201</w:t>
      </w:r>
      <w:r w:rsidR="000A12B8">
        <w:rPr>
          <w:rFonts w:eastAsia="Calibri" w:cstheme="minorHAnsi"/>
          <w:sz w:val="24"/>
          <w:szCs w:val="20"/>
        </w:rPr>
        <w:t>9</w:t>
      </w:r>
      <w:r w:rsidRPr="007E4046">
        <w:rPr>
          <w:rFonts w:eastAsia="Calibri" w:cstheme="minorHAnsi"/>
          <w:sz w:val="24"/>
          <w:szCs w:val="20"/>
        </w:rPr>
        <w:t>-202</w:t>
      </w:r>
      <w:r w:rsidR="000A12B8">
        <w:rPr>
          <w:rFonts w:eastAsia="Calibri" w:cstheme="minorHAnsi"/>
          <w:sz w:val="24"/>
          <w:szCs w:val="20"/>
        </w:rPr>
        <w:t>3</w:t>
      </w:r>
      <w:r w:rsidRPr="007E4046">
        <w:rPr>
          <w:rFonts w:eastAsia="Calibri" w:cstheme="minorHAnsi"/>
          <w:sz w:val="24"/>
          <w:szCs w:val="20"/>
        </w:rPr>
        <w:t xml:space="preserve"> v tis. Kč: </w:t>
      </w:r>
    </w:p>
    <w:p w14:paraId="474061F5" w14:textId="77777777" w:rsidR="00365920" w:rsidRPr="0077128B" w:rsidRDefault="00365920" w:rsidP="00365920">
      <w:pPr>
        <w:spacing w:before="120" w:after="120" w:line="276" w:lineRule="auto"/>
        <w:jc w:val="both"/>
        <w:rPr>
          <w:rFonts w:ascii="Times New Roman" w:eastAsia="Calibri" w:hAnsi="Times New Roman" w:cs="Times New Roman"/>
          <w:color w:val="FF0000"/>
          <w:sz w:val="24"/>
          <w:szCs w:val="20"/>
        </w:rPr>
      </w:pPr>
      <w:r w:rsidRPr="0077128B">
        <w:rPr>
          <w:rFonts w:ascii="Times New Roman" w:eastAsia="Calibri" w:hAnsi="Times New Roman" w:cs="Times New Roman"/>
          <w:noProof/>
          <w:color w:val="FF0000"/>
          <w:sz w:val="24"/>
          <w:szCs w:val="20"/>
          <w:lang w:eastAsia="cs-CZ"/>
        </w:rPr>
        <w:drawing>
          <wp:inline distT="0" distB="0" distL="0" distR="0" wp14:anchorId="7A439C51" wp14:editId="2C4E55F8">
            <wp:extent cx="5486400" cy="1615440"/>
            <wp:effectExtent l="19050" t="0" r="38100" b="381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3" r:lo="rId114" r:qs="rId115" r:cs="rId116"/>
              </a:graphicData>
            </a:graphic>
          </wp:inline>
        </w:drawing>
      </w:r>
    </w:p>
    <w:p w14:paraId="0BFAC05C" w14:textId="77777777" w:rsidR="00365920" w:rsidRPr="0077128B" w:rsidRDefault="00365920" w:rsidP="00365920">
      <w:pPr>
        <w:spacing w:before="120" w:after="120" w:line="276" w:lineRule="auto"/>
        <w:jc w:val="both"/>
        <w:rPr>
          <w:rFonts w:ascii="Times New Roman" w:eastAsia="Calibri" w:hAnsi="Times New Roman" w:cs="Times New Roman"/>
          <w:color w:val="FF0000"/>
          <w:sz w:val="24"/>
          <w:szCs w:val="20"/>
        </w:rPr>
      </w:pPr>
      <w:r w:rsidRPr="0077128B">
        <w:rPr>
          <w:rFonts w:ascii="Times New Roman" w:eastAsia="Calibri" w:hAnsi="Times New Roman" w:cs="Times New Roman"/>
          <w:noProof/>
          <w:color w:val="FF0000"/>
          <w:sz w:val="24"/>
          <w:szCs w:val="20"/>
          <w:lang w:eastAsia="cs-CZ"/>
        </w:rPr>
        <w:drawing>
          <wp:inline distT="0" distB="0" distL="0" distR="0" wp14:anchorId="7CA01AE3" wp14:editId="29D50CA1">
            <wp:extent cx="5486400" cy="525780"/>
            <wp:effectExtent l="19050" t="0" r="38100" b="7620"/>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8" r:lo="rId119" r:qs="rId120" r:cs="rId121"/>
              </a:graphicData>
            </a:graphic>
          </wp:inline>
        </w:drawing>
      </w:r>
    </w:p>
    <w:p w14:paraId="13663352" w14:textId="77777777" w:rsidR="008804F9" w:rsidRDefault="00365920" w:rsidP="008804F9">
      <w:pPr>
        <w:spacing w:before="120" w:after="0" w:line="240" w:lineRule="auto"/>
        <w:jc w:val="both"/>
        <w:rPr>
          <w:rFonts w:eastAsia="Times New Roman" w:cstheme="minorHAnsi"/>
          <w:sz w:val="24"/>
          <w:szCs w:val="24"/>
          <w:lang w:eastAsia="cs-CZ"/>
        </w:rPr>
      </w:pPr>
      <w:r w:rsidRPr="0077128B">
        <w:rPr>
          <w:rFonts w:ascii="Times New Roman" w:eastAsia="Times New Roman" w:hAnsi="Times New Roman" w:cs="Times New Roman"/>
          <w:color w:val="FF0000"/>
          <w:sz w:val="24"/>
          <w:szCs w:val="24"/>
          <w:lang w:eastAsia="cs-CZ"/>
        </w:rPr>
        <w:t xml:space="preserve"> </w:t>
      </w:r>
      <w:r w:rsidRPr="000A12B8">
        <w:rPr>
          <w:rFonts w:eastAsia="Times New Roman" w:cstheme="minorHAnsi"/>
          <w:sz w:val="24"/>
          <w:szCs w:val="24"/>
          <w:lang w:eastAsia="cs-CZ"/>
        </w:rPr>
        <w:t>Vývoj hospodářského výsledku u Centra služeb pro silniční dopravu v roce 201</w:t>
      </w:r>
      <w:r w:rsidR="000A12B8" w:rsidRPr="000A12B8">
        <w:rPr>
          <w:rFonts w:eastAsia="Times New Roman" w:cstheme="minorHAnsi"/>
          <w:sz w:val="24"/>
          <w:szCs w:val="24"/>
          <w:lang w:eastAsia="cs-CZ"/>
        </w:rPr>
        <w:t>9</w:t>
      </w:r>
      <w:r w:rsidRPr="000A12B8">
        <w:rPr>
          <w:rFonts w:eastAsia="Times New Roman" w:cstheme="minorHAnsi"/>
          <w:sz w:val="24"/>
          <w:szCs w:val="24"/>
          <w:lang w:eastAsia="cs-CZ"/>
        </w:rPr>
        <w:t xml:space="preserve"> je ovlivněn </w:t>
      </w:r>
      <w:r w:rsidR="000A12B8" w:rsidRPr="000A12B8">
        <w:rPr>
          <w:rFonts w:eastAsia="Times New Roman" w:cstheme="minorHAnsi"/>
          <w:sz w:val="24"/>
          <w:szCs w:val="24"/>
          <w:lang w:eastAsia="cs-CZ"/>
        </w:rPr>
        <w:t>snížením výnosů organizace z důvodu legislativních změn (omezení používání kontrolních nálepek</w:t>
      </w:r>
      <w:r w:rsidR="000A12B8">
        <w:rPr>
          <w:rFonts w:eastAsia="Times New Roman" w:cstheme="minorHAnsi"/>
          <w:sz w:val="24"/>
          <w:szCs w:val="24"/>
          <w:lang w:eastAsia="cs-CZ"/>
        </w:rPr>
        <w:t xml:space="preserve"> na měření emisí, způsobilo snížení výnosů z prodeje zboží). Přestože došlo k výraznému snížení výnosů, podařilo se CSPSD snížit i náklady.  Navýšení hospodářského výsledku v roce 2020 bylo ovlivněno výnosy z distribuce ochranných chemických prostředků                a ochranných pomůcek. V roce 2021 se vrátil výsledek hospodaření k původním hodnotám, které dosahovala organizace před rokem 2019. V roce 2022 došlo k poklesu hospodářského výsledku o 8</w:t>
      </w:r>
      <w:r w:rsidR="00E7166A">
        <w:rPr>
          <w:rFonts w:eastAsia="Times New Roman" w:cstheme="minorHAnsi"/>
          <w:sz w:val="24"/>
          <w:szCs w:val="24"/>
          <w:lang w:eastAsia="cs-CZ"/>
        </w:rPr>
        <w:t> </w:t>
      </w:r>
      <w:r w:rsidR="000A12B8">
        <w:rPr>
          <w:rFonts w:eastAsia="Times New Roman" w:cstheme="minorHAnsi"/>
          <w:sz w:val="24"/>
          <w:szCs w:val="24"/>
          <w:lang w:eastAsia="cs-CZ"/>
        </w:rPr>
        <w:t>6</w:t>
      </w:r>
      <w:r w:rsidR="00E7166A">
        <w:rPr>
          <w:rFonts w:eastAsia="Times New Roman" w:cstheme="minorHAnsi"/>
          <w:sz w:val="24"/>
          <w:szCs w:val="24"/>
          <w:lang w:eastAsia="cs-CZ"/>
        </w:rPr>
        <w:t xml:space="preserve">45 tis. Kč. Hospodaření CSPSD, a tím související hospodářský výsledek, bylo ovlivněno výraznými výkyvy v cenách strategických energií, složitou bezpečností situací nejen ve východní Evropě, světových trzích s ropou, plynem a elektrickou energií. S tím souvisí nárůst cen téměř všech komodit a jejich omezená dostupnost. </w:t>
      </w:r>
      <w:r w:rsidR="000C1B78">
        <w:rPr>
          <w:rFonts w:eastAsia="Times New Roman" w:cstheme="minorHAnsi"/>
          <w:sz w:val="24"/>
          <w:szCs w:val="24"/>
          <w:lang w:eastAsia="cs-CZ"/>
        </w:rPr>
        <w:t xml:space="preserve">Nárůst hospodářského výsledku v roce </w:t>
      </w:r>
      <w:proofErr w:type="gramStart"/>
      <w:r w:rsidR="000C1B78">
        <w:rPr>
          <w:rFonts w:eastAsia="Times New Roman" w:cstheme="minorHAnsi"/>
          <w:sz w:val="24"/>
          <w:szCs w:val="24"/>
          <w:lang w:eastAsia="cs-CZ"/>
        </w:rPr>
        <w:t>2023  o</w:t>
      </w:r>
      <w:proofErr w:type="gramEnd"/>
      <w:r w:rsidR="000C1B78">
        <w:rPr>
          <w:rFonts w:eastAsia="Times New Roman" w:cstheme="minorHAnsi"/>
          <w:sz w:val="24"/>
          <w:szCs w:val="24"/>
          <w:lang w:eastAsia="cs-CZ"/>
        </w:rPr>
        <w:t xml:space="preserve"> 7 597 tis. Kč byl ovlivněn navýšením výnosů a snížením nákladů. </w:t>
      </w:r>
      <w:r w:rsidR="00B67AA4">
        <w:rPr>
          <w:rFonts w:eastAsia="Times New Roman" w:cstheme="minorHAnsi"/>
          <w:sz w:val="24"/>
          <w:szCs w:val="24"/>
          <w:lang w:eastAsia="cs-CZ"/>
        </w:rPr>
        <w:t>V roce 2023               se vrátil výsledek hospodaření k původním hodnotám z roku 2019.</w:t>
      </w:r>
    </w:p>
    <w:p w14:paraId="2A5E2F26" w14:textId="7AFB8C4E" w:rsidR="00365920" w:rsidRPr="0077128B" w:rsidRDefault="00B67AA4" w:rsidP="008804F9">
      <w:pPr>
        <w:spacing w:before="120" w:after="0" w:line="240" w:lineRule="auto"/>
        <w:jc w:val="both"/>
        <w:rPr>
          <w:color w:val="FF0000"/>
        </w:rPr>
      </w:pPr>
      <w:r>
        <w:rPr>
          <w:rFonts w:eastAsia="Times New Roman" w:cstheme="minorHAnsi"/>
          <w:sz w:val="24"/>
          <w:szCs w:val="24"/>
          <w:lang w:eastAsia="cs-CZ"/>
        </w:rPr>
        <w:lastRenderedPageBreak/>
        <w:t xml:space="preserve">Vzhledem k celkovému objemu nákladů a výnosů, které se ročně pohybují v řádech miliard korun, byl nárůst či snížení výsledku hospodaření v letech 2019-2022 u Ředitelství silnic </w:t>
      </w:r>
      <w:r w:rsidR="008804F9">
        <w:rPr>
          <w:rFonts w:eastAsia="Times New Roman" w:cstheme="minorHAnsi"/>
          <w:sz w:val="24"/>
          <w:szCs w:val="24"/>
          <w:lang w:eastAsia="cs-CZ"/>
        </w:rPr>
        <w:t xml:space="preserve">                        </w:t>
      </w:r>
      <w:r>
        <w:rPr>
          <w:rFonts w:eastAsia="Times New Roman" w:cstheme="minorHAnsi"/>
          <w:sz w:val="24"/>
          <w:szCs w:val="24"/>
          <w:lang w:eastAsia="cs-CZ"/>
        </w:rPr>
        <w:t xml:space="preserve">a dálnic ČR nevýznamný. V roce 2023 dosáhlo Ředitelství silnic a dálnic ČR zhoršeného hospodářského výsledku (ztráty) ve výši </w:t>
      </w:r>
      <w:r w:rsidR="008804F9">
        <w:rPr>
          <w:rFonts w:eastAsia="Times New Roman" w:cstheme="minorHAnsi"/>
          <w:sz w:val="24"/>
          <w:szCs w:val="24"/>
          <w:lang w:eastAsia="cs-CZ"/>
        </w:rPr>
        <w:t xml:space="preserve">661 041 tis. Kč.  Záporný hospodářský výsledek byl způsoben nepokrytím závazků, na které účetní jednotka z důvodu transformace na jinou právní formu </w:t>
      </w:r>
      <w:proofErr w:type="gramStart"/>
      <w:r w:rsidR="008804F9">
        <w:rPr>
          <w:rFonts w:eastAsia="Times New Roman" w:cstheme="minorHAnsi"/>
          <w:sz w:val="24"/>
          <w:szCs w:val="24"/>
          <w:lang w:eastAsia="cs-CZ"/>
        </w:rPr>
        <w:t>neobdrží</w:t>
      </w:r>
      <w:proofErr w:type="gramEnd"/>
      <w:r w:rsidR="008804F9">
        <w:rPr>
          <w:rFonts w:eastAsia="Times New Roman" w:cstheme="minorHAnsi"/>
          <w:sz w:val="24"/>
          <w:szCs w:val="24"/>
          <w:lang w:eastAsia="cs-CZ"/>
        </w:rPr>
        <w:t xml:space="preserve"> dotaci a časovým rozlišením záloh na významné opravy do doby, kdy budou vyúčtovány. </w:t>
      </w:r>
    </w:p>
    <w:p w14:paraId="24BF9850" w14:textId="0CC4714F" w:rsidR="006236AB" w:rsidRPr="006B6D61" w:rsidRDefault="00663216" w:rsidP="00E20BD6">
      <w:pPr>
        <w:pStyle w:val="KOMnadp3"/>
        <w:rPr>
          <w:rFonts w:eastAsiaTheme="minorHAnsi" w:cstheme="minorBidi"/>
          <w:sz w:val="22"/>
          <w:szCs w:val="22"/>
        </w:rPr>
      </w:pPr>
      <w:bookmarkStart w:id="987" w:name="_Toc162269272"/>
      <w:r w:rsidRPr="006B6D61">
        <w:t>Transfery ostatním příspěvkovým a podobným organizacím</w:t>
      </w:r>
      <w:bookmarkStart w:id="988" w:name="_1739006203"/>
      <w:bookmarkStart w:id="989" w:name="_1739014013"/>
      <w:bookmarkStart w:id="990" w:name="_1739000222"/>
      <w:bookmarkStart w:id="991" w:name="_1739000039"/>
      <w:bookmarkStart w:id="992" w:name="_1738999712"/>
      <w:bookmarkEnd w:id="988"/>
      <w:bookmarkEnd w:id="989"/>
      <w:bookmarkEnd w:id="990"/>
      <w:bookmarkEnd w:id="991"/>
      <w:bookmarkEnd w:id="992"/>
      <w:bookmarkEnd w:id="987"/>
    </w:p>
    <w:tbl>
      <w:tblPr>
        <w:tblW w:w="9361" w:type="dxa"/>
        <w:tblInd w:w="-5" w:type="dxa"/>
        <w:tblLayout w:type="fixed"/>
        <w:tblCellMar>
          <w:left w:w="70" w:type="dxa"/>
          <w:right w:w="70" w:type="dxa"/>
        </w:tblCellMar>
        <w:tblLook w:val="04A0" w:firstRow="1" w:lastRow="0" w:firstColumn="1" w:lastColumn="0" w:noHBand="0" w:noVBand="1"/>
      </w:tblPr>
      <w:tblGrid>
        <w:gridCol w:w="185"/>
        <w:gridCol w:w="186"/>
        <w:gridCol w:w="2611"/>
        <w:gridCol w:w="1276"/>
        <w:gridCol w:w="1134"/>
        <w:gridCol w:w="1134"/>
        <w:gridCol w:w="992"/>
        <w:gridCol w:w="1134"/>
        <w:gridCol w:w="709"/>
      </w:tblGrid>
      <w:tr w:rsidR="002F1BE7" w:rsidRPr="0044012B" w14:paraId="4DFB403B" w14:textId="77777777" w:rsidTr="00DE3737">
        <w:trPr>
          <w:trHeight w:val="337"/>
        </w:trPr>
        <w:tc>
          <w:tcPr>
            <w:tcW w:w="9361" w:type="dxa"/>
            <w:gridSpan w:val="9"/>
            <w:shd w:val="clear" w:color="auto" w:fill="auto"/>
            <w:noWrap/>
            <w:vAlign w:val="center"/>
          </w:tcPr>
          <w:p w14:paraId="1982E797" w14:textId="69254A37" w:rsidR="004E4E4C" w:rsidRPr="0077128B" w:rsidRDefault="004E4E4C" w:rsidP="00BA4E5A">
            <w:pPr>
              <w:spacing w:after="0"/>
              <w:jc w:val="right"/>
              <w:rPr>
                <w:color w:val="FF0000"/>
                <w:sz w:val="20"/>
                <w:szCs w:val="20"/>
              </w:rPr>
            </w:pPr>
            <w:r w:rsidRPr="006B6D61">
              <w:rPr>
                <w:sz w:val="20"/>
                <w:szCs w:val="20"/>
              </w:rPr>
              <w:t>v tis. Kč</w:t>
            </w:r>
          </w:p>
        </w:tc>
      </w:tr>
      <w:tr w:rsidR="00B12724" w:rsidRPr="0044012B" w14:paraId="6F4D2C08" w14:textId="77777777" w:rsidTr="003708D7">
        <w:trPr>
          <w:trHeight w:val="337"/>
        </w:trPr>
        <w:tc>
          <w:tcPr>
            <w:tcW w:w="2982" w:type="dxa"/>
            <w:gridSpan w:val="3"/>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13E1BF80" w14:textId="6C61CD56" w:rsidR="004F6E81" w:rsidRPr="006B6D61" w:rsidRDefault="004F6E81" w:rsidP="00BA4E5A">
            <w:pPr>
              <w:spacing w:after="0"/>
              <w:jc w:val="center"/>
              <w:rPr>
                <w:b/>
                <w:sz w:val="20"/>
                <w:szCs w:val="20"/>
              </w:rPr>
            </w:pPr>
            <w:r w:rsidRPr="006B6D61">
              <w:rPr>
                <w:b/>
                <w:sz w:val="20"/>
                <w:szCs w:val="20"/>
              </w:rPr>
              <w:t>Ukazatel</w:t>
            </w:r>
          </w:p>
        </w:tc>
        <w:tc>
          <w:tcPr>
            <w:tcW w:w="1276" w:type="dxa"/>
            <w:vMerge w:val="restart"/>
            <w:tcBorders>
              <w:top w:val="single" w:sz="4" w:space="0" w:color="000000"/>
              <w:left w:val="nil"/>
              <w:right w:val="single" w:sz="4" w:space="0" w:color="000000"/>
            </w:tcBorders>
            <w:shd w:val="clear" w:color="auto" w:fill="D9D9D9" w:themeFill="background1" w:themeFillShade="D9"/>
            <w:vAlign w:val="center"/>
          </w:tcPr>
          <w:p w14:paraId="567C5B01" w14:textId="23A1E3C9" w:rsidR="004F6E81" w:rsidRPr="006B6D61" w:rsidRDefault="004F6E81" w:rsidP="003708D7">
            <w:pPr>
              <w:spacing w:after="0"/>
              <w:ind w:right="214"/>
              <w:jc w:val="center"/>
              <w:rPr>
                <w:b/>
                <w:sz w:val="20"/>
                <w:szCs w:val="20"/>
              </w:rPr>
            </w:pPr>
            <w:r w:rsidRPr="006B6D61">
              <w:rPr>
                <w:b/>
                <w:sz w:val="20"/>
                <w:szCs w:val="20"/>
              </w:rPr>
              <w:t xml:space="preserve">Skutečnost </w:t>
            </w:r>
            <w:r w:rsidR="00DE3737">
              <w:rPr>
                <w:b/>
                <w:sz w:val="20"/>
                <w:szCs w:val="20"/>
              </w:rPr>
              <w:t>2</w:t>
            </w:r>
            <w:r w:rsidR="00787B0B" w:rsidRPr="006B6D61">
              <w:rPr>
                <w:b/>
                <w:sz w:val="20"/>
                <w:szCs w:val="20"/>
              </w:rPr>
              <w:t>022</w:t>
            </w:r>
          </w:p>
        </w:tc>
        <w:tc>
          <w:tcPr>
            <w:tcW w:w="3260" w:type="dxa"/>
            <w:gridSpan w:val="3"/>
            <w:tcBorders>
              <w:top w:val="single" w:sz="4" w:space="0" w:color="000000"/>
              <w:left w:val="nil"/>
              <w:bottom w:val="single" w:sz="4" w:space="0" w:color="auto"/>
              <w:right w:val="single" w:sz="4" w:space="0" w:color="auto"/>
            </w:tcBorders>
            <w:shd w:val="clear" w:color="auto" w:fill="D9D9D9" w:themeFill="background1" w:themeFillShade="D9"/>
            <w:vAlign w:val="center"/>
          </w:tcPr>
          <w:p w14:paraId="7830002B" w14:textId="09EBF719" w:rsidR="004F6E81" w:rsidRPr="006B6D61" w:rsidRDefault="004F6E81" w:rsidP="00BA4E5A">
            <w:pPr>
              <w:spacing w:after="0"/>
              <w:jc w:val="center"/>
              <w:rPr>
                <w:b/>
                <w:sz w:val="20"/>
                <w:szCs w:val="20"/>
              </w:rPr>
            </w:pPr>
            <w:r w:rsidRPr="006B6D61">
              <w:rPr>
                <w:b/>
                <w:sz w:val="20"/>
                <w:szCs w:val="20"/>
              </w:rPr>
              <w:t xml:space="preserve">Rozpočet </w:t>
            </w:r>
            <w:r w:rsidR="00787B0B" w:rsidRPr="006B6D61">
              <w:rPr>
                <w:b/>
                <w:sz w:val="20"/>
                <w:szCs w:val="20"/>
              </w:rPr>
              <w:t>2023</w:t>
            </w:r>
          </w:p>
        </w:tc>
        <w:tc>
          <w:tcPr>
            <w:tcW w:w="1134" w:type="dxa"/>
            <w:vMerge w:val="restart"/>
            <w:tcBorders>
              <w:top w:val="single" w:sz="4" w:space="0" w:color="000000"/>
              <w:left w:val="single" w:sz="4" w:space="0" w:color="auto"/>
              <w:right w:val="single" w:sz="4" w:space="0" w:color="000000"/>
            </w:tcBorders>
            <w:shd w:val="clear" w:color="auto" w:fill="D9D9D9" w:themeFill="background1" w:themeFillShade="D9"/>
            <w:vAlign w:val="center"/>
          </w:tcPr>
          <w:p w14:paraId="18254494" w14:textId="77777777" w:rsidR="004F6E81" w:rsidRPr="006B6D61" w:rsidRDefault="004F6E81" w:rsidP="00BA4E5A">
            <w:pPr>
              <w:spacing w:after="0"/>
              <w:jc w:val="center"/>
              <w:rPr>
                <w:b/>
                <w:sz w:val="20"/>
                <w:szCs w:val="20"/>
              </w:rPr>
            </w:pPr>
            <w:r w:rsidRPr="006B6D61">
              <w:rPr>
                <w:b/>
                <w:sz w:val="20"/>
                <w:szCs w:val="20"/>
              </w:rPr>
              <w:t xml:space="preserve">Skutečnost </w:t>
            </w:r>
          </w:p>
          <w:p w14:paraId="64836B3A" w14:textId="3C733799" w:rsidR="004F6E81" w:rsidRPr="006B6D61" w:rsidRDefault="00787B0B" w:rsidP="00BA4E5A">
            <w:pPr>
              <w:spacing w:after="0"/>
              <w:jc w:val="center"/>
              <w:rPr>
                <w:b/>
                <w:sz w:val="20"/>
                <w:szCs w:val="20"/>
              </w:rPr>
            </w:pPr>
            <w:r w:rsidRPr="006B6D61">
              <w:rPr>
                <w:b/>
                <w:sz w:val="20"/>
                <w:szCs w:val="20"/>
              </w:rPr>
              <w:t>2023</w:t>
            </w:r>
          </w:p>
        </w:tc>
        <w:tc>
          <w:tcPr>
            <w:tcW w:w="709" w:type="dxa"/>
            <w:vMerge w:val="restart"/>
            <w:tcBorders>
              <w:top w:val="single" w:sz="4" w:space="0" w:color="000000"/>
              <w:left w:val="nil"/>
              <w:right w:val="single" w:sz="4" w:space="0" w:color="000000"/>
            </w:tcBorders>
            <w:shd w:val="clear" w:color="auto" w:fill="D9D9D9" w:themeFill="background1" w:themeFillShade="D9"/>
            <w:vAlign w:val="center"/>
          </w:tcPr>
          <w:p w14:paraId="20B588C8" w14:textId="42577420" w:rsidR="004F6E81" w:rsidRPr="006B6D61" w:rsidRDefault="004F6E81" w:rsidP="00BA4E5A">
            <w:pPr>
              <w:spacing w:after="0"/>
              <w:jc w:val="center"/>
              <w:rPr>
                <w:b/>
                <w:sz w:val="20"/>
                <w:szCs w:val="20"/>
              </w:rPr>
            </w:pPr>
            <w:r w:rsidRPr="006B6D61">
              <w:rPr>
                <w:b/>
                <w:sz w:val="20"/>
                <w:szCs w:val="20"/>
              </w:rPr>
              <w:t xml:space="preserve">Index </w:t>
            </w:r>
            <w:r w:rsidRPr="006B6D61">
              <w:rPr>
                <w:b/>
                <w:sz w:val="20"/>
                <w:szCs w:val="20"/>
              </w:rPr>
              <w:br/>
              <w:t>(v %)</w:t>
            </w:r>
          </w:p>
        </w:tc>
      </w:tr>
      <w:tr w:rsidR="00B12724" w:rsidRPr="0044012B" w14:paraId="37DBB4E6" w14:textId="77777777" w:rsidTr="003708D7">
        <w:trPr>
          <w:trHeight w:val="401"/>
        </w:trPr>
        <w:tc>
          <w:tcPr>
            <w:tcW w:w="2982" w:type="dxa"/>
            <w:gridSpan w:val="3"/>
            <w:vMerge/>
            <w:tcBorders>
              <w:left w:val="single" w:sz="4" w:space="0" w:color="auto"/>
              <w:bottom w:val="single" w:sz="4" w:space="0" w:color="auto"/>
              <w:right w:val="single" w:sz="4" w:space="0" w:color="auto"/>
            </w:tcBorders>
            <w:shd w:val="clear" w:color="000000" w:fill="FFFFFF"/>
            <w:noWrap/>
            <w:vAlign w:val="center"/>
            <w:hideMark/>
          </w:tcPr>
          <w:p w14:paraId="16C0C67A" w14:textId="0BF26037" w:rsidR="004F6E81" w:rsidRPr="0077128B" w:rsidRDefault="004F6E81" w:rsidP="00B929B7">
            <w:pPr>
              <w:jc w:val="center"/>
              <w:rPr>
                <w:color w:val="FF0000"/>
                <w:sz w:val="20"/>
                <w:szCs w:val="20"/>
              </w:rPr>
            </w:pPr>
          </w:p>
        </w:tc>
        <w:tc>
          <w:tcPr>
            <w:tcW w:w="1276" w:type="dxa"/>
            <w:vMerge/>
            <w:tcBorders>
              <w:left w:val="nil"/>
              <w:bottom w:val="single" w:sz="4" w:space="0" w:color="auto"/>
              <w:right w:val="single" w:sz="4" w:space="0" w:color="000000"/>
            </w:tcBorders>
            <w:shd w:val="clear" w:color="auto" w:fill="auto"/>
            <w:vAlign w:val="center"/>
            <w:hideMark/>
          </w:tcPr>
          <w:p w14:paraId="7C8AF5C8" w14:textId="42BC5403" w:rsidR="004F6E81" w:rsidRPr="0077128B" w:rsidRDefault="004F6E81" w:rsidP="00B929B7">
            <w:pPr>
              <w:ind w:right="214"/>
              <w:jc w:val="center"/>
              <w:rPr>
                <w:color w:val="FF0000"/>
                <w:sz w:val="20"/>
                <w:szCs w:val="20"/>
              </w:rPr>
            </w:pPr>
          </w:p>
        </w:tc>
        <w:tc>
          <w:tcPr>
            <w:tcW w:w="1134" w:type="dxa"/>
            <w:tcBorders>
              <w:top w:val="single" w:sz="4" w:space="0" w:color="000000"/>
              <w:left w:val="nil"/>
              <w:bottom w:val="single" w:sz="4" w:space="0" w:color="auto"/>
              <w:right w:val="single" w:sz="4" w:space="0" w:color="000000"/>
            </w:tcBorders>
            <w:shd w:val="clear" w:color="auto" w:fill="D9D9D9" w:themeFill="background1" w:themeFillShade="D9"/>
            <w:vAlign w:val="center"/>
            <w:hideMark/>
          </w:tcPr>
          <w:p w14:paraId="7A03F416" w14:textId="3F42EF35" w:rsidR="004F6E81" w:rsidRPr="006B6D61" w:rsidRDefault="004F6E81" w:rsidP="00BA4E5A">
            <w:pPr>
              <w:spacing w:after="0"/>
              <w:jc w:val="center"/>
              <w:rPr>
                <w:b/>
                <w:sz w:val="20"/>
                <w:szCs w:val="20"/>
              </w:rPr>
            </w:pPr>
            <w:r w:rsidRPr="006B6D61">
              <w:rPr>
                <w:b/>
                <w:sz w:val="20"/>
                <w:szCs w:val="20"/>
              </w:rPr>
              <w:t>schválený</w:t>
            </w:r>
          </w:p>
        </w:tc>
        <w:tc>
          <w:tcPr>
            <w:tcW w:w="1134" w:type="dxa"/>
            <w:tcBorders>
              <w:top w:val="single" w:sz="4" w:space="0" w:color="000000"/>
              <w:left w:val="nil"/>
              <w:bottom w:val="single" w:sz="4" w:space="0" w:color="auto"/>
              <w:right w:val="single" w:sz="4" w:space="0" w:color="auto"/>
            </w:tcBorders>
            <w:shd w:val="clear" w:color="auto" w:fill="D9D9D9" w:themeFill="background1" w:themeFillShade="D9"/>
            <w:vAlign w:val="center"/>
            <w:hideMark/>
          </w:tcPr>
          <w:p w14:paraId="04B7E8B5" w14:textId="05DFAA29" w:rsidR="004F6E81" w:rsidRPr="006B6D61" w:rsidRDefault="004F6E81" w:rsidP="00BA4E5A">
            <w:pPr>
              <w:spacing w:after="0"/>
              <w:jc w:val="center"/>
              <w:rPr>
                <w:b/>
                <w:sz w:val="20"/>
                <w:szCs w:val="20"/>
              </w:rPr>
            </w:pPr>
            <w:r w:rsidRPr="006B6D61">
              <w:rPr>
                <w:b/>
                <w:sz w:val="20"/>
                <w:szCs w:val="20"/>
              </w:rPr>
              <w:t>po změnách</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0C958C2" w14:textId="27D482DE" w:rsidR="004F6E81" w:rsidRPr="006B6D61" w:rsidRDefault="00C33AD1" w:rsidP="00BA4E5A">
            <w:pPr>
              <w:spacing w:after="0"/>
              <w:jc w:val="center"/>
              <w:rPr>
                <w:b/>
                <w:sz w:val="20"/>
                <w:szCs w:val="20"/>
              </w:rPr>
            </w:pPr>
            <w:r w:rsidRPr="006B6D61">
              <w:rPr>
                <w:b/>
                <w:sz w:val="20"/>
                <w:szCs w:val="20"/>
              </w:rPr>
              <w:t>k</w:t>
            </w:r>
            <w:r w:rsidR="004F6E81" w:rsidRPr="006B6D61">
              <w:rPr>
                <w:b/>
                <w:sz w:val="20"/>
                <w:szCs w:val="20"/>
              </w:rPr>
              <w:t>onečný</w:t>
            </w:r>
          </w:p>
        </w:tc>
        <w:tc>
          <w:tcPr>
            <w:tcW w:w="1134" w:type="dxa"/>
            <w:vMerge/>
            <w:tcBorders>
              <w:left w:val="single" w:sz="4" w:space="0" w:color="auto"/>
              <w:bottom w:val="single" w:sz="4" w:space="0" w:color="auto"/>
              <w:right w:val="single" w:sz="4" w:space="0" w:color="000000"/>
            </w:tcBorders>
            <w:shd w:val="clear" w:color="auto" w:fill="auto"/>
            <w:vAlign w:val="center"/>
            <w:hideMark/>
          </w:tcPr>
          <w:p w14:paraId="1E670CD9" w14:textId="0031F8DF" w:rsidR="004F6E81" w:rsidRPr="0077128B" w:rsidRDefault="004F6E81" w:rsidP="00B929B7">
            <w:pPr>
              <w:jc w:val="center"/>
              <w:rPr>
                <w:color w:val="FF0000"/>
                <w:sz w:val="20"/>
                <w:szCs w:val="20"/>
              </w:rPr>
            </w:pPr>
          </w:p>
        </w:tc>
        <w:tc>
          <w:tcPr>
            <w:tcW w:w="709" w:type="dxa"/>
            <w:vMerge/>
            <w:tcBorders>
              <w:left w:val="nil"/>
              <w:bottom w:val="single" w:sz="4" w:space="0" w:color="auto"/>
              <w:right w:val="single" w:sz="4" w:space="0" w:color="000000"/>
            </w:tcBorders>
            <w:shd w:val="clear" w:color="auto" w:fill="auto"/>
            <w:vAlign w:val="center"/>
            <w:hideMark/>
          </w:tcPr>
          <w:p w14:paraId="17191232" w14:textId="0EB7E35B" w:rsidR="004F6E81" w:rsidRPr="0077128B" w:rsidRDefault="004F6E81" w:rsidP="00B929B7">
            <w:pPr>
              <w:jc w:val="center"/>
              <w:rPr>
                <w:color w:val="FF0000"/>
                <w:sz w:val="20"/>
                <w:szCs w:val="20"/>
              </w:rPr>
            </w:pPr>
          </w:p>
        </w:tc>
      </w:tr>
      <w:tr w:rsidR="00B12724" w:rsidRPr="0044012B" w14:paraId="6AAC9243" w14:textId="77777777" w:rsidTr="003708D7">
        <w:trPr>
          <w:trHeight w:val="278"/>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tcPr>
          <w:p w14:paraId="28D3010D" w14:textId="7B0D0A5A" w:rsidR="00C33AD1" w:rsidRPr="006B6D61" w:rsidRDefault="00C33AD1" w:rsidP="00BA4E5A">
            <w:pPr>
              <w:spacing w:after="0"/>
              <w:jc w:val="center"/>
              <w:rPr>
                <w:b/>
                <w:sz w:val="20"/>
                <w:szCs w:val="20"/>
              </w:rPr>
            </w:pPr>
            <w:r w:rsidRPr="006B6D61">
              <w:rPr>
                <w:rFonts w:eastAsia="Calibri" w:cstheme="minorHAnsi"/>
                <w:sz w:val="20"/>
                <w:szCs w:val="20"/>
              </w:rPr>
              <w:t>a</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1DC0812" w14:textId="3E53250B" w:rsidR="00C33AD1" w:rsidRPr="006B6D61" w:rsidRDefault="00C33AD1" w:rsidP="00BA4E5A">
            <w:pPr>
              <w:spacing w:after="0"/>
              <w:jc w:val="center"/>
              <w:rPr>
                <w:b/>
                <w:sz w:val="20"/>
                <w:szCs w:val="20"/>
              </w:rPr>
            </w:pPr>
            <w:r w:rsidRPr="006B6D61">
              <w:rPr>
                <w:rFonts w:eastAsia="Calibri" w:cstheme="minorHAnsi"/>
                <w:sz w:val="20"/>
                <w:szCs w:val="20"/>
              </w:rPr>
              <w:t>1</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12E64CB" w14:textId="16C0E4B3" w:rsidR="00C33AD1" w:rsidRPr="006B6D61" w:rsidRDefault="00C33AD1" w:rsidP="00BA4E5A">
            <w:pPr>
              <w:spacing w:after="0"/>
              <w:jc w:val="center"/>
              <w:rPr>
                <w:b/>
                <w:sz w:val="20"/>
                <w:szCs w:val="20"/>
              </w:rPr>
            </w:pPr>
            <w:r w:rsidRPr="006B6D61">
              <w:rPr>
                <w:rFonts w:eastAsia="Calibri" w:cstheme="minorHAnsi"/>
                <w:sz w:val="20"/>
                <w:szCs w:val="20"/>
              </w:rPr>
              <w:t>2</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BDD99CF" w14:textId="0112685E" w:rsidR="00C33AD1" w:rsidRPr="006B6D61" w:rsidRDefault="00C33AD1" w:rsidP="00BA4E5A">
            <w:pPr>
              <w:spacing w:after="0"/>
              <w:jc w:val="center"/>
              <w:rPr>
                <w:b/>
                <w:sz w:val="20"/>
                <w:szCs w:val="20"/>
              </w:rPr>
            </w:pPr>
            <w:r w:rsidRPr="006B6D61">
              <w:rPr>
                <w:rFonts w:eastAsia="Calibri" w:cstheme="minorHAnsi"/>
                <w:sz w:val="20"/>
                <w:szCs w:val="20"/>
              </w:rPr>
              <w:t>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F6280C6" w14:textId="3A3AA09C" w:rsidR="00C33AD1" w:rsidRPr="006B6D61" w:rsidRDefault="00C33AD1" w:rsidP="00BA4E5A">
            <w:pPr>
              <w:spacing w:after="0"/>
              <w:jc w:val="center"/>
              <w:rPr>
                <w:b/>
                <w:sz w:val="20"/>
                <w:szCs w:val="20"/>
              </w:rPr>
            </w:pPr>
            <w:r w:rsidRPr="006B6D61">
              <w:rPr>
                <w:rFonts w:eastAsia="Calibri" w:cstheme="minorHAnsi"/>
                <w:sz w:val="20"/>
                <w:szCs w:val="20"/>
              </w:rPr>
              <w:t>4</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0F31F51" w14:textId="76305EEE" w:rsidR="00C33AD1" w:rsidRPr="006B6D61" w:rsidRDefault="00C33AD1" w:rsidP="00BA4E5A">
            <w:pPr>
              <w:spacing w:after="0"/>
              <w:jc w:val="center"/>
              <w:rPr>
                <w:b/>
                <w:sz w:val="20"/>
                <w:szCs w:val="20"/>
              </w:rPr>
            </w:pPr>
            <w:r w:rsidRPr="006B6D61">
              <w:rPr>
                <w:rFonts w:eastAsia="Calibri" w:cstheme="minorHAnsi"/>
                <w:sz w:val="20"/>
                <w:szCs w:val="20"/>
              </w:rPr>
              <w:t>5</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A055C23" w14:textId="38B6C919" w:rsidR="00C33AD1" w:rsidRPr="006B6D61" w:rsidRDefault="00C33AD1" w:rsidP="00BA4E5A">
            <w:pPr>
              <w:spacing w:after="0"/>
              <w:jc w:val="center"/>
              <w:rPr>
                <w:b/>
                <w:sz w:val="20"/>
                <w:szCs w:val="20"/>
              </w:rPr>
            </w:pPr>
            <w:r w:rsidRPr="006B6D61">
              <w:rPr>
                <w:rFonts w:eastAsia="Calibri" w:cstheme="minorHAnsi"/>
                <w:sz w:val="20"/>
                <w:szCs w:val="20"/>
              </w:rPr>
              <w:t>5/1</w:t>
            </w:r>
          </w:p>
        </w:tc>
      </w:tr>
      <w:tr w:rsidR="00DE3737" w:rsidRPr="0044012B" w14:paraId="6AE97993"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1FFD2925" w14:textId="0D3F4A16" w:rsidR="00C33AD1" w:rsidRPr="006B6D61" w:rsidRDefault="00C33AD1" w:rsidP="00BA4E5A">
            <w:pPr>
              <w:spacing w:after="0"/>
              <w:rPr>
                <w:b/>
                <w:bCs/>
                <w:sz w:val="20"/>
                <w:szCs w:val="20"/>
              </w:rPr>
            </w:pPr>
            <w:r w:rsidRPr="006B6D61">
              <w:rPr>
                <w:b/>
                <w:sz w:val="20"/>
                <w:szCs w:val="20"/>
              </w:rPr>
              <w:t xml:space="preserve">Transfery celkem </w:t>
            </w:r>
            <w:r w:rsidR="00FB771D" w:rsidRPr="006B6D61">
              <w:rPr>
                <w:sz w:val="20"/>
                <w:szCs w:val="20"/>
              </w:rPr>
              <w:t>(v tom:)</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E20239E" w14:textId="2B28C74B" w:rsidR="00C33AD1" w:rsidRPr="006B6D61" w:rsidRDefault="005F4228" w:rsidP="00BA4E5A">
            <w:pPr>
              <w:spacing w:after="0"/>
              <w:jc w:val="right"/>
              <w:rPr>
                <w:b/>
                <w:bCs/>
                <w:sz w:val="20"/>
                <w:szCs w:val="20"/>
              </w:rPr>
            </w:pPr>
            <w:r w:rsidRPr="006B6D61">
              <w:rPr>
                <w:b/>
                <w:sz w:val="20"/>
                <w:szCs w:val="20"/>
              </w:rPr>
              <w:t>127 034</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203408F" w14:textId="56725280" w:rsidR="00C33AD1" w:rsidRPr="006B6D61" w:rsidRDefault="00E80878" w:rsidP="00BA4E5A">
            <w:pPr>
              <w:spacing w:after="0"/>
              <w:jc w:val="right"/>
              <w:rPr>
                <w:b/>
                <w:bCs/>
                <w:sz w:val="20"/>
                <w:szCs w:val="20"/>
              </w:rPr>
            </w:pPr>
            <w:r w:rsidRPr="006B6D61">
              <w:rPr>
                <w:b/>
                <w:sz w:val="20"/>
                <w:szCs w:val="20"/>
              </w:rPr>
              <w:t>147 663</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1D097D3" w14:textId="7AD3D28F" w:rsidR="00C33AD1" w:rsidRPr="006B6D61" w:rsidRDefault="00383BC3" w:rsidP="00BA4E5A">
            <w:pPr>
              <w:spacing w:after="0"/>
              <w:jc w:val="right"/>
              <w:rPr>
                <w:b/>
                <w:bCs/>
                <w:sz w:val="20"/>
                <w:szCs w:val="20"/>
              </w:rPr>
            </w:pPr>
            <w:r w:rsidRPr="006B6D61">
              <w:rPr>
                <w:b/>
                <w:sz w:val="20"/>
                <w:szCs w:val="20"/>
              </w:rPr>
              <w:t>147 663</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A5D4662" w14:textId="2B41C4E4" w:rsidR="00C33AD1" w:rsidRPr="006B6D61" w:rsidRDefault="006D79E3" w:rsidP="00BA4E5A">
            <w:pPr>
              <w:spacing w:after="0"/>
              <w:jc w:val="right"/>
              <w:rPr>
                <w:b/>
                <w:bCs/>
                <w:sz w:val="20"/>
                <w:szCs w:val="20"/>
              </w:rPr>
            </w:pPr>
            <w:r w:rsidRPr="006B6D61">
              <w:rPr>
                <w:b/>
                <w:sz w:val="20"/>
                <w:szCs w:val="20"/>
              </w:rPr>
              <w:t>147 663</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761D114" w14:textId="152B2BEF" w:rsidR="00C33AD1" w:rsidRPr="006B6D61" w:rsidRDefault="00EF64B1" w:rsidP="00BA4E5A">
            <w:pPr>
              <w:spacing w:after="0"/>
              <w:jc w:val="right"/>
              <w:rPr>
                <w:b/>
                <w:bCs/>
                <w:sz w:val="20"/>
                <w:szCs w:val="20"/>
              </w:rPr>
            </w:pPr>
            <w:r w:rsidRPr="006B6D61">
              <w:rPr>
                <w:b/>
                <w:sz w:val="20"/>
                <w:szCs w:val="20"/>
              </w:rPr>
              <w:t>141 260</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E9EBDF0" w14:textId="34411FC8" w:rsidR="00C33AD1" w:rsidRPr="006B6D61" w:rsidRDefault="00760F11" w:rsidP="00BA4E5A">
            <w:pPr>
              <w:spacing w:after="0"/>
              <w:jc w:val="right"/>
              <w:rPr>
                <w:b/>
                <w:bCs/>
                <w:sz w:val="20"/>
                <w:szCs w:val="20"/>
              </w:rPr>
            </w:pPr>
            <w:r w:rsidRPr="006B6D61">
              <w:rPr>
                <w:b/>
                <w:sz w:val="20"/>
                <w:szCs w:val="20"/>
              </w:rPr>
              <w:t>111,2</w:t>
            </w:r>
          </w:p>
        </w:tc>
      </w:tr>
      <w:tr w:rsidR="00FB62A4" w:rsidRPr="0044012B" w14:paraId="24B3B1E2"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bottom"/>
          </w:tcPr>
          <w:p w14:paraId="36B581E8" w14:textId="6304B70B" w:rsidR="00B120F9" w:rsidRPr="006B6D61" w:rsidRDefault="00B120F9" w:rsidP="00B120F9">
            <w:pPr>
              <w:spacing w:after="0"/>
              <w:rPr>
                <w:b/>
                <w:bCs/>
                <w:sz w:val="20"/>
                <w:szCs w:val="20"/>
              </w:rPr>
            </w:pPr>
            <w:r w:rsidRPr="006B6D61">
              <w:rPr>
                <w:b/>
                <w:bCs/>
                <w:sz w:val="20"/>
                <w:szCs w:val="20"/>
              </w:rPr>
              <w:t xml:space="preserve">Neinvestiční transfery </w:t>
            </w:r>
            <w:r w:rsidR="00005095">
              <w:rPr>
                <w:b/>
                <w:bCs/>
                <w:sz w:val="20"/>
                <w:szCs w:val="20"/>
              </w:rPr>
              <w:br/>
            </w:r>
            <w:r w:rsidRPr="006B6D61">
              <w:rPr>
                <w:b/>
                <w:bCs/>
                <w:sz w:val="20"/>
                <w:szCs w:val="20"/>
              </w:rPr>
              <w:t>(v tom:)</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6C45841C" w14:textId="416CF8B9" w:rsidR="00B120F9" w:rsidRPr="00B120F9" w:rsidRDefault="00B120F9" w:rsidP="00B120F9">
            <w:pPr>
              <w:spacing w:after="0"/>
              <w:jc w:val="right"/>
              <w:rPr>
                <w:b/>
                <w:bCs/>
                <w:color w:val="FF0000"/>
                <w:sz w:val="20"/>
                <w:szCs w:val="20"/>
              </w:rPr>
            </w:pPr>
            <w:r w:rsidRPr="006B6D61">
              <w:rPr>
                <w:b/>
                <w:bCs/>
                <w:sz w:val="20"/>
                <w:szCs w:val="20"/>
              </w:rPr>
              <w:t>95 872</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1EA166A" w14:textId="0C8EAC79" w:rsidR="00B120F9" w:rsidRPr="00B120F9" w:rsidRDefault="00B120F9" w:rsidP="00B120F9">
            <w:pPr>
              <w:spacing w:after="0"/>
              <w:jc w:val="right"/>
              <w:rPr>
                <w:b/>
                <w:bCs/>
                <w:color w:val="FF0000"/>
                <w:sz w:val="20"/>
                <w:szCs w:val="20"/>
              </w:rPr>
            </w:pPr>
            <w:r w:rsidRPr="006B6D61">
              <w:rPr>
                <w:b/>
                <w:bCs/>
                <w:sz w:val="20"/>
                <w:szCs w:val="20"/>
              </w:rPr>
              <w:t>117 663</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C6ABE3E" w14:textId="587B5A93" w:rsidR="00B120F9" w:rsidRPr="00B120F9" w:rsidRDefault="00B120F9" w:rsidP="00B120F9">
            <w:pPr>
              <w:spacing w:after="0"/>
              <w:jc w:val="right"/>
              <w:rPr>
                <w:b/>
                <w:bCs/>
                <w:color w:val="FF0000"/>
                <w:sz w:val="20"/>
                <w:szCs w:val="20"/>
              </w:rPr>
            </w:pPr>
            <w:r w:rsidRPr="006B6D61">
              <w:rPr>
                <w:b/>
                <w:bCs/>
                <w:sz w:val="20"/>
                <w:szCs w:val="20"/>
              </w:rPr>
              <w:t>139 069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CBB035" w14:textId="0F4E9139" w:rsidR="00B120F9" w:rsidRPr="006B6D61" w:rsidRDefault="00187FC3" w:rsidP="00B120F9">
            <w:pPr>
              <w:spacing w:after="0"/>
              <w:jc w:val="right"/>
              <w:rPr>
                <w:b/>
                <w:bCs/>
                <w:sz w:val="20"/>
                <w:szCs w:val="20"/>
              </w:rPr>
            </w:pPr>
            <w:r w:rsidRPr="006B6D61">
              <w:rPr>
                <w:b/>
                <w:bCs/>
                <w:sz w:val="20"/>
                <w:szCs w:val="20"/>
              </w:rPr>
              <w:t>139 069</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6113348" w14:textId="5425E6B0" w:rsidR="00B120F9" w:rsidRPr="0077128B" w:rsidRDefault="008336B8" w:rsidP="00B120F9">
            <w:pPr>
              <w:spacing w:after="0"/>
              <w:jc w:val="right"/>
              <w:rPr>
                <w:b/>
                <w:bCs/>
                <w:color w:val="FF0000"/>
                <w:sz w:val="20"/>
                <w:szCs w:val="20"/>
              </w:rPr>
            </w:pPr>
            <w:r w:rsidRPr="006B6D61">
              <w:rPr>
                <w:b/>
                <w:bCs/>
                <w:sz w:val="20"/>
                <w:szCs w:val="20"/>
              </w:rPr>
              <w:t>132 667</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CE91411" w14:textId="4D0FC381" w:rsidR="00B120F9" w:rsidRPr="0077128B" w:rsidRDefault="002C5879" w:rsidP="00B120F9">
            <w:pPr>
              <w:spacing w:after="0"/>
              <w:jc w:val="right"/>
              <w:rPr>
                <w:b/>
                <w:bCs/>
                <w:color w:val="FF0000"/>
                <w:sz w:val="20"/>
                <w:szCs w:val="20"/>
              </w:rPr>
            </w:pPr>
            <w:r w:rsidRPr="006B6D61">
              <w:rPr>
                <w:b/>
                <w:bCs/>
                <w:sz w:val="20"/>
                <w:szCs w:val="20"/>
              </w:rPr>
              <w:t>138,</w:t>
            </w:r>
            <w:r w:rsidR="002733C6">
              <w:rPr>
                <w:b/>
                <w:bCs/>
                <w:sz w:val="20"/>
                <w:szCs w:val="20"/>
              </w:rPr>
              <w:t>4</w:t>
            </w:r>
          </w:p>
        </w:tc>
      </w:tr>
      <w:tr w:rsidR="00FB62A4" w:rsidRPr="0044012B" w14:paraId="5E120CEE"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2B79FE5" w14:textId="0F4DB7A7" w:rsidR="004F03A9" w:rsidRPr="006B6D61" w:rsidRDefault="004F03A9" w:rsidP="004F03A9">
            <w:pPr>
              <w:spacing w:after="0"/>
              <w:rPr>
                <w:b/>
                <w:bCs/>
                <w:sz w:val="20"/>
                <w:szCs w:val="20"/>
              </w:rPr>
            </w:pPr>
            <w:proofErr w:type="spellStart"/>
            <w:r w:rsidRPr="006B6D61">
              <w:rPr>
                <w:b/>
                <w:bCs/>
                <w:sz w:val="20"/>
                <w:szCs w:val="20"/>
              </w:rPr>
              <w:t>Ost</w:t>
            </w:r>
            <w:proofErr w:type="spellEnd"/>
            <w:r w:rsidRPr="006B6D61">
              <w:rPr>
                <w:b/>
                <w:bCs/>
                <w:sz w:val="20"/>
                <w:szCs w:val="20"/>
              </w:rPr>
              <w:t>. příspěvkové apod. organizace</w:t>
            </w:r>
          </w:p>
        </w:tc>
        <w:tc>
          <w:tcPr>
            <w:tcW w:w="1276" w:type="dxa"/>
            <w:tcBorders>
              <w:top w:val="single" w:sz="4" w:space="0" w:color="auto"/>
              <w:left w:val="nil"/>
              <w:bottom w:val="nil"/>
              <w:right w:val="single" w:sz="4" w:space="0" w:color="auto"/>
            </w:tcBorders>
            <w:shd w:val="clear" w:color="000000" w:fill="FFFFFF"/>
            <w:noWrap/>
            <w:vAlign w:val="center"/>
            <w:hideMark/>
          </w:tcPr>
          <w:p w14:paraId="597DBA7B" w14:textId="70CC1655" w:rsidR="004F03A9" w:rsidRPr="0077128B" w:rsidRDefault="004F03A9" w:rsidP="004F03A9">
            <w:pPr>
              <w:spacing w:after="0"/>
              <w:jc w:val="right"/>
              <w:rPr>
                <w:b/>
                <w:bCs/>
                <w:color w:val="FF0000"/>
                <w:sz w:val="20"/>
                <w:szCs w:val="20"/>
              </w:rPr>
            </w:pPr>
            <w:r w:rsidRPr="00C81DB0">
              <w:rPr>
                <w:b/>
                <w:bCs/>
                <w:sz w:val="20"/>
                <w:szCs w:val="20"/>
              </w:rPr>
              <w:t>95 872</w:t>
            </w:r>
          </w:p>
        </w:tc>
        <w:tc>
          <w:tcPr>
            <w:tcW w:w="1134" w:type="dxa"/>
            <w:tcBorders>
              <w:top w:val="single" w:sz="4" w:space="0" w:color="auto"/>
              <w:left w:val="nil"/>
              <w:bottom w:val="nil"/>
              <w:right w:val="single" w:sz="4" w:space="0" w:color="auto"/>
            </w:tcBorders>
            <w:shd w:val="clear" w:color="000000" w:fill="FFFFFF"/>
            <w:noWrap/>
            <w:vAlign w:val="center"/>
            <w:hideMark/>
          </w:tcPr>
          <w:p w14:paraId="4767D38E" w14:textId="6081BF5A" w:rsidR="004F03A9" w:rsidRPr="0077128B" w:rsidRDefault="004F03A9" w:rsidP="004F03A9">
            <w:pPr>
              <w:spacing w:after="0"/>
              <w:jc w:val="right"/>
              <w:rPr>
                <w:b/>
                <w:bCs/>
                <w:color w:val="FF0000"/>
                <w:sz w:val="20"/>
                <w:szCs w:val="20"/>
              </w:rPr>
            </w:pPr>
            <w:r w:rsidRPr="00C81DB0">
              <w:rPr>
                <w:b/>
                <w:bCs/>
                <w:sz w:val="20"/>
                <w:szCs w:val="20"/>
              </w:rPr>
              <w:t>117 663</w:t>
            </w:r>
          </w:p>
        </w:tc>
        <w:tc>
          <w:tcPr>
            <w:tcW w:w="1134" w:type="dxa"/>
            <w:tcBorders>
              <w:top w:val="single" w:sz="4" w:space="0" w:color="auto"/>
              <w:left w:val="nil"/>
              <w:bottom w:val="nil"/>
              <w:right w:val="single" w:sz="4" w:space="0" w:color="auto"/>
            </w:tcBorders>
            <w:shd w:val="clear" w:color="000000" w:fill="FFFFFF"/>
            <w:noWrap/>
            <w:vAlign w:val="center"/>
            <w:hideMark/>
          </w:tcPr>
          <w:p w14:paraId="752BDB61" w14:textId="6C96BEED" w:rsidR="004F03A9" w:rsidRPr="0077128B" w:rsidRDefault="004F03A9" w:rsidP="004F03A9">
            <w:pPr>
              <w:spacing w:after="0"/>
              <w:jc w:val="right"/>
              <w:rPr>
                <w:b/>
                <w:bCs/>
                <w:color w:val="FF0000"/>
                <w:sz w:val="20"/>
                <w:szCs w:val="20"/>
              </w:rPr>
            </w:pPr>
            <w:r w:rsidRPr="00C81DB0">
              <w:rPr>
                <w:b/>
                <w:bCs/>
                <w:sz w:val="20"/>
                <w:szCs w:val="20"/>
              </w:rPr>
              <w:t>139 069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2C4BE2D" w14:textId="6E278521" w:rsidR="004F03A9" w:rsidRPr="006B6D61" w:rsidRDefault="00672735" w:rsidP="004F03A9">
            <w:pPr>
              <w:spacing w:after="0"/>
              <w:jc w:val="right"/>
              <w:rPr>
                <w:b/>
                <w:bCs/>
                <w:sz w:val="20"/>
                <w:szCs w:val="20"/>
              </w:rPr>
            </w:pPr>
            <w:r w:rsidRPr="006B6D61">
              <w:rPr>
                <w:b/>
                <w:bCs/>
                <w:sz w:val="20"/>
                <w:szCs w:val="20"/>
              </w:rPr>
              <w:t>139 069</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E8C0E8D" w14:textId="7D2B26B7" w:rsidR="004F03A9" w:rsidRPr="0077128B" w:rsidRDefault="004F03A9" w:rsidP="004F03A9">
            <w:pPr>
              <w:spacing w:after="0"/>
              <w:jc w:val="right"/>
              <w:rPr>
                <w:b/>
                <w:bCs/>
                <w:color w:val="FF0000"/>
                <w:sz w:val="20"/>
                <w:szCs w:val="20"/>
              </w:rPr>
            </w:pPr>
            <w:r w:rsidRPr="00C81DB0">
              <w:rPr>
                <w:b/>
                <w:bCs/>
                <w:sz w:val="20"/>
                <w:szCs w:val="20"/>
              </w:rPr>
              <w:t>132 667</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E270E6" w14:textId="7B7931B0" w:rsidR="004F03A9" w:rsidRPr="0077128B" w:rsidRDefault="004F03A9" w:rsidP="004F03A9">
            <w:pPr>
              <w:spacing w:after="0"/>
              <w:jc w:val="right"/>
              <w:rPr>
                <w:b/>
                <w:bCs/>
                <w:color w:val="FF0000"/>
                <w:sz w:val="20"/>
                <w:szCs w:val="20"/>
              </w:rPr>
            </w:pPr>
            <w:r w:rsidRPr="00C81DB0">
              <w:rPr>
                <w:b/>
                <w:bCs/>
                <w:sz w:val="20"/>
                <w:szCs w:val="20"/>
              </w:rPr>
              <w:t>138,</w:t>
            </w:r>
            <w:r w:rsidR="002733C6">
              <w:rPr>
                <w:b/>
                <w:bCs/>
                <w:sz w:val="20"/>
                <w:szCs w:val="20"/>
              </w:rPr>
              <w:t>4</w:t>
            </w:r>
          </w:p>
        </w:tc>
      </w:tr>
      <w:tr w:rsidR="00B12724" w:rsidRPr="0044012B" w14:paraId="5E36C69B" w14:textId="77777777" w:rsidTr="003708D7">
        <w:trPr>
          <w:trHeight w:val="295"/>
        </w:trPr>
        <w:tc>
          <w:tcPr>
            <w:tcW w:w="2982" w:type="dxa"/>
            <w:gridSpan w:val="3"/>
            <w:tcBorders>
              <w:top w:val="single" w:sz="4" w:space="0" w:color="auto"/>
              <w:left w:val="single" w:sz="4" w:space="0" w:color="auto"/>
              <w:bottom w:val="single" w:sz="4" w:space="0" w:color="auto"/>
              <w:right w:val="nil"/>
            </w:tcBorders>
            <w:shd w:val="clear" w:color="000000" w:fill="FFFFFF"/>
            <w:noWrap/>
            <w:vAlign w:val="bottom"/>
            <w:hideMark/>
          </w:tcPr>
          <w:p w14:paraId="7586FD72" w14:textId="77777777" w:rsidR="00C33AD1" w:rsidRPr="006B6D61" w:rsidRDefault="00C33AD1" w:rsidP="00BA4E5A">
            <w:pPr>
              <w:spacing w:after="0"/>
              <w:rPr>
                <w:sz w:val="20"/>
                <w:szCs w:val="20"/>
              </w:rPr>
            </w:pPr>
            <w:r w:rsidRPr="006B6D61">
              <w:rPr>
                <w:sz w:val="20"/>
                <w:szCs w:val="20"/>
              </w:rPr>
              <w:t>v tom:</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6B5E956" w14:textId="77777777" w:rsidR="00C33AD1" w:rsidRPr="0077128B" w:rsidRDefault="00C33AD1" w:rsidP="00BA4E5A">
            <w:pPr>
              <w:spacing w:after="0"/>
              <w:rPr>
                <w:color w:val="FF0000"/>
                <w:sz w:val="20"/>
                <w:szCs w:val="20"/>
              </w:rPr>
            </w:pPr>
            <w:r w:rsidRPr="0077128B">
              <w:rPr>
                <w:color w:val="FF0000"/>
                <w:sz w:val="20"/>
                <w:szCs w:val="20"/>
              </w:rPr>
              <w:t> </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1BC569E0" w14:textId="77777777" w:rsidR="00C33AD1" w:rsidRPr="0077128B" w:rsidRDefault="00C33AD1" w:rsidP="00BA4E5A">
            <w:pPr>
              <w:spacing w:after="0"/>
              <w:rPr>
                <w:color w:val="FF0000"/>
                <w:sz w:val="20"/>
                <w:szCs w:val="20"/>
              </w:rPr>
            </w:pPr>
            <w:r w:rsidRPr="0077128B">
              <w:rPr>
                <w:color w:val="FF0000"/>
                <w:sz w:val="20"/>
                <w:szCs w:val="20"/>
              </w:rPr>
              <w:t> </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7F7B83D9" w14:textId="77777777" w:rsidR="00C33AD1" w:rsidRPr="002F1BE7" w:rsidRDefault="00C33AD1" w:rsidP="00BA4E5A">
            <w:pPr>
              <w:spacing w:after="0"/>
              <w:rPr>
                <w:color w:val="FF0000"/>
                <w:sz w:val="20"/>
                <w:szCs w:val="20"/>
              </w:rPr>
            </w:pPr>
            <w:r w:rsidRPr="002F1BE7">
              <w:rPr>
                <w:color w:val="FF0000"/>
                <w:sz w:val="20"/>
                <w:szCs w:val="20"/>
              </w:rPr>
              <w:t> </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7E834411" w14:textId="77777777" w:rsidR="00C33AD1" w:rsidRPr="006B6D61" w:rsidRDefault="00C33AD1" w:rsidP="00BA4E5A">
            <w:pPr>
              <w:spacing w:after="0"/>
              <w:jc w:val="right"/>
              <w:rPr>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07E14FE" w14:textId="00C0C647" w:rsidR="00C33AD1" w:rsidRPr="002F1BE7" w:rsidRDefault="00C33AD1" w:rsidP="00BA4E5A">
            <w:pPr>
              <w:spacing w:after="0"/>
              <w:rPr>
                <w:color w:val="FF0000"/>
                <w:sz w:val="20"/>
                <w:szCs w:val="20"/>
              </w:rPr>
            </w:pPr>
            <w:r w:rsidRPr="002F1BE7">
              <w:rPr>
                <w:color w:val="FF0000"/>
                <w:sz w:val="20"/>
                <w:szCs w:val="20"/>
              </w:rPr>
              <w:t> </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2D6A3317" w14:textId="77777777" w:rsidR="00C33AD1" w:rsidRPr="0077128B" w:rsidRDefault="00C33AD1" w:rsidP="00BA4E5A">
            <w:pPr>
              <w:spacing w:after="0"/>
              <w:jc w:val="right"/>
              <w:rPr>
                <w:b/>
                <w:bCs/>
                <w:color w:val="FF0000"/>
                <w:sz w:val="20"/>
                <w:szCs w:val="20"/>
              </w:rPr>
            </w:pPr>
            <w:r w:rsidRPr="0077128B">
              <w:rPr>
                <w:b/>
                <w:bCs/>
                <w:color w:val="FF0000"/>
                <w:sz w:val="20"/>
                <w:szCs w:val="20"/>
              </w:rPr>
              <w:t> </w:t>
            </w:r>
          </w:p>
        </w:tc>
      </w:tr>
      <w:tr w:rsidR="003708D7" w:rsidRPr="0044012B" w14:paraId="463E0C2F"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hideMark/>
          </w:tcPr>
          <w:p w14:paraId="7A2B60D2" w14:textId="77777777" w:rsidR="00C33AD1" w:rsidRPr="006B6D61" w:rsidRDefault="00C33AD1" w:rsidP="00BA4E5A">
            <w:pPr>
              <w:spacing w:after="0"/>
              <w:rPr>
                <w:sz w:val="20"/>
                <w:szCs w:val="20"/>
              </w:rPr>
            </w:pPr>
            <w:r w:rsidRPr="006B6D61">
              <w:rPr>
                <w:sz w:val="20"/>
                <w:szCs w:val="20"/>
              </w:rPr>
              <w:t> </w:t>
            </w:r>
          </w:p>
        </w:tc>
        <w:tc>
          <w:tcPr>
            <w:tcW w:w="2797" w:type="dxa"/>
            <w:gridSpan w:val="2"/>
            <w:tcBorders>
              <w:top w:val="single" w:sz="4" w:space="0" w:color="auto"/>
              <w:left w:val="nil"/>
              <w:bottom w:val="single" w:sz="4" w:space="0" w:color="auto"/>
              <w:right w:val="single" w:sz="4" w:space="0" w:color="auto"/>
            </w:tcBorders>
            <w:shd w:val="clear" w:color="000000" w:fill="FFFFFF"/>
            <w:noWrap/>
            <w:vAlign w:val="bottom"/>
            <w:hideMark/>
          </w:tcPr>
          <w:p w14:paraId="6D2E533E" w14:textId="77777777" w:rsidR="00C33AD1" w:rsidRPr="006B6D61" w:rsidRDefault="00C33AD1" w:rsidP="00BA4E5A">
            <w:pPr>
              <w:spacing w:after="0"/>
              <w:rPr>
                <w:sz w:val="20"/>
                <w:szCs w:val="20"/>
              </w:rPr>
            </w:pPr>
            <w:r w:rsidRPr="006B6D61">
              <w:rPr>
                <w:sz w:val="20"/>
                <w:szCs w:val="20"/>
              </w:rPr>
              <w:t>Veřejné výzkumné instituce</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53C7493" w14:textId="439E2791" w:rsidR="00C33AD1" w:rsidRPr="006B6D61" w:rsidRDefault="00E82235" w:rsidP="00BA4E5A">
            <w:pPr>
              <w:spacing w:after="0"/>
              <w:jc w:val="right"/>
              <w:rPr>
                <w:sz w:val="20"/>
                <w:szCs w:val="20"/>
              </w:rPr>
            </w:pPr>
            <w:r w:rsidRPr="006B6D61">
              <w:rPr>
                <w:sz w:val="20"/>
                <w:szCs w:val="20"/>
              </w:rPr>
              <w:t>95 872</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B50F968" w14:textId="2560CAE8" w:rsidR="00C33AD1" w:rsidRPr="006B6D61" w:rsidRDefault="00E82235" w:rsidP="00BA4E5A">
            <w:pPr>
              <w:spacing w:after="0"/>
              <w:jc w:val="right"/>
              <w:rPr>
                <w:sz w:val="20"/>
                <w:szCs w:val="20"/>
              </w:rPr>
            </w:pPr>
            <w:r w:rsidRPr="006B6D61">
              <w:rPr>
                <w:sz w:val="20"/>
                <w:szCs w:val="20"/>
              </w:rPr>
              <w:t>117 663</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7CC1A2" w14:textId="0D54E8F9" w:rsidR="00C33AD1" w:rsidRPr="006B6D61" w:rsidRDefault="00E82235" w:rsidP="00BA4E5A">
            <w:pPr>
              <w:spacing w:after="0"/>
              <w:jc w:val="right"/>
              <w:rPr>
                <w:sz w:val="20"/>
                <w:szCs w:val="20"/>
              </w:rPr>
            </w:pPr>
            <w:r w:rsidRPr="006B6D61">
              <w:rPr>
                <w:sz w:val="20"/>
                <w:szCs w:val="20"/>
              </w:rPr>
              <w:t>139 069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CCDC49" w14:textId="0D7A3EE6" w:rsidR="00C33AD1" w:rsidRPr="006B6D61" w:rsidRDefault="00672735" w:rsidP="00BA4E5A">
            <w:pPr>
              <w:spacing w:after="0"/>
              <w:jc w:val="right"/>
              <w:rPr>
                <w:sz w:val="20"/>
                <w:szCs w:val="20"/>
              </w:rPr>
            </w:pPr>
            <w:r w:rsidRPr="006B6D61">
              <w:rPr>
                <w:sz w:val="20"/>
                <w:szCs w:val="20"/>
              </w:rPr>
              <w:t>139 069</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91D15D5" w14:textId="25CBB800" w:rsidR="00C33AD1" w:rsidRPr="006B6D61" w:rsidRDefault="00E82235" w:rsidP="00BA4E5A">
            <w:pPr>
              <w:spacing w:after="0"/>
              <w:jc w:val="right"/>
              <w:rPr>
                <w:sz w:val="20"/>
                <w:szCs w:val="20"/>
              </w:rPr>
            </w:pPr>
            <w:r w:rsidRPr="006B6D61">
              <w:rPr>
                <w:sz w:val="20"/>
                <w:szCs w:val="20"/>
              </w:rPr>
              <w:t>132 667</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109C04" w14:textId="135EA58E" w:rsidR="00C33AD1" w:rsidRPr="006B6D61" w:rsidRDefault="00E82235" w:rsidP="00BA4E5A">
            <w:pPr>
              <w:spacing w:after="0"/>
              <w:jc w:val="right"/>
              <w:rPr>
                <w:sz w:val="20"/>
                <w:szCs w:val="20"/>
              </w:rPr>
            </w:pPr>
            <w:r w:rsidRPr="006B6D61">
              <w:rPr>
                <w:sz w:val="20"/>
                <w:szCs w:val="20"/>
              </w:rPr>
              <w:t>138,</w:t>
            </w:r>
            <w:r w:rsidR="002733C6">
              <w:rPr>
                <w:sz w:val="20"/>
                <w:szCs w:val="20"/>
              </w:rPr>
              <w:t>4</w:t>
            </w:r>
          </w:p>
        </w:tc>
      </w:tr>
      <w:tr w:rsidR="003708D7" w:rsidRPr="0044012B" w14:paraId="2BE28703"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hideMark/>
          </w:tcPr>
          <w:p w14:paraId="556652E5" w14:textId="77777777" w:rsidR="00C33AD1" w:rsidRPr="006B6D61" w:rsidRDefault="00C33AD1" w:rsidP="00BA4E5A">
            <w:pPr>
              <w:spacing w:after="0"/>
              <w:rPr>
                <w:sz w:val="20"/>
                <w:szCs w:val="20"/>
              </w:rPr>
            </w:pPr>
            <w:r w:rsidRPr="006B6D61">
              <w:rPr>
                <w:sz w:val="20"/>
                <w:szCs w:val="20"/>
              </w:rPr>
              <w:t> </w:t>
            </w:r>
          </w:p>
        </w:tc>
        <w:tc>
          <w:tcPr>
            <w:tcW w:w="2797" w:type="dxa"/>
            <w:gridSpan w:val="2"/>
            <w:tcBorders>
              <w:top w:val="single" w:sz="4" w:space="0" w:color="auto"/>
              <w:left w:val="nil"/>
              <w:bottom w:val="single" w:sz="4" w:space="0" w:color="auto"/>
              <w:right w:val="single" w:sz="4" w:space="0" w:color="auto"/>
            </w:tcBorders>
            <w:shd w:val="clear" w:color="000000" w:fill="FFFFFF"/>
            <w:noWrap/>
            <w:vAlign w:val="bottom"/>
            <w:hideMark/>
          </w:tcPr>
          <w:p w14:paraId="518703A4" w14:textId="77777777" w:rsidR="00C33AD1" w:rsidRPr="006B6D61" w:rsidRDefault="00C33AD1" w:rsidP="00BA4E5A">
            <w:pPr>
              <w:spacing w:after="0"/>
              <w:rPr>
                <w:sz w:val="20"/>
                <w:szCs w:val="20"/>
              </w:rPr>
            </w:pPr>
            <w:r w:rsidRPr="006B6D61">
              <w:rPr>
                <w:sz w:val="20"/>
                <w:szCs w:val="20"/>
              </w:rPr>
              <w:t>v tom:</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3A38C5C" w14:textId="77777777" w:rsidR="00C33AD1" w:rsidRPr="00EB6552" w:rsidRDefault="00C33AD1" w:rsidP="00BA4E5A">
            <w:pPr>
              <w:spacing w:after="0"/>
              <w:rPr>
                <w:color w:val="FF0000"/>
                <w:sz w:val="20"/>
                <w:szCs w:val="20"/>
              </w:rPr>
            </w:pPr>
            <w:r w:rsidRPr="00EB6552">
              <w:rPr>
                <w:color w:val="FF0000"/>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44C80D5" w14:textId="77777777" w:rsidR="00C33AD1" w:rsidRPr="00EB6552" w:rsidRDefault="00C33AD1" w:rsidP="00BA4E5A">
            <w:pPr>
              <w:spacing w:after="0"/>
              <w:rPr>
                <w:color w:val="FF0000"/>
                <w:sz w:val="20"/>
                <w:szCs w:val="20"/>
              </w:rPr>
            </w:pPr>
            <w:r w:rsidRPr="00EB6552">
              <w:rPr>
                <w:color w:val="FF0000"/>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F75C4C" w14:textId="77777777" w:rsidR="00C33AD1" w:rsidRPr="00EB6552" w:rsidRDefault="00C33AD1" w:rsidP="00BA4E5A">
            <w:pPr>
              <w:spacing w:after="0"/>
              <w:rPr>
                <w:color w:val="FF0000"/>
                <w:sz w:val="20"/>
                <w:szCs w:val="20"/>
              </w:rPr>
            </w:pPr>
            <w:r w:rsidRPr="00EB6552">
              <w:rPr>
                <w:color w:val="FF0000"/>
                <w:sz w:val="20"/>
                <w:szCs w:val="20"/>
              </w:rPr>
              <w:t> </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3E4835" w14:textId="77777777" w:rsidR="00C33AD1" w:rsidRPr="006B6D61" w:rsidRDefault="00C33AD1" w:rsidP="00BA4E5A">
            <w:pPr>
              <w:spacing w:after="0"/>
              <w:jc w:val="right"/>
              <w:rPr>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D9C9F41" w14:textId="732BD2AE" w:rsidR="00C33AD1" w:rsidRPr="00EB6552" w:rsidRDefault="00C33AD1" w:rsidP="00BA4E5A">
            <w:pPr>
              <w:spacing w:after="0"/>
              <w:rPr>
                <w:color w:val="FF0000"/>
                <w:sz w:val="20"/>
                <w:szCs w:val="20"/>
              </w:rPr>
            </w:pPr>
            <w:r w:rsidRPr="00EB6552">
              <w:rPr>
                <w:color w:val="FF0000"/>
                <w:sz w:val="20"/>
                <w:szCs w:val="20"/>
              </w:rPr>
              <w:t> </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5543E30" w14:textId="77777777" w:rsidR="00C33AD1" w:rsidRPr="00EB6552" w:rsidRDefault="00C33AD1" w:rsidP="00BA4E5A">
            <w:pPr>
              <w:spacing w:after="0"/>
              <w:jc w:val="right"/>
              <w:rPr>
                <w:color w:val="FF0000"/>
                <w:sz w:val="20"/>
                <w:szCs w:val="20"/>
              </w:rPr>
            </w:pPr>
          </w:p>
        </w:tc>
      </w:tr>
      <w:tr w:rsidR="003708D7" w:rsidRPr="0044012B" w14:paraId="473392DC"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hideMark/>
          </w:tcPr>
          <w:p w14:paraId="2C62542F" w14:textId="77777777" w:rsidR="00223C22" w:rsidRPr="006B6D61" w:rsidRDefault="00223C22" w:rsidP="00223C22">
            <w:pPr>
              <w:spacing w:after="0"/>
              <w:rPr>
                <w:sz w:val="20"/>
                <w:szCs w:val="20"/>
              </w:rPr>
            </w:pPr>
            <w:r w:rsidRPr="006B6D61">
              <w:rPr>
                <w:sz w:val="20"/>
                <w:szCs w:val="20"/>
              </w:rPr>
              <w:t> </w:t>
            </w:r>
          </w:p>
        </w:tc>
        <w:tc>
          <w:tcPr>
            <w:tcW w:w="186" w:type="dxa"/>
            <w:tcBorders>
              <w:top w:val="single" w:sz="4" w:space="0" w:color="auto"/>
              <w:left w:val="nil"/>
              <w:bottom w:val="single" w:sz="4" w:space="0" w:color="auto"/>
            </w:tcBorders>
            <w:shd w:val="clear" w:color="000000" w:fill="FFFFFF"/>
            <w:noWrap/>
            <w:vAlign w:val="bottom"/>
            <w:hideMark/>
          </w:tcPr>
          <w:p w14:paraId="53445D99" w14:textId="77777777" w:rsidR="00223C22" w:rsidRPr="006B6D61" w:rsidRDefault="00223C22" w:rsidP="00223C22">
            <w:pPr>
              <w:spacing w:after="0"/>
              <w:rPr>
                <w:sz w:val="20"/>
                <w:szCs w:val="20"/>
              </w:rPr>
            </w:pPr>
            <w:r w:rsidRPr="006B6D61">
              <w:rPr>
                <w:sz w:val="20"/>
                <w:szCs w:val="20"/>
              </w:rPr>
              <w:t> </w:t>
            </w:r>
          </w:p>
        </w:tc>
        <w:tc>
          <w:tcPr>
            <w:tcW w:w="2611" w:type="dxa"/>
            <w:tcBorders>
              <w:top w:val="single" w:sz="4" w:space="0" w:color="auto"/>
              <w:left w:val="nil"/>
              <w:bottom w:val="single" w:sz="4" w:space="0" w:color="auto"/>
              <w:right w:val="single" w:sz="4" w:space="0" w:color="auto"/>
            </w:tcBorders>
            <w:shd w:val="clear" w:color="000000" w:fill="FFFFFF"/>
            <w:noWrap/>
            <w:vAlign w:val="bottom"/>
            <w:hideMark/>
          </w:tcPr>
          <w:p w14:paraId="00C79E36" w14:textId="77777777" w:rsidR="00223C22" w:rsidRPr="006B6D61" w:rsidRDefault="00223C22" w:rsidP="00223C22">
            <w:pPr>
              <w:spacing w:after="0"/>
              <w:rPr>
                <w:sz w:val="20"/>
                <w:szCs w:val="20"/>
              </w:rPr>
            </w:pPr>
            <w:r w:rsidRPr="006B6D61">
              <w:rPr>
                <w:sz w:val="20"/>
                <w:szCs w:val="20"/>
              </w:rPr>
              <w:t>výzkum, vývoj a inovace (institucionální podpora)</w:t>
            </w:r>
          </w:p>
        </w:tc>
        <w:tc>
          <w:tcPr>
            <w:tcW w:w="1276" w:type="dxa"/>
            <w:tcBorders>
              <w:top w:val="nil"/>
              <w:left w:val="nil"/>
              <w:bottom w:val="single" w:sz="4" w:space="0" w:color="auto"/>
              <w:right w:val="single" w:sz="4" w:space="0" w:color="auto"/>
            </w:tcBorders>
            <w:shd w:val="clear" w:color="000000" w:fill="FFFFFF"/>
            <w:noWrap/>
            <w:vAlign w:val="center"/>
            <w:hideMark/>
          </w:tcPr>
          <w:p w14:paraId="050D391D" w14:textId="3101EBFD" w:rsidR="00223C22" w:rsidRPr="00EB6552" w:rsidRDefault="00223C22" w:rsidP="00223C22">
            <w:pPr>
              <w:spacing w:after="0"/>
              <w:jc w:val="right"/>
              <w:rPr>
                <w:color w:val="FF0000"/>
                <w:sz w:val="20"/>
                <w:szCs w:val="20"/>
              </w:rPr>
            </w:pPr>
            <w:r w:rsidRPr="006B6D61">
              <w:rPr>
                <w:sz w:val="20"/>
                <w:szCs w:val="20"/>
              </w:rPr>
              <w:t>67 663</w:t>
            </w:r>
          </w:p>
        </w:tc>
        <w:tc>
          <w:tcPr>
            <w:tcW w:w="1134" w:type="dxa"/>
            <w:tcBorders>
              <w:top w:val="nil"/>
              <w:left w:val="nil"/>
              <w:bottom w:val="single" w:sz="4" w:space="0" w:color="auto"/>
              <w:right w:val="single" w:sz="4" w:space="0" w:color="auto"/>
            </w:tcBorders>
            <w:shd w:val="clear" w:color="000000" w:fill="FFFFFF"/>
            <w:noWrap/>
            <w:vAlign w:val="center"/>
            <w:hideMark/>
          </w:tcPr>
          <w:p w14:paraId="6754C98D" w14:textId="3D484B8C" w:rsidR="00223C22" w:rsidRPr="00EB6552" w:rsidRDefault="00223C22" w:rsidP="00223C22">
            <w:pPr>
              <w:spacing w:after="0"/>
              <w:jc w:val="right"/>
              <w:rPr>
                <w:color w:val="FF0000"/>
                <w:sz w:val="20"/>
                <w:szCs w:val="20"/>
              </w:rPr>
            </w:pPr>
            <w:r w:rsidRPr="006B6D61">
              <w:rPr>
                <w:sz w:val="20"/>
                <w:szCs w:val="20"/>
              </w:rPr>
              <w:t>67 663</w:t>
            </w:r>
          </w:p>
        </w:tc>
        <w:tc>
          <w:tcPr>
            <w:tcW w:w="1134" w:type="dxa"/>
            <w:tcBorders>
              <w:top w:val="nil"/>
              <w:left w:val="nil"/>
              <w:bottom w:val="single" w:sz="4" w:space="0" w:color="auto"/>
              <w:right w:val="single" w:sz="4" w:space="0" w:color="auto"/>
            </w:tcBorders>
            <w:shd w:val="clear" w:color="000000" w:fill="FFFFFF"/>
            <w:noWrap/>
            <w:vAlign w:val="center"/>
            <w:hideMark/>
          </w:tcPr>
          <w:p w14:paraId="3AC51E84" w14:textId="198707B6" w:rsidR="00223C22" w:rsidRPr="00EB6552" w:rsidRDefault="00223C22" w:rsidP="00223C22">
            <w:pPr>
              <w:spacing w:after="0"/>
              <w:jc w:val="right"/>
              <w:rPr>
                <w:color w:val="FF0000"/>
                <w:sz w:val="20"/>
                <w:szCs w:val="20"/>
              </w:rPr>
            </w:pPr>
            <w:r w:rsidRPr="006B6D61">
              <w:rPr>
                <w:sz w:val="20"/>
                <w:szCs w:val="20"/>
              </w:rPr>
              <w:t>89 069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02181E" w14:textId="6C3FA064" w:rsidR="00223C22" w:rsidRPr="006B6D61" w:rsidRDefault="00672735" w:rsidP="00223C22">
            <w:pPr>
              <w:spacing w:after="0"/>
              <w:jc w:val="right"/>
              <w:rPr>
                <w:sz w:val="20"/>
                <w:szCs w:val="20"/>
              </w:rPr>
            </w:pPr>
            <w:r w:rsidRPr="006B6D61">
              <w:rPr>
                <w:sz w:val="20"/>
                <w:szCs w:val="20"/>
              </w:rPr>
              <w:t>89 069</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73084F2" w14:textId="5FF8FCE9" w:rsidR="00223C22" w:rsidRPr="00EB6552" w:rsidRDefault="00933624" w:rsidP="00223C22">
            <w:pPr>
              <w:spacing w:after="0"/>
              <w:jc w:val="right"/>
              <w:rPr>
                <w:color w:val="FF0000"/>
                <w:sz w:val="20"/>
                <w:szCs w:val="20"/>
              </w:rPr>
            </w:pPr>
            <w:r>
              <w:rPr>
                <w:sz w:val="20"/>
                <w:szCs w:val="20"/>
              </w:rPr>
              <w:t>89 069</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831526A" w14:textId="6E0B55BA" w:rsidR="00223C22" w:rsidRPr="00EB6552" w:rsidRDefault="003F33FD" w:rsidP="00223C22">
            <w:pPr>
              <w:spacing w:after="0"/>
              <w:jc w:val="right"/>
              <w:rPr>
                <w:color w:val="FF0000"/>
                <w:sz w:val="20"/>
                <w:szCs w:val="20"/>
              </w:rPr>
            </w:pPr>
            <w:r>
              <w:rPr>
                <w:sz w:val="20"/>
                <w:szCs w:val="20"/>
              </w:rPr>
              <w:t>131,6</w:t>
            </w:r>
          </w:p>
        </w:tc>
      </w:tr>
      <w:tr w:rsidR="003708D7" w:rsidRPr="0044012B" w14:paraId="5DEC3A20"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hideMark/>
          </w:tcPr>
          <w:p w14:paraId="2095E069" w14:textId="77777777" w:rsidR="00744DEC" w:rsidRPr="006B6D61" w:rsidRDefault="00744DEC" w:rsidP="00744DEC">
            <w:pPr>
              <w:spacing w:after="0"/>
              <w:rPr>
                <w:sz w:val="20"/>
                <w:szCs w:val="20"/>
              </w:rPr>
            </w:pPr>
            <w:r w:rsidRPr="006B6D61">
              <w:rPr>
                <w:sz w:val="20"/>
                <w:szCs w:val="20"/>
              </w:rPr>
              <w:t> </w:t>
            </w:r>
          </w:p>
        </w:tc>
        <w:tc>
          <w:tcPr>
            <w:tcW w:w="186" w:type="dxa"/>
            <w:tcBorders>
              <w:top w:val="single" w:sz="4" w:space="0" w:color="auto"/>
              <w:left w:val="nil"/>
              <w:bottom w:val="single" w:sz="4" w:space="0" w:color="auto"/>
            </w:tcBorders>
            <w:shd w:val="clear" w:color="000000" w:fill="FFFFFF"/>
            <w:noWrap/>
            <w:vAlign w:val="bottom"/>
            <w:hideMark/>
          </w:tcPr>
          <w:p w14:paraId="30CED17F" w14:textId="77777777" w:rsidR="00744DEC" w:rsidRPr="006B6D61" w:rsidRDefault="00744DEC" w:rsidP="00744DEC">
            <w:pPr>
              <w:spacing w:after="0"/>
              <w:rPr>
                <w:sz w:val="20"/>
                <w:szCs w:val="20"/>
              </w:rPr>
            </w:pPr>
            <w:r w:rsidRPr="006B6D61">
              <w:rPr>
                <w:sz w:val="20"/>
                <w:szCs w:val="20"/>
              </w:rPr>
              <w:t> </w:t>
            </w:r>
          </w:p>
        </w:tc>
        <w:tc>
          <w:tcPr>
            <w:tcW w:w="2611" w:type="dxa"/>
            <w:tcBorders>
              <w:top w:val="single" w:sz="4" w:space="0" w:color="auto"/>
              <w:left w:val="nil"/>
              <w:bottom w:val="single" w:sz="4" w:space="0" w:color="auto"/>
              <w:right w:val="single" w:sz="4" w:space="0" w:color="auto"/>
            </w:tcBorders>
            <w:shd w:val="clear" w:color="000000" w:fill="FFFFFF"/>
            <w:noWrap/>
            <w:vAlign w:val="bottom"/>
            <w:hideMark/>
          </w:tcPr>
          <w:p w14:paraId="0947B534" w14:textId="77777777" w:rsidR="00744DEC" w:rsidRPr="006B6D61" w:rsidRDefault="00744DEC" w:rsidP="00744DEC">
            <w:pPr>
              <w:spacing w:after="0"/>
              <w:rPr>
                <w:sz w:val="20"/>
                <w:szCs w:val="20"/>
              </w:rPr>
            </w:pPr>
            <w:r w:rsidRPr="006B6D61">
              <w:rPr>
                <w:sz w:val="20"/>
                <w:szCs w:val="20"/>
              </w:rPr>
              <w:t>účelová neinvestiční dotace</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14:paraId="1EFF4AFC" w14:textId="43E4ADAA" w:rsidR="00744DEC" w:rsidRPr="00285766" w:rsidRDefault="00744DEC" w:rsidP="00744DEC">
            <w:pPr>
              <w:spacing w:after="0"/>
              <w:jc w:val="right"/>
              <w:rPr>
                <w:color w:val="FF0000"/>
                <w:sz w:val="20"/>
                <w:szCs w:val="20"/>
              </w:rPr>
            </w:pPr>
            <w:r w:rsidRPr="006B6D61">
              <w:rPr>
                <w:sz w:val="20"/>
                <w:szCs w:val="20"/>
              </w:rPr>
              <w:t>27 384</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42EC56C6" w14:textId="36E73E95" w:rsidR="00744DEC" w:rsidRPr="00285766" w:rsidRDefault="00744DEC" w:rsidP="00744DEC">
            <w:pPr>
              <w:spacing w:after="0"/>
              <w:jc w:val="right"/>
              <w:rPr>
                <w:color w:val="FF0000"/>
                <w:sz w:val="20"/>
                <w:szCs w:val="20"/>
              </w:rPr>
            </w:pPr>
            <w:r w:rsidRPr="006B6D61">
              <w:rPr>
                <w:sz w:val="20"/>
                <w:szCs w:val="20"/>
              </w:rPr>
              <w:t>50 000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7FC9D0BA" w14:textId="60589C37" w:rsidR="00744DEC" w:rsidRPr="00285766" w:rsidRDefault="00744DEC" w:rsidP="00744DEC">
            <w:pPr>
              <w:spacing w:after="0"/>
              <w:jc w:val="right"/>
              <w:rPr>
                <w:color w:val="FF0000"/>
                <w:sz w:val="20"/>
                <w:szCs w:val="20"/>
              </w:rPr>
            </w:pPr>
            <w:r w:rsidRPr="006B6D61">
              <w:rPr>
                <w:sz w:val="20"/>
                <w:szCs w:val="20"/>
              </w:rPr>
              <w:t>50 000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8C8CB4" w14:textId="426DCBC3" w:rsidR="00744DEC" w:rsidRPr="006B6D61" w:rsidRDefault="00C71E7A" w:rsidP="00744DEC">
            <w:pPr>
              <w:spacing w:after="0"/>
              <w:jc w:val="right"/>
              <w:rPr>
                <w:sz w:val="20"/>
                <w:szCs w:val="20"/>
              </w:rPr>
            </w:pPr>
            <w:r w:rsidRPr="006B6D61">
              <w:rPr>
                <w:sz w:val="20"/>
                <w:szCs w:val="20"/>
              </w:rPr>
              <w:t>50 000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C5977DD" w14:textId="092ED342" w:rsidR="00744DEC" w:rsidRPr="00EB6552" w:rsidRDefault="00DC44D2" w:rsidP="00744DEC">
            <w:pPr>
              <w:spacing w:after="0"/>
              <w:jc w:val="right"/>
              <w:rPr>
                <w:color w:val="FF0000"/>
                <w:sz w:val="20"/>
                <w:szCs w:val="20"/>
              </w:rPr>
            </w:pPr>
            <w:r w:rsidRPr="00DC44D2">
              <w:rPr>
                <w:sz w:val="20"/>
                <w:szCs w:val="20"/>
              </w:rPr>
              <w:t>43 598</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8040979" w14:textId="646B2F2A" w:rsidR="00744DEC" w:rsidRPr="00EB6552" w:rsidRDefault="00343EF5" w:rsidP="00744DEC">
            <w:pPr>
              <w:spacing w:after="0"/>
              <w:jc w:val="right"/>
              <w:rPr>
                <w:color w:val="FF0000"/>
                <w:sz w:val="20"/>
                <w:szCs w:val="20"/>
              </w:rPr>
            </w:pPr>
            <w:r w:rsidRPr="00343EF5">
              <w:rPr>
                <w:sz w:val="20"/>
                <w:szCs w:val="20"/>
              </w:rPr>
              <w:t>159,2</w:t>
            </w:r>
          </w:p>
        </w:tc>
      </w:tr>
      <w:tr w:rsidR="00DE3737" w:rsidRPr="0044012B" w14:paraId="2C622CD7"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tcPr>
          <w:p w14:paraId="6FD73301" w14:textId="77777777" w:rsidR="00A14F96" w:rsidRPr="006B6D61" w:rsidRDefault="00A14F96" w:rsidP="00A14F96">
            <w:pPr>
              <w:spacing w:after="0"/>
              <w:rPr>
                <w:sz w:val="20"/>
                <w:szCs w:val="20"/>
              </w:rPr>
            </w:pPr>
          </w:p>
        </w:tc>
        <w:tc>
          <w:tcPr>
            <w:tcW w:w="186" w:type="dxa"/>
            <w:tcBorders>
              <w:top w:val="single" w:sz="4" w:space="0" w:color="auto"/>
              <w:left w:val="nil"/>
              <w:bottom w:val="single" w:sz="4" w:space="0" w:color="auto"/>
            </w:tcBorders>
            <w:shd w:val="clear" w:color="000000" w:fill="FFFFFF"/>
            <w:noWrap/>
            <w:vAlign w:val="bottom"/>
          </w:tcPr>
          <w:p w14:paraId="2DCC9464" w14:textId="77777777" w:rsidR="00A14F96" w:rsidRPr="006B6D61" w:rsidRDefault="00A14F96" w:rsidP="00A14F96">
            <w:pPr>
              <w:spacing w:after="0"/>
              <w:rPr>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1C6590E1" w14:textId="05E50E78" w:rsidR="00A14F96" w:rsidRPr="006B6D61" w:rsidRDefault="00A14F96" w:rsidP="00A14F96">
            <w:pPr>
              <w:spacing w:after="0"/>
              <w:rPr>
                <w:sz w:val="20"/>
                <w:szCs w:val="20"/>
              </w:rPr>
            </w:pPr>
            <w:r w:rsidRPr="006B6D61">
              <w:rPr>
                <w:sz w:val="20"/>
                <w:szCs w:val="20"/>
              </w:rPr>
              <w:t xml:space="preserve">z toho: výdaje na </w:t>
            </w:r>
            <w:proofErr w:type="spellStart"/>
            <w:r w:rsidRPr="006B6D61">
              <w:rPr>
                <w:sz w:val="20"/>
                <w:szCs w:val="20"/>
              </w:rPr>
              <w:t>progr</w:t>
            </w:r>
            <w:proofErr w:type="spellEnd"/>
            <w:r w:rsidRPr="006B6D61">
              <w:rPr>
                <w:sz w:val="20"/>
                <w:szCs w:val="20"/>
              </w:rPr>
              <w:t xml:space="preserve">. </w:t>
            </w:r>
            <w:proofErr w:type="spellStart"/>
            <w:r w:rsidRPr="006B6D61">
              <w:rPr>
                <w:sz w:val="20"/>
                <w:szCs w:val="20"/>
              </w:rPr>
              <w:t>spolufin</w:t>
            </w:r>
            <w:proofErr w:type="spellEnd"/>
            <w:r w:rsidRPr="006B6D61">
              <w:rPr>
                <w:sz w:val="20"/>
                <w:szCs w:val="20"/>
              </w:rPr>
              <w:t>. z rozpočtu EU</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7F73C553" w14:textId="28FB0C06" w:rsidR="00A14F96" w:rsidRPr="00A14F96" w:rsidRDefault="00A14F96" w:rsidP="00A14F96">
            <w:pPr>
              <w:spacing w:after="0"/>
              <w:jc w:val="right"/>
              <w:rPr>
                <w:sz w:val="20"/>
                <w:szCs w:val="20"/>
              </w:rPr>
            </w:pPr>
            <w:r w:rsidRPr="006B6D61">
              <w:rPr>
                <w:sz w:val="20"/>
                <w:szCs w:val="20"/>
              </w:rPr>
              <w:t>1 377</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17660D32" w14:textId="2B751277" w:rsidR="00A14F96" w:rsidRPr="00285766" w:rsidRDefault="002321B4" w:rsidP="00A14F96">
            <w:pPr>
              <w:spacing w:after="0"/>
              <w:jc w:val="right"/>
              <w:rPr>
                <w:sz w:val="20"/>
                <w:szCs w:val="20"/>
              </w:rPr>
            </w:pPr>
            <w:r>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114FD5F" w14:textId="45521C12" w:rsidR="00A14F96" w:rsidRPr="00285766" w:rsidRDefault="002321B4" w:rsidP="00A14F96">
            <w:pPr>
              <w:spacing w:after="0"/>
              <w:jc w:val="right"/>
              <w:rPr>
                <w:sz w:val="20"/>
                <w:szCs w:val="20"/>
              </w:rPr>
            </w:pPr>
            <w:r>
              <w:rPr>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4906EB" w14:textId="7A0BCB42" w:rsidR="00A14F96" w:rsidRPr="006B6D61" w:rsidRDefault="002321B4" w:rsidP="00A14F96">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59B444E" w14:textId="31819252" w:rsidR="00A14F96" w:rsidRPr="00C81DB0" w:rsidRDefault="002321B4" w:rsidP="00A14F96">
            <w:pPr>
              <w:spacing w:after="0"/>
              <w:jc w:val="right"/>
              <w:rPr>
                <w:sz w:val="20"/>
                <w:szCs w:val="20"/>
              </w:rPr>
            </w:pPr>
            <w:r>
              <w:rPr>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098437F" w14:textId="6DD781BF" w:rsidR="00A14F96" w:rsidRPr="00C81DB0" w:rsidRDefault="002321B4" w:rsidP="00A14F96">
            <w:pPr>
              <w:spacing w:after="0"/>
              <w:jc w:val="right"/>
              <w:rPr>
                <w:sz w:val="20"/>
                <w:szCs w:val="20"/>
              </w:rPr>
            </w:pPr>
            <w:r>
              <w:rPr>
                <w:sz w:val="20"/>
                <w:szCs w:val="20"/>
              </w:rPr>
              <w:t>0,0</w:t>
            </w:r>
          </w:p>
        </w:tc>
      </w:tr>
      <w:tr w:rsidR="00DE3737" w:rsidRPr="0044012B" w14:paraId="4297A501"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tcPr>
          <w:p w14:paraId="0C3FF496" w14:textId="77777777" w:rsidR="00A14F96" w:rsidRPr="006B6D61" w:rsidRDefault="00A14F96" w:rsidP="00A14F96">
            <w:pPr>
              <w:spacing w:after="0"/>
              <w:rPr>
                <w:sz w:val="20"/>
                <w:szCs w:val="20"/>
              </w:rPr>
            </w:pPr>
          </w:p>
        </w:tc>
        <w:tc>
          <w:tcPr>
            <w:tcW w:w="186" w:type="dxa"/>
            <w:tcBorders>
              <w:top w:val="single" w:sz="4" w:space="0" w:color="auto"/>
              <w:left w:val="nil"/>
              <w:bottom w:val="single" w:sz="4" w:space="0" w:color="auto"/>
            </w:tcBorders>
            <w:shd w:val="clear" w:color="000000" w:fill="FFFFFF"/>
            <w:noWrap/>
            <w:vAlign w:val="bottom"/>
          </w:tcPr>
          <w:p w14:paraId="0C96DF75" w14:textId="77777777" w:rsidR="00A14F96" w:rsidRPr="006B6D61" w:rsidRDefault="00A14F96" w:rsidP="00A14F96">
            <w:pPr>
              <w:spacing w:after="0"/>
              <w:rPr>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1307517D" w14:textId="3F68D5DB" w:rsidR="00A14F96" w:rsidRPr="006B6D61" w:rsidRDefault="00A14F96" w:rsidP="00A14F96">
            <w:pPr>
              <w:spacing w:after="0"/>
              <w:rPr>
                <w:sz w:val="20"/>
                <w:szCs w:val="20"/>
              </w:rPr>
            </w:pPr>
            <w:r w:rsidRPr="006B6D61">
              <w:rPr>
                <w:sz w:val="20"/>
                <w:szCs w:val="20"/>
              </w:rPr>
              <w:t>v tom: v tom: ze SR</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1ACDF4EA" w14:textId="420912BA" w:rsidR="00A14F96" w:rsidRPr="00A14F96" w:rsidRDefault="00A14F96" w:rsidP="00A14F96">
            <w:pPr>
              <w:spacing w:after="0"/>
              <w:jc w:val="right"/>
              <w:rPr>
                <w:sz w:val="20"/>
                <w:szCs w:val="20"/>
              </w:rPr>
            </w:pPr>
            <w:r w:rsidRPr="006B6D61">
              <w:rPr>
                <w:sz w:val="20"/>
                <w:szCs w:val="20"/>
              </w:rPr>
              <w:t>688</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6A3979F1" w14:textId="49B703D2" w:rsidR="00A14F96" w:rsidRPr="00285766" w:rsidRDefault="002321B4" w:rsidP="00A14F96">
            <w:pPr>
              <w:spacing w:after="0"/>
              <w:jc w:val="right"/>
              <w:rPr>
                <w:sz w:val="20"/>
                <w:szCs w:val="20"/>
              </w:rPr>
            </w:pPr>
            <w:r>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3A07F096" w14:textId="25C9CC80" w:rsidR="00A14F96" w:rsidRPr="00285766" w:rsidRDefault="002321B4" w:rsidP="00A14F96">
            <w:pPr>
              <w:spacing w:after="0"/>
              <w:jc w:val="right"/>
              <w:rPr>
                <w:sz w:val="20"/>
                <w:szCs w:val="20"/>
              </w:rPr>
            </w:pPr>
            <w:r>
              <w:rPr>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A582C2" w14:textId="235366C4" w:rsidR="00A14F96" w:rsidRPr="006B6D61" w:rsidRDefault="002321B4" w:rsidP="00A14F96">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1962545" w14:textId="519A4159" w:rsidR="00A14F96" w:rsidRPr="00C81DB0" w:rsidRDefault="002321B4" w:rsidP="00A14F96">
            <w:pPr>
              <w:spacing w:after="0"/>
              <w:jc w:val="right"/>
              <w:rPr>
                <w:sz w:val="20"/>
                <w:szCs w:val="20"/>
              </w:rPr>
            </w:pPr>
            <w:r>
              <w:rPr>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82084E8" w14:textId="2EC59AFC" w:rsidR="00A14F96" w:rsidRPr="00C81DB0" w:rsidRDefault="002321B4" w:rsidP="00A14F96">
            <w:pPr>
              <w:spacing w:after="0"/>
              <w:jc w:val="right"/>
              <w:rPr>
                <w:sz w:val="20"/>
                <w:szCs w:val="20"/>
              </w:rPr>
            </w:pPr>
            <w:r>
              <w:rPr>
                <w:sz w:val="20"/>
                <w:szCs w:val="20"/>
              </w:rPr>
              <w:t>0,0</w:t>
            </w:r>
          </w:p>
        </w:tc>
      </w:tr>
      <w:tr w:rsidR="00DE3737" w:rsidRPr="0044012B" w14:paraId="4E2BB0CC"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tcPr>
          <w:p w14:paraId="0E75527D" w14:textId="77777777" w:rsidR="00A14F96" w:rsidRPr="006B6D61" w:rsidRDefault="00A14F96" w:rsidP="00A14F96">
            <w:pPr>
              <w:spacing w:after="0"/>
              <w:rPr>
                <w:sz w:val="20"/>
                <w:szCs w:val="20"/>
              </w:rPr>
            </w:pPr>
          </w:p>
        </w:tc>
        <w:tc>
          <w:tcPr>
            <w:tcW w:w="186" w:type="dxa"/>
            <w:tcBorders>
              <w:top w:val="single" w:sz="4" w:space="0" w:color="auto"/>
              <w:left w:val="nil"/>
              <w:bottom w:val="single" w:sz="4" w:space="0" w:color="auto"/>
            </w:tcBorders>
            <w:shd w:val="clear" w:color="000000" w:fill="FFFFFF"/>
            <w:noWrap/>
            <w:vAlign w:val="bottom"/>
          </w:tcPr>
          <w:p w14:paraId="45EA41F4" w14:textId="77777777" w:rsidR="00A14F96" w:rsidRPr="006B6D61" w:rsidRDefault="00A14F96" w:rsidP="00A14F96">
            <w:pPr>
              <w:spacing w:after="0"/>
              <w:rPr>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46F0FE7D" w14:textId="33E0F83E" w:rsidR="00A14F96" w:rsidRPr="006B6D61" w:rsidRDefault="00A14F96" w:rsidP="00A14F96">
            <w:pPr>
              <w:spacing w:after="0"/>
              <w:rPr>
                <w:sz w:val="20"/>
                <w:szCs w:val="20"/>
              </w:rPr>
            </w:pPr>
            <w:r w:rsidRPr="006B6D61">
              <w:rPr>
                <w:sz w:val="20"/>
                <w:szCs w:val="20"/>
              </w:rPr>
              <w:t>v tom: v tom: z rozpočtu EU</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265FDAE0" w14:textId="71204D86" w:rsidR="00A14F96" w:rsidRPr="00A14F96" w:rsidRDefault="00A14F96" w:rsidP="00A14F96">
            <w:pPr>
              <w:spacing w:after="0"/>
              <w:jc w:val="right"/>
              <w:rPr>
                <w:sz w:val="20"/>
                <w:szCs w:val="20"/>
              </w:rPr>
            </w:pPr>
            <w:r w:rsidRPr="006B6D61">
              <w:rPr>
                <w:sz w:val="20"/>
                <w:szCs w:val="20"/>
              </w:rPr>
              <w:t>688</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65C9892" w14:textId="0D1A6768" w:rsidR="00A14F96" w:rsidRPr="00285766" w:rsidRDefault="002321B4" w:rsidP="00A14F96">
            <w:pPr>
              <w:spacing w:after="0"/>
              <w:jc w:val="right"/>
              <w:rPr>
                <w:sz w:val="20"/>
                <w:szCs w:val="20"/>
              </w:rPr>
            </w:pPr>
            <w:r>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6955E0AB" w14:textId="48FDCBA2" w:rsidR="00A14F96" w:rsidRPr="00285766" w:rsidRDefault="002321B4" w:rsidP="00A14F96">
            <w:pPr>
              <w:spacing w:after="0"/>
              <w:jc w:val="right"/>
              <w:rPr>
                <w:sz w:val="20"/>
                <w:szCs w:val="20"/>
              </w:rPr>
            </w:pPr>
            <w:r>
              <w:rPr>
                <w:sz w:val="20"/>
                <w:szCs w:val="20"/>
              </w:rPr>
              <w:t>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98F2D7" w14:textId="4B79F14C" w:rsidR="00A14F96" w:rsidRPr="006B6D61" w:rsidRDefault="002321B4" w:rsidP="00A14F96">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CA8D91A" w14:textId="202ADC95" w:rsidR="00A14F96" w:rsidRPr="00C81DB0" w:rsidRDefault="002321B4" w:rsidP="00A14F96">
            <w:pPr>
              <w:spacing w:after="0"/>
              <w:jc w:val="right"/>
              <w:rPr>
                <w:sz w:val="20"/>
                <w:szCs w:val="20"/>
              </w:rPr>
            </w:pPr>
            <w:r>
              <w:rPr>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49DA0B9" w14:textId="181D1544" w:rsidR="00A14F96" w:rsidRPr="00C81DB0" w:rsidRDefault="002321B4" w:rsidP="00A14F96">
            <w:pPr>
              <w:spacing w:after="0"/>
              <w:jc w:val="right"/>
              <w:rPr>
                <w:sz w:val="20"/>
                <w:szCs w:val="20"/>
              </w:rPr>
            </w:pPr>
            <w:r>
              <w:rPr>
                <w:sz w:val="20"/>
                <w:szCs w:val="20"/>
              </w:rPr>
              <w:t>0,0</w:t>
            </w:r>
          </w:p>
        </w:tc>
      </w:tr>
      <w:tr w:rsidR="00B12724" w:rsidRPr="0044012B" w14:paraId="0ABFEC1A"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bottom"/>
          </w:tcPr>
          <w:p w14:paraId="6A8DE9DC" w14:textId="3FB73F6E" w:rsidR="00C33AD1" w:rsidRPr="006B6D61" w:rsidRDefault="00C33AD1" w:rsidP="00BA4E5A">
            <w:pPr>
              <w:spacing w:after="0"/>
              <w:rPr>
                <w:sz w:val="20"/>
                <w:szCs w:val="20"/>
              </w:rPr>
            </w:pPr>
            <w:r w:rsidRPr="006B6D61">
              <w:rPr>
                <w:b/>
                <w:sz w:val="20"/>
                <w:szCs w:val="20"/>
              </w:rPr>
              <w:t>Investiční transfery</w:t>
            </w:r>
            <w:r w:rsidR="00FB771D" w:rsidRPr="006B6D61">
              <w:rPr>
                <w:b/>
                <w:sz w:val="20"/>
                <w:szCs w:val="20"/>
              </w:rPr>
              <w:t xml:space="preserve"> (v tom:)</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1518FEF" w14:textId="790832DD" w:rsidR="00C33AD1" w:rsidRPr="006B6D61" w:rsidRDefault="00ED0D6D" w:rsidP="00BA4E5A">
            <w:pPr>
              <w:spacing w:after="0"/>
              <w:jc w:val="right"/>
              <w:rPr>
                <w:b/>
                <w:sz w:val="20"/>
                <w:szCs w:val="20"/>
              </w:rPr>
            </w:pPr>
            <w:r>
              <w:rPr>
                <w:b/>
                <w:sz w:val="20"/>
                <w:szCs w:val="20"/>
              </w:rPr>
              <w:t>31 162</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10BBD10" w14:textId="4A945334" w:rsidR="00C33AD1" w:rsidRPr="006B6D61" w:rsidRDefault="00395F33" w:rsidP="00BA4E5A">
            <w:pPr>
              <w:spacing w:after="0"/>
              <w:jc w:val="right"/>
              <w:rPr>
                <w:b/>
                <w:sz w:val="20"/>
                <w:szCs w:val="20"/>
              </w:rPr>
            </w:pPr>
            <w:r w:rsidRPr="006B6D61">
              <w:rPr>
                <w:b/>
                <w:sz w:val="20"/>
                <w:szCs w:val="20"/>
              </w:rPr>
              <w:t>30 000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A60BE3F" w14:textId="3748C2BD" w:rsidR="00C33AD1" w:rsidRPr="006B6D61" w:rsidRDefault="00395F33" w:rsidP="00BA4E5A">
            <w:pPr>
              <w:spacing w:after="0"/>
              <w:jc w:val="right"/>
              <w:rPr>
                <w:b/>
                <w:sz w:val="20"/>
                <w:szCs w:val="20"/>
              </w:rPr>
            </w:pPr>
            <w:r w:rsidRPr="006B6D61">
              <w:rPr>
                <w:b/>
                <w:sz w:val="20"/>
                <w:szCs w:val="20"/>
              </w:rPr>
              <w:t>8 593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48F833" w14:textId="72E8EED1" w:rsidR="00C33AD1" w:rsidRPr="006B6D61" w:rsidRDefault="00395F33" w:rsidP="00BA4E5A">
            <w:pPr>
              <w:spacing w:after="0"/>
              <w:jc w:val="right"/>
              <w:rPr>
                <w:b/>
                <w:sz w:val="20"/>
                <w:szCs w:val="20"/>
              </w:rPr>
            </w:pPr>
            <w:r w:rsidRPr="006B6D61">
              <w:rPr>
                <w:b/>
                <w:sz w:val="20"/>
                <w:szCs w:val="20"/>
              </w:rPr>
              <w:t>8 593</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C6F298A" w14:textId="6D1EB5FE" w:rsidR="00C33AD1" w:rsidRPr="006B6D61" w:rsidRDefault="00395F33" w:rsidP="00BA4E5A">
            <w:pPr>
              <w:spacing w:after="0"/>
              <w:jc w:val="right"/>
              <w:rPr>
                <w:b/>
                <w:sz w:val="20"/>
                <w:szCs w:val="20"/>
              </w:rPr>
            </w:pPr>
            <w:r w:rsidRPr="006B6D61">
              <w:rPr>
                <w:b/>
                <w:sz w:val="20"/>
                <w:szCs w:val="20"/>
              </w:rPr>
              <w:t>8 593</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F9964E2" w14:textId="4E38CB08" w:rsidR="00C33AD1" w:rsidRPr="006B6D61" w:rsidRDefault="00A002ED" w:rsidP="00BA4E5A">
            <w:pPr>
              <w:spacing w:after="0"/>
              <w:jc w:val="right"/>
              <w:rPr>
                <w:b/>
                <w:sz w:val="20"/>
                <w:szCs w:val="20"/>
              </w:rPr>
            </w:pPr>
            <w:r w:rsidRPr="006B6D61">
              <w:rPr>
                <w:b/>
                <w:sz w:val="20"/>
                <w:szCs w:val="20"/>
              </w:rPr>
              <w:t>27,6</w:t>
            </w:r>
          </w:p>
        </w:tc>
      </w:tr>
      <w:tr w:rsidR="00B12724" w:rsidRPr="0044012B" w14:paraId="5D5244CF"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bottom"/>
          </w:tcPr>
          <w:p w14:paraId="59AA493D" w14:textId="2FA71A69" w:rsidR="00C33AD1" w:rsidRPr="006B6D61" w:rsidRDefault="00C33AD1" w:rsidP="00BA4E5A">
            <w:pPr>
              <w:spacing w:after="0"/>
              <w:rPr>
                <w:sz w:val="20"/>
                <w:szCs w:val="20"/>
              </w:rPr>
            </w:pPr>
            <w:proofErr w:type="spellStart"/>
            <w:r w:rsidRPr="006B6D61">
              <w:rPr>
                <w:b/>
                <w:bCs/>
                <w:sz w:val="20"/>
                <w:szCs w:val="20"/>
              </w:rPr>
              <w:t>Ost</w:t>
            </w:r>
            <w:proofErr w:type="spellEnd"/>
            <w:r w:rsidRPr="006B6D61">
              <w:rPr>
                <w:b/>
                <w:bCs/>
                <w:sz w:val="20"/>
                <w:szCs w:val="20"/>
              </w:rPr>
              <w:t>. příspěvkové apod. organizace</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74C88C4A" w14:textId="73D1D230" w:rsidR="00C33AD1" w:rsidRPr="006B6D61" w:rsidRDefault="00ED0D6D" w:rsidP="00BA4E5A">
            <w:pPr>
              <w:spacing w:after="0"/>
              <w:jc w:val="right"/>
              <w:rPr>
                <w:b/>
                <w:sz w:val="20"/>
                <w:szCs w:val="20"/>
              </w:rPr>
            </w:pPr>
            <w:r>
              <w:rPr>
                <w:b/>
                <w:sz w:val="20"/>
                <w:szCs w:val="20"/>
              </w:rPr>
              <w:t>31 162</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CBAD8A3" w14:textId="537964F0" w:rsidR="00C33AD1" w:rsidRPr="0077128B" w:rsidRDefault="00395F33" w:rsidP="00BA4E5A">
            <w:pPr>
              <w:spacing w:after="0"/>
              <w:jc w:val="right"/>
              <w:rPr>
                <w:b/>
                <w:color w:val="FF0000"/>
                <w:sz w:val="20"/>
                <w:szCs w:val="20"/>
              </w:rPr>
            </w:pPr>
            <w:r w:rsidRPr="006B6D61">
              <w:rPr>
                <w:b/>
                <w:sz w:val="20"/>
                <w:szCs w:val="20"/>
              </w:rPr>
              <w:t>30 000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3715B277" w14:textId="73221B6F" w:rsidR="00C33AD1" w:rsidRPr="006B6D61" w:rsidRDefault="00D018C8" w:rsidP="00BA4E5A">
            <w:pPr>
              <w:spacing w:after="0"/>
              <w:jc w:val="right"/>
              <w:rPr>
                <w:b/>
                <w:sz w:val="20"/>
                <w:szCs w:val="20"/>
              </w:rPr>
            </w:pPr>
            <w:r w:rsidRPr="006B6D61">
              <w:rPr>
                <w:b/>
                <w:sz w:val="20"/>
                <w:szCs w:val="20"/>
              </w:rPr>
              <w:t>8 593</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6E5498D1" w14:textId="7E835FC4" w:rsidR="00C33AD1" w:rsidRPr="006B6D61" w:rsidRDefault="00D018C8" w:rsidP="00BA4E5A">
            <w:pPr>
              <w:spacing w:after="0"/>
              <w:jc w:val="right"/>
              <w:rPr>
                <w:b/>
                <w:sz w:val="20"/>
                <w:szCs w:val="20"/>
              </w:rPr>
            </w:pPr>
            <w:r w:rsidRPr="006B6D61">
              <w:rPr>
                <w:b/>
                <w:sz w:val="20"/>
                <w:szCs w:val="20"/>
              </w:rPr>
              <w:t>8 593</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66C637C" w14:textId="10FDD885" w:rsidR="00C33AD1" w:rsidRPr="006B6D61" w:rsidRDefault="00D018C8" w:rsidP="00BA4E5A">
            <w:pPr>
              <w:spacing w:after="0"/>
              <w:jc w:val="right"/>
              <w:rPr>
                <w:b/>
                <w:sz w:val="20"/>
                <w:szCs w:val="20"/>
              </w:rPr>
            </w:pPr>
            <w:r w:rsidRPr="006B6D61">
              <w:rPr>
                <w:b/>
                <w:sz w:val="20"/>
                <w:szCs w:val="20"/>
              </w:rPr>
              <w:t>8 593</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1731673D" w14:textId="75681299" w:rsidR="00C33AD1" w:rsidRPr="006B6D61" w:rsidRDefault="00A002ED" w:rsidP="00BA4E5A">
            <w:pPr>
              <w:spacing w:after="0"/>
              <w:jc w:val="right"/>
              <w:rPr>
                <w:b/>
                <w:sz w:val="20"/>
                <w:szCs w:val="20"/>
              </w:rPr>
            </w:pPr>
            <w:r w:rsidRPr="006B6D61">
              <w:rPr>
                <w:b/>
                <w:sz w:val="20"/>
                <w:szCs w:val="20"/>
              </w:rPr>
              <w:t>27,6</w:t>
            </w:r>
          </w:p>
        </w:tc>
      </w:tr>
      <w:tr w:rsidR="00B12724" w:rsidRPr="0044012B" w14:paraId="4900D00D"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bottom"/>
          </w:tcPr>
          <w:p w14:paraId="5CD5F6AA" w14:textId="38AD048A" w:rsidR="00C33AD1" w:rsidRPr="006B6D61" w:rsidRDefault="00C33AD1" w:rsidP="00BA4E5A">
            <w:pPr>
              <w:spacing w:after="0"/>
              <w:rPr>
                <w:sz w:val="20"/>
                <w:szCs w:val="20"/>
              </w:rPr>
            </w:pPr>
            <w:r w:rsidRPr="006B6D61">
              <w:rPr>
                <w:sz w:val="20"/>
                <w:szCs w:val="20"/>
              </w:rPr>
              <w:t>v tom:</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1764B07A" w14:textId="77777777" w:rsidR="00C33AD1" w:rsidRPr="006B6D61" w:rsidRDefault="00C33AD1" w:rsidP="00BA4E5A">
            <w:pPr>
              <w:spacing w:after="0"/>
              <w:jc w:val="right"/>
              <w:rPr>
                <w:sz w:val="20"/>
                <w:szCs w:val="20"/>
              </w:rPr>
            </w:pP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0CD2EE32" w14:textId="77777777" w:rsidR="00C33AD1" w:rsidRPr="0077128B" w:rsidRDefault="00C33AD1" w:rsidP="00BA4E5A">
            <w:pPr>
              <w:spacing w:after="0"/>
              <w:jc w:val="right"/>
              <w:rPr>
                <w:color w:val="FF0000"/>
                <w:sz w:val="20"/>
                <w:szCs w:val="20"/>
              </w:rPr>
            </w:pP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1308BEA5" w14:textId="77777777" w:rsidR="00C33AD1" w:rsidRPr="0077128B" w:rsidRDefault="00C33AD1" w:rsidP="00BA4E5A">
            <w:pPr>
              <w:spacing w:after="0"/>
              <w:jc w:val="right"/>
              <w:rPr>
                <w:color w:val="FF0000"/>
                <w:sz w:val="20"/>
                <w:szCs w:val="20"/>
              </w:rPr>
            </w:pPr>
          </w:p>
        </w:tc>
        <w:tc>
          <w:tcPr>
            <w:tcW w:w="992" w:type="dxa"/>
            <w:tcBorders>
              <w:top w:val="single" w:sz="4" w:space="0" w:color="auto"/>
              <w:left w:val="nil"/>
              <w:bottom w:val="single" w:sz="4" w:space="0" w:color="auto"/>
              <w:right w:val="single" w:sz="4" w:space="0" w:color="auto"/>
            </w:tcBorders>
            <w:shd w:val="clear" w:color="000000" w:fill="FFFFFF"/>
            <w:vAlign w:val="center"/>
          </w:tcPr>
          <w:p w14:paraId="0612BE54" w14:textId="77777777" w:rsidR="00C33AD1" w:rsidRPr="0077128B" w:rsidRDefault="00C33AD1" w:rsidP="00BA4E5A">
            <w:pPr>
              <w:spacing w:after="0"/>
              <w:jc w:val="right"/>
              <w:rPr>
                <w:color w:val="FF0000"/>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186888C" w14:textId="3E776963" w:rsidR="00C33AD1" w:rsidRPr="0077128B" w:rsidRDefault="00C33AD1" w:rsidP="00BA4E5A">
            <w:pPr>
              <w:spacing w:after="0"/>
              <w:jc w:val="right"/>
              <w:rPr>
                <w:color w:val="FF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31313D13" w14:textId="77777777" w:rsidR="00C33AD1" w:rsidRPr="0077128B" w:rsidRDefault="00C33AD1" w:rsidP="00BA4E5A">
            <w:pPr>
              <w:spacing w:after="0"/>
              <w:jc w:val="right"/>
              <w:rPr>
                <w:color w:val="FF0000"/>
                <w:sz w:val="20"/>
                <w:szCs w:val="20"/>
              </w:rPr>
            </w:pPr>
          </w:p>
        </w:tc>
      </w:tr>
      <w:tr w:rsidR="003708D7" w:rsidRPr="0044012B" w14:paraId="7CE84D5D" w14:textId="77777777" w:rsidTr="003708D7">
        <w:trPr>
          <w:trHeight w:val="295"/>
        </w:trPr>
        <w:tc>
          <w:tcPr>
            <w:tcW w:w="2982" w:type="dxa"/>
            <w:gridSpan w:val="3"/>
            <w:tcBorders>
              <w:top w:val="single" w:sz="4" w:space="0" w:color="auto"/>
              <w:left w:val="single" w:sz="4" w:space="0" w:color="auto"/>
              <w:bottom w:val="single" w:sz="4" w:space="0" w:color="auto"/>
              <w:right w:val="single" w:sz="4" w:space="0" w:color="auto"/>
            </w:tcBorders>
            <w:shd w:val="clear" w:color="000000" w:fill="FFFFFF"/>
            <w:noWrap/>
            <w:vAlign w:val="bottom"/>
          </w:tcPr>
          <w:p w14:paraId="6A36296A" w14:textId="29EF20F0" w:rsidR="00094488" w:rsidRPr="006B6D61" w:rsidRDefault="0046437B" w:rsidP="00BA4E5A">
            <w:pPr>
              <w:spacing w:after="0"/>
              <w:rPr>
                <w:sz w:val="20"/>
                <w:szCs w:val="20"/>
              </w:rPr>
            </w:pPr>
            <w:r w:rsidRPr="006B6D61">
              <w:rPr>
                <w:sz w:val="20"/>
                <w:szCs w:val="20"/>
              </w:rPr>
              <w:t xml:space="preserve">     Vysoké školy</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3ADFBA39" w14:textId="67438D09" w:rsidR="00094488" w:rsidRPr="004D339E" w:rsidRDefault="00CB3697" w:rsidP="00BA4E5A">
            <w:pPr>
              <w:spacing w:after="0"/>
              <w:jc w:val="right"/>
              <w:rPr>
                <w:sz w:val="20"/>
                <w:szCs w:val="20"/>
              </w:rPr>
            </w:pPr>
            <w:r>
              <w:rPr>
                <w:sz w:val="20"/>
                <w:szCs w:val="20"/>
              </w:rPr>
              <w:t>1 162</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33F7FA12" w14:textId="6D90D09C" w:rsidR="00094488" w:rsidRPr="006B6D61" w:rsidRDefault="00847944"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B414474" w14:textId="679FD081" w:rsidR="00094488" w:rsidRPr="006B6D61" w:rsidRDefault="00847944" w:rsidP="00BA4E5A">
            <w:pPr>
              <w:spacing w:after="0"/>
              <w:jc w:val="right"/>
              <w:rPr>
                <w:sz w:val="20"/>
                <w:szCs w:val="20"/>
              </w:rPr>
            </w:pPr>
            <w:r w:rsidRPr="006B6D61">
              <w:rPr>
                <w:sz w:val="20"/>
                <w:szCs w:val="20"/>
              </w:rPr>
              <w:t>0</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21EBEDA9" w14:textId="790ECAFD" w:rsidR="00094488" w:rsidRPr="006B6D61" w:rsidRDefault="00847944" w:rsidP="00BA4E5A">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30925DD" w14:textId="478E3BDA" w:rsidR="00094488" w:rsidRPr="006B6D61" w:rsidRDefault="00847944" w:rsidP="00BA4E5A">
            <w:pPr>
              <w:spacing w:after="0"/>
              <w:jc w:val="right"/>
              <w:rPr>
                <w:sz w:val="20"/>
                <w:szCs w:val="20"/>
              </w:rPr>
            </w:pPr>
            <w:r w:rsidRPr="006B6D61">
              <w:rPr>
                <w:sz w:val="20"/>
                <w:szCs w:val="20"/>
              </w:rPr>
              <w:t>0</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40FE7556" w14:textId="63498FC3" w:rsidR="00094488" w:rsidRPr="006B6D61" w:rsidRDefault="00847944" w:rsidP="00BA4E5A">
            <w:pPr>
              <w:spacing w:after="0"/>
              <w:jc w:val="right"/>
              <w:rPr>
                <w:sz w:val="20"/>
                <w:szCs w:val="20"/>
              </w:rPr>
            </w:pPr>
            <w:r w:rsidRPr="006B6D61">
              <w:rPr>
                <w:sz w:val="20"/>
                <w:szCs w:val="20"/>
              </w:rPr>
              <w:t>0,0</w:t>
            </w:r>
          </w:p>
        </w:tc>
      </w:tr>
      <w:tr w:rsidR="003708D7" w:rsidRPr="0044012B" w14:paraId="1B3BE076"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tcPr>
          <w:p w14:paraId="4E7ECBB7" w14:textId="77777777" w:rsidR="00C33AD1" w:rsidRPr="006B6D61" w:rsidRDefault="00C33AD1" w:rsidP="00BA4E5A">
            <w:pPr>
              <w:spacing w:after="0"/>
              <w:rPr>
                <w:sz w:val="20"/>
                <w:szCs w:val="20"/>
              </w:rPr>
            </w:pPr>
          </w:p>
        </w:tc>
        <w:tc>
          <w:tcPr>
            <w:tcW w:w="2797" w:type="dxa"/>
            <w:gridSpan w:val="2"/>
            <w:tcBorders>
              <w:top w:val="single" w:sz="4" w:space="0" w:color="auto"/>
              <w:left w:val="nil"/>
              <w:bottom w:val="single" w:sz="4" w:space="0" w:color="auto"/>
              <w:right w:val="single" w:sz="4" w:space="0" w:color="auto"/>
            </w:tcBorders>
            <w:shd w:val="clear" w:color="000000" w:fill="FFFFFF"/>
            <w:noWrap/>
            <w:vAlign w:val="bottom"/>
          </w:tcPr>
          <w:p w14:paraId="251DB161" w14:textId="112AFE19" w:rsidR="00C33AD1" w:rsidRPr="006B6D61" w:rsidRDefault="00C33AD1" w:rsidP="00BA4E5A">
            <w:pPr>
              <w:spacing w:after="0"/>
              <w:rPr>
                <w:sz w:val="20"/>
                <w:szCs w:val="20"/>
              </w:rPr>
            </w:pPr>
            <w:r w:rsidRPr="006B6D61">
              <w:rPr>
                <w:sz w:val="20"/>
                <w:szCs w:val="20"/>
              </w:rPr>
              <w:t>Veřejné výzkumné instituce</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F2A8C68" w14:textId="3DD2E29D" w:rsidR="00C33AD1" w:rsidRPr="006B6D61" w:rsidRDefault="00D42EB6" w:rsidP="00BA4E5A">
            <w:pPr>
              <w:spacing w:after="0"/>
              <w:jc w:val="right"/>
              <w:rPr>
                <w:sz w:val="20"/>
                <w:szCs w:val="20"/>
              </w:rPr>
            </w:pPr>
            <w:r w:rsidRPr="006B6D61">
              <w:rPr>
                <w:sz w:val="20"/>
                <w:szCs w:val="20"/>
              </w:rPr>
              <w:t>30 000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E597E80" w14:textId="5E4C6BF6" w:rsidR="00C33AD1" w:rsidRPr="006B6D61" w:rsidRDefault="0069319A" w:rsidP="00BA4E5A">
            <w:pPr>
              <w:spacing w:after="0"/>
              <w:jc w:val="right"/>
              <w:rPr>
                <w:sz w:val="20"/>
                <w:szCs w:val="20"/>
              </w:rPr>
            </w:pPr>
            <w:r w:rsidRPr="006B6D61">
              <w:rPr>
                <w:sz w:val="20"/>
                <w:szCs w:val="20"/>
              </w:rPr>
              <w:t>30 000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A56ACC5" w14:textId="34D6AEC9" w:rsidR="00C33AD1" w:rsidRPr="006B6D61" w:rsidRDefault="00A20EA2" w:rsidP="00BA4E5A">
            <w:pPr>
              <w:spacing w:after="0"/>
              <w:jc w:val="right"/>
              <w:rPr>
                <w:sz w:val="20"/>
                <w:szCs w:val="20"/>
              </w:rPr>
            </w:pPr>
            <w:r w:rsidRPr="006B6D61">
              <w:rPr>
                <w:sz w:val="20"/>
                <w:szCs w:val="20"/>
              </w:rPr>
              <w:t>8 593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968A2E" w14:textId="2AFC1682" w:rsidR="00C33AD1" w:rsidRPr="006B6D61" w:rsidRDefault="00A22412" w:rsidP="00BA4E5A">
            <w:pPr>
              <w:spacing w:after="0"/>
              <w:jc w:val="right"/>
              <w:rPr>
                <w:sz w:val="20"/>
                <w:szCs w:val="20"/>
              </w:rPr>
            </w:pPr>
            <w:r w:rsidRPr="006B6D61">
              <w:rPr>
                <w:sz w:val="20"/>
                <w:szCs w:val="20"/>
              </w:rPr>
              <w:t>8 593</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A2EEB38" w14:textId="23F849A0" w:rsidR="00C33AD1" w:rsidRPr="006B6D61" w:rsidRDefault="00A22412" w:rsidP="00BA4E5A">
            <w:pPr>
              <w:spacing w:after="0"/>
              <w:jc w:val="right"/>
              <w:rPr>
                <w:sz w:val="20"/>
                <w:szCs w:val="20"/>
              </w:rPr>
            </w:pPr>
            <w:r w:rsidRPr="006B6D61">
              <w:rPr>
                <w:sz w:val="20"/>
                <w:szCs w:val="20"/>
              </w:rPr>
              <w:t>8 593</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5027B2B" w14:textId="072D5525" w:rsidR="00C33AD1" w:rsidRPr="0077128B" w:rsidRDefault="00643E71" w:rsidP="00BA4E5A">
            <w:pPr>
              <w:spacing w:after="0"/>
              <w:jc w:val="right"/>
              <w:rPr>
                <w:color w:val="FF0000"/>
                <w:sz w:val="20"/>
                <w:szCs w:val="20"/>
              </w:rPr>
            </w:pPr>
            <w:r w:rsidRPr="006B6D61">
              <w:rPr>
                <w:sz w:val="20"/>
                <w:szCs w:val="20"/>
              </w:rPr>
              <w:t>28,6</w:t>
            </w:r>
          </w:p>
        </w:tc>
      </w:tr>
      <w:tr w:rsidR="003708D7" w:rsidRPr="0044012B" w14:paraId="5DC18753"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tcPr>
          <w:p w14:paraId="631EDF6A" w14:textId="77777777" w:rsidR="00C33AD1" w:rsidRPr="006B6D61" w:rsidRDefault="00C33AD1" w:rsidP="00BA4E5A">
            <w:pPr>
              <w:spacing w:after="0"/>
              <w:rPr>
                <w:sz w:val="20"/>
                <w:szCs w:val="20"/>
              </w:rPr>
            </w:pPr>
          </w:p>
        </w:tc>
        <w:tc>
          <w:tcPr>
            <w:tcW w:w="2797" w:type="dxa"/>
            <w:gridSpan w:val="2"/>
            <w:tcBorders>
              <w:top w:val="single" w:sz="4" w:space="0" w:color="auto"/>
              <w:left w:val="nil"/>
              <w:bottom w:val="single" w:sz="4" w:space="0" w:color="auto"/>
              <w:right w:val="single" w:sz="4" w:space="0" w:color="auto"/>
            </w:tcBorders>
            <w:shd w:val="clear" w:color="000000" w:fill="FFFFFF"/>
            <w:noWrap/>
            <w:vAlign w:val="bottom"/>
          </w:tcPr>
          <w:p w14:paraId="38D6998C" w14:textId="3962B1E4" w:rsidR="00C33AD1" w:rsidRPr="006B6D61" w:rsidRDefault="00C33AD1" w:rsidP="00BA4E5A">
            <w:pPr>
              <w:spacing w:after="0"/>
              <w:rPr>
                <w:sz w:val="20"/>
                <w:szCs w:val="20"/>
              </w:rPr>
            </w:pPr>
            <w:r w:rsidRPr="006B6D61">
              <w:rPr>
                <w:sz w:val="20"/>
                <w:szCs w:val="20"/>
              </w:rPr>
              <w:t>v tom:</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BCD55FF" w14:textId="7DCFBBD6" w:rsidR="00C33AD1" w:rsidRPr="006B6D61" w:rsidRDefault="00C33AD1" w:rsidP="00BA4E5A">
            <w:pPr>
              <w:spacing w:after="0"/>
              <w:jc w:val="right"/>
              <w:rPr>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F68CBB7" w14:textId="77777777" w:rsidR="00C33AD1" w:rsidRPr="0077128B" w:rsidRDefault="00C33AD1" w:rsidP="00BA4E5A">
            <w:pPr>
              <w:spacing w:after="0"/>
              <w:jc w:val="right"/>
              <w:rPr>
                <w:color w:val="FF0000"/>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25BE82C" w14:textId="77777777" w:rsidR="00C33AD1" w:rsidRPr="0077128B" w:rsidRDefault="00C33AD1" w:rsidP="00BA4E5A">
            <w:pPr>
              <w:spacing w:after="0"/>
              <w:jc w:val="right"/>
              <w:rPr>
                <w:color w:val="FF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B460207" w14:textId="77777777" w:rsidR="00C33AD1" w:rsidRPr="0077128B" w:rsidRDefault="00C33AD1" w:rsidP="00BA4E5A">
            <w:pPr>
              <w:spacing w:after="0"/>
              <w:jc w:val="right"/>
              <w:rPr>
                <w:color w:val="FF0000"/>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AE6BEC4" w14:textId="6B3FD7C8" w:rsidR="00C33AD1" w:rsidRPr="0077128B" w:rsidRDefault="00C33AD1" w:rsidP="00BA4E5A">
            <w:pPr>
              <w:spacing w:after="0"/>
              <w:jc w:val="right"/>
              <w:rPr>
                <w:color w:val="FF0000"/>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1315CCB" w14:textId="77777777" w:rsidR="00C33AD1" w:rsidRPr="0077128B" w:rsidRDefault="00C33AD1" w:rsidP="00BA4E5A">
            <w:pPr>
              <w:spacing w:after="0"/>
              <w:jc w:val="right"/>
              <w:rPr>
                <w:color w:val="FF0000"/>
                <w:sz w:val="20"/>
                <w:szCs w:val="20"/>
              </w:rPr>
            </w:pPr>
          </w:p>
        </w:tc>
      </w:tr>
      <w:tr w:rsidR="003708D7" w:rsidRPr="00643E71" w14:paraId="539B3AED" w14:textId="77777777" w:rsidTr="003708D7">
        <w:trPr>
          <w:trHeight w:val="295"/>
        </w:trPr>
        <w:tc>
          <w:tcPr>
            <w:tcW w:w="185" w:type="dxa"/>
            <w:tcBorders>
              <w:top w:val="single" w:sz="4" w:space="0" w:color="auto"/>
              <w:left w:val="single" w:sz="4" w:space="0" w:color="auto"/>
              <w:bottom w:val="single" w:sz="4" w:space="0" w:color="auto"/>
            </w:tcBorders>
            <w:shd w:val="clear" w:color="000000" w:fill="FFFFFF"/>
            <w:noWrap/>
            <w:vAlign w:val="bottom"/>
          </w:tcPr>
          <w:p w14:paraId="6471621A" w14:textId="77777777" w:rsidR="00C33AD1" w:rsidRPr="0077128B" w:rsidRDefault="00C33AD1" w:rsidP="00BA4E5A">
            <w:pPr>
              <w:spacing w:after="0"/>
              <w:rPr>
                <w:color w:val="FF0000"/>
                <w:sz w:val="20"/>
                <w:szCs w:val="20"/>
              </w:rPr>
            </w:pPr>
          </w:p>
        </w:tc>
        <w:tc>
          <w:tcPr>
            <w:tcW w:w="186" w:type="dxa"/>
            <w:tcBorders>
              <w:top w:val="single" w:sz="4" w:space="0" w:color="auto"/>
              <w:left w:val="nil"/>
              <w:bottom w:val="single" w:sz="4" w:space="0" w:color="auto"/>
            </w:tcBorders>
            <w:shd w:val="clear" w:color="000000" w:fill="FFFFFF"/>
            <w:noWrap/>
            <w:vAlign w:val="bottom"/>
          </w:tcPr>
          <w:p w14:paraId="6CCD7AC6" w14:textId="77777777" w:rsidR="00C33AD1" w:rsidRPr="0077128B" w:rsidRDefault="00C33AD1" w:rsidP="00BA4E5A">
            <w:pPr>
              <w:spacing w:after="0"/>
              <w:rPr>
                <w:color w:val="FF0000"/>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21EBFD63" w14:textId="11D527AA" w:rsidR="00C33AD1" w:rsidRPr="006B6D61" w:rsidRDefault="00C33AD1" w:rsidP="00BA4E5A">
            <w:pPr>
              <w:spacing w:after="0"/>
              <w:rPr>
                <w:sz w:val="20"/>
                <w:szCs w:val="20"/>
              </w:rPr>
            </w:pPr>
            <w:r w:rsidRPr="006B6D61">
              <w:rPr>
                <w:sz w:val="20"/>
                <w:szCs w:val="20"/>
              </w:rPr>
              <w:t>výzkum, vývoj a inovace (institucionální podpora)</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5647163" w14:textId="712833FF" w:rsidR="00C33AD1" w:rsidRPr="006B6D61" w:rsidRDefault="00D42EB6" w:rsidP="00BA4E5A">
            <w:pPr>
              <w:spacing w:after="0"/>
              <w:jc w:val="right"/>
              <w:rPr>
                <w:sz w:val="20"/>
                <w:szCs w:val="20"/>
              </w:rPr>
            </w:pPr>
            <w:r w:rsidRPr="006B6D61">
              <w:rPr>
                <w:sz w:val="20"/>
                <w:szCs w:val="20"/>
              </w:rPr>
              <w:t>30 000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95EEC89" w14:textId="2E5FA963" w:rsidR="00C33AD1" w:rsidRPr="006B6D61" w:rsidRDefault="00A22412" w:rsidP="00BA4E5A">
            <w:pPr>
              <w:spacing w:after="0"/>
              <w:jc w:val="right"/>
              <w:rPr>
                <w:sz w:val="20"/>
                <w:szCs w:val="20"/>
              </w:rPr>
            </w:pPr>
            <w:r w:rsidRPr="006B6D61">
              <w:rPr>
                <w:sz w:val="20"/>
                <w:szCs w:val="20"/>
              </w:rPr>
              <w:t>30 000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9A50A21" w14:textId="26F1F63C" w:rsidR="00C33AD1" w:rsidRPr="006B6D61" w:rsidRDefault="00A22412" w:rsidP="00BA4E5A">
            <w:pPr>
              <w:spacing w:after="0"/>
              <w:jc w:val="right"/>
              <w:rPr>
                <w:sz w:val="20"/>
                <w:szCs w:val="20"/>
              </w:rPr>
            </w:pPr>
            <w:r w:rsidRPr="006B6D61">
              <w:rPr>
                <w:sz w:val="20"/>
                <w:szCs w:val="20"/>
              </w:rPr>
              <w:t>8 593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33FE81" w14:textId="2B802946" w:rsidR="00C33AD1" w:rsidRPr="006B6D61" w:rsidRDefault="00A22412" w:rsidP="00BA4E5A">
            <w:pPr>
              <w:spacing w:after="0"/>
              <w:jc w:val="right"/>
              <w:rPr>
                <w:sz w:val="20"/>
                <w:szCs w:val="20"/>
              </w:rPr>
            </w:pPr>
            <w:r w:rsidRPr="006B6D61">
              <w:rPr>
                <w:sz w:val="20"/>
                <w:szCs w:val="20"/>
              </w:rPr>
              <w:t>8 593</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B825CF9" w14:textId="6EBC3539" w:rsidR="00C33AD1" w:rsidRPr="006B6D61" w:rsidRDefault="00A22412" w:rsidP="00BA4E5A">
            <w:pPr>
              <w:spacing w:after="0"/>
              <w:jc w:val="right"/>
              <w:rPr>
                <w:sz w:val="20"/>
                <w:szCs w:val="20"/>
              </w:rPr>
            </w:pPr>
            <w:r w:rsidRPr="006B6D61">
              <w:rPr>
                <w:sz w:val="20"/>
                <w:szCs w:val="20"/>
              </w:rPr>
              <w:t>8 593</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3356CCA" w14:textId="12BEEE55" w:rsidR="00C33AD1" w:rsidRPr="006B6D61" w:rsidRDefault="006C5438" w:rsidP="00BA4E5A">
            <w:pPr>
              <w:spacing w:after="0"/>
              <w:jc w:val="right"/>
              <w:rPr>
                <w:sz w:val="20"/>
                <w:szCs w:val="20"/>
              </w:rPr>
            </w:pPr>
            <w:r w:rsidRPr="006B6D61">
              <w:rPr>
                <w:sz w:val="20"/>
                <w:szCs w:val="20"/>
              </w:rPr>
              <w:t>28,</w:t>
            </w:r>
            <w:r w:rsidR="00643E71" w:rsidRPr="006B6D61">
              <w:rPr>
                <w:sz w:val="20"/>
                <w:szCs w:val="20"/>
              </w:rPr>
              <w:t>6</w:t>
            </w:r>
          </w:p>
        </w:tc>
      </w:tr>
      <w:tr w:rsidR="003708D7" w:rsidRPr="0044012B" w14:paraId="43D64A63" w14:textId="77777777" w:rsidTr="003708D7">
        <w:trPr>
          <w:trHeight w:val="295"/>
        </w:trPr>
        <w:tc>
          <w:tcPr>
            <w:tcW w:w="185" w:type="dxa"/>
            <w:tcBorders>
              <w:top w:val="single" w:sz="4" w:space="0" w:color="auto"/>
              <w:left w:val="single" w:sz="4" w:space="0" w:color="auto"/>
              <w:bottom w:val="nil"/>
              <w:right w:val="nil"/>
            </w:tcBorders>
            <w:shd w:val="clear" w:color="000000" w:fill="FFFFFF"/>
            <w:noWrap/>
            <w:vAlign w:val="bottom"/>
          </w:tcPr>
          <w:p w14:paraId="0530831F" w14:textId="77777777" w:rsidR="00C33AD1" w:rsidRPr="0077128B" w:rsidRDefault="00C33AD1" w:rsidP="00BA4E5A">
            <w:pPr>
              <w:spacing w:after="0"/>
              <w:rPr>
                <w:color w:val="FF0000"/>
                <w:sz w:val="20"/>
                <w:szCs w:val="20"/>
              </w:rPr>
            </w:pPr>
          </w:p>
        </w:tc>
        <w:tc>
          <w:tcPr>
            <w:tcW w:w="186" w:type="dxa"/>
            <w:tcBorders>
              <w:top w:val="single" w:sz="4" w:space="0" w:color="auto"/>
              <w:left w:val="nil"/>
              <w:bottom w:val="nil"/>
            </w:tcBorders>
            <w:shd w:val="clear" w:color="000000" w:fill="FFFFFF"/>
            <w:noWrap/>
            <w:vAlign w:val="bottom"/>
          </w:tcPr>
          <w:p w14:paraId="3122FAC1" w14:textId="77777777" w:rsidR="00C33AD1" w:rsidRPr="0077128B" w:rsidRDefault="00C33AD1" w:rsidP="00BA4E5A">
            <w:pPr>
              <w:spacing w:after="0"/>
              <w:rPr>
                <w:color w:val="FF0000"/>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25FA8453" w14:textId="395F595C" w:rsidR="00C33AD1" w:rsidRPr="006B6D61" w:rsidRDefault="00C33AD1" w:rsidP="00BA4E5A">
            <w:pPr>
              <w:spacing w:after="0"/>
              <w:rPr>
                <w:sz w:val="20"/>
                <w:szCs w:val="20"/>
              </w:rPr>
            </w:pPr>
            <w:r w:rsidRPr="006B6D61">
              <w:rPr>
                <w:sz w:val="20"/>
                <w:szCs w:val="20"/>
              </w:rPr>
              <w:t>účelová neinvestiční dotace</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16B31F33" w14:textId="2BF224FA"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70C0A018" w14:textId="2310BE59"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28CABE3E" w14:textId="2A8451A2" w:rsidR="00C33AD1" w:rsidRPr="006B6D61" w:rsidRDefault="00C33AD1" w:rsidP="00BA4E5A">
            <w:pPr>
              <w:spacing w:after="0"/>
              <w:jc w:val="right"/>
              <w:rPr>
                <w:sz w:val="20"/>
                <w:szCs w:val="20"/>
              </w:rPr>
            </w:pPr>
            <w:r w:rsidRPr="006B6D61">
              <w:rPr>
                <w:sz w:val="20"/>
                <w:szCs w:val="20"/>
              </w:rPr>
              <w:t>0</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69CC1FB0" w14:textId="4DC86CDC"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4F11E61" w14:textId="59B75887" w:rsidR="00C33AD1" w:rsidRPr="006B6D61" w:rsidRDefault="00C33AD1" w:rsidP="00BA4E5A">
            <w:pPr>
              <w:spacing w:after="0"/>
              <w:jc w:val="right"/>
              <w:rPr>
                <w:sz w:val="20"/>
                <w:szCs w:val="20"/>
              </w:rPr>
            </w:pPr>
            <w:r w:rsidRPr="006B6D61">
              <w:rPr>
                <w:sz w:val="20"/>
                <w:szCs w:val="20"/>
              </w:rPr>
              <w:t>0</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31271826" w14:textId="2CCB1911" w:rsidR="00C33AD1" w:rsidRPr="006B6D61" w:rsidRDefault="00C33AD1" w:rsidP="00BA4E5A">
            <w:pPr>
              <w:spacing w:after="0"/>
              <w:jc w:val="right"/>
              <w:rPr>
                <w:sz w:val="20"/>
                <w:szCs w:val="20"/>
              </w:rPr>
            </w:pPr>
            <w:r w:rsidRPr="006B6D61">
              <w:rPr>
                <w:sz w:val="20"/>
                <w:szCs w:val="20"/>
              </w:rPr>
              <w:t>x</w:t>
            </w:r>
          </w:p>
        </w:tc>
      </w:tr>
      <w:tr w:rsidR="003708D7" w:rsidRPr="0044012B" w14:paraId="02043709" w14:textId="77777777" w:rsidTr="003708D7">
        <w:trPr>
          <w:trHeight w:val="295"/>
        </w:trPr>
        <w:tc>
          <w:tcPr>
            <w:tcW w:w="185" w:type="dxa"/>
            <w:tcBorders>
              <w:top w:val="nil"/>
              <w:left w:val="single" w:sz="4" w:space="0" w:color="auto"/>
              <w:bottom w:val="nil"/>
              <w:right w:val="nil"/>
            </w:tcBorders>
            <w:shd w:val="clear" w:color="000000" w:fill="FFFFFF"/>
            <w:noWrap/>
            <w:vAlign w:val="bottom"/>
          </w:tcPr>
          <w:p w14:paraId="0EF096FA" w14:textId="77777777" w:rsidR="00C33AD1" w:rsidRPr="0077128B" w:rsidRDefault="00C33AD1" w:rsidP="00BA4E5A">
            <w:pPr>
              <w:spacing w:after="0"/>
              <w:rPr>
                <w:color w:val="FF0000"/>
                <w:sz w:val="20"/>
                <w:szCs w:val="20"/>
              </w:rPr>
            </w:pPr>
          </w:p>
        </w:tc>
        <w:tc>
          <w:tcPr>
            <w:tcW w:w="186" w:type="dxa"/>
            <w:tcBorders>
              <w:top w:val="nil"/>
              <w:left w:val="nil"/>
              <w:bottom w:val="nil"/>
            </w:tcBorders>
            <w:shd w:val="clear" w:color="000000" w:fill="FFFFFF"/>
            <w:noWrap/>
            <w:vAlign w:val="bottom"/>
          </w:tcPr>
          <w:p w14:paraId="3EDCB496" w14:textId="77777777" w:rsidR="00C33AD1" w:rsidRPr="0077128B" w:rsidRDefault="00C33AD1" w:rsidP="00BA4E5A">
            <w:pPr>
              <w:spacing w:after="0"/>
              <w:rPr>
                <w:color w:val="FF0000"/>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3408A813" w14:textId="19F3E588" w:rsidR="00C33AD1" w:rsidRPr="006B6D61" w:rsidRDefault="00C33AD1" w:rsidP="00BA4E5A">
            <w:pPr>
              <w:spacing w:after="0"/>
              <w:rPr>
                <w:sz w:val="20"/>
                <w:szCs w:val="20"/>
              </w:rPr>
            </w:pPr>
            <w:r w:rsidRPr="006B6D61">
              <w:rPr>
                <w:sz w:val="20"/>
                <w:szCs w:val="20"/>
              </w:rPr>
              <w:t xml:space="preserve">z toho: výdaje na </w:t>
            </w:r>
            <w:proofErr w:type="spellStart"/>
            <w:r w:rsidRPr="006B6D61">
              <w:rPr>
                <w:sz w:val="20"/>
                <w:szCs w:val="20"/>
              </w:rPr>
              <w:t>progr</w:t>
            </w:r>
            <w:proofErr w:type="spellEnd"/>
            <w:r w:rsidRPr="006B6D61">
              <w:rPr>
                <w:sz w:val="20"/>
                <w:szCs w:val="20"/>
              </w:rPr>
              <w:t xml:space="preserve">. </w:t>
            </w:r>
            <w:proofErr w:type="spellStart"/>
            <w:r w:rsidRPr="006B6D61">
              <w:rPr>
                <w:sz w:val="20"/>
                <w:szCs w:val="20"/>
              </w:rPr>
              <w:t>spolufin</w:t>
            </w:r>
            <w:proofErr w:type="spellEnd"/>
            <w:r w:rsidRPr="006B6D61">
              <w:rPr>
                <w:sz w:val="20"/>
                <w:szCs w:val="20"/>
              </w:rPr>
              <w:t>. z rozpočtu EU</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4B24A29D" w14:textId="0BE6768D"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577F4656" w14:textId="138F31DC"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8BA4143" w14:textId="2B35592E" w:rsidR="00C33AD1" w:rsidRPr="006B6D61" w:rsidRDefault="00C33AD1" w:rsidP="00BA4E5A">
            <w:pPr>
              <w:spacing w:after="0"/>
              <w:jc w:val="right"/>
              <w:rPr>
                <w:sz w:val="20"/>
                <w:szCs w:val="20"/>
              </w:rPr>
            </w:pPr>
            <w:r w:rsidRPr="006B6D61">
              <w:rPr>
                <w:sz w:val="20"/>
                <w:szCs w:val="20"/>
              </w:rPr>
              <w:t>0</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323556E0" w14:textId="29660B00"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C667006" w14:textId="56E88B50" w:rsidR="00C33AD1" w:rsidRPr="006B6D61" w:rsidRDefault="00C33AD1" w:rsidP="00BA4E5A">
            <w:pPr>
              <w:spacing w:after="0"/>
              <w:jc w:val="right"/>
              <w:rPr>
                <w:sz w:val="20"/>
                <w:szCs w:val="20"/>
              </w:rPr>
            </w:pPr>
            <w:r w:rsidRPr="006B6D61">
              <w:rPr>
                <w:sz w:val="20"/>
                <w:szCs w:val="20"/>
              </w:rPr>
              <w:t>0</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70E450FF" w14:textId="59C04ABE" w:rsidR="00C33AD1" w:rsidRPr="006B6D61" w:rsidRDefault="00C33AD1" w:rsidP="00BA4E5A">
            <w:pPr>
              <w:spacing w:after="0"/>
              <w:jc w:val="right"/>
              <w:rPr>
                <w:sz w:val="20"/>
                <w:szCs w:val="20"/>
              </w:rPr>
            </w:pPr>
            <w:r w:rsidRPr="006B6D61">
              <w:rPr>
                <w:sz w:val="20"/>
                <w:szCs w:val="20"/>
              </w:rPr>
              <w:t>x</w:t>
            </w:r>
          </w:p>
        </w:tc>
      </w:tr>
      <w:tr w:rsidR="003708D7" w:rsidRPr="0044012B" w14:paraId="49E14ADC" w14:textId="77777777" w:rsidTr="003708D7">
        <w:trPr>
          <w:trHeight w:val="295"/>
        </w:trPr>
        <w:tc>
          <w:tcPr>
            <w:tcW w:w="185" w:type="dxa"/>
            <w:tcBorders>
              <w:top w:val="nil"/>
              <w:left w:val="single" w:sz="4" w:space="0" w:color="auto"/>
              <w:bottom w:val="nil"/>
              <w:right w:val="nil"/>
            </w:tcBorders>
            <w:shd w:val="clear" w:color="000000" w:fill="FFFFFF"/>
            <w:noWrap/>
            <w:vAlign w:val="bottom"/>
          </w:tcPr>
          <w:p w14:paraId="76BFF310" w14:textId="77777777" w:rsidR="00C33AD1" w:rsidRPr="0077128B" w:rsidRDefault="00C33AD1" w:rsidP="00BA4E5A">
            <w:pPr>
              <w:spacing w:after="0"/>
              <w:rPr>
                <w:color w:val="FF0000"/>
                <w:sz w:val="20"/>
                <w:szCs w:val="20"/>
              </w:rPr>
            </w:pPr>
          </w:p>
        </w:tc>
        <w:tc>
          <w:tcPr>
            <w:tcW w:w="186" w:type="dxa"/>
            <w:tcBorders>
              <w:top w:val="nil"/>
              <w:left w:val="nil"/>
              <w:bottom w:val="nil"/>
            </w:tcBorders>
            <w:shd w:val="clear" w:color="000000" w:fill="FFFFFF"/>
            <w:noWrap/>
            <w:vAlign w:val="bottom"/>
          </w:tcPr>
          <w:p w14:paraId="3CDC9FC1" w14:textId="77777777" w:rsidR="00C33AD1" w:rsidRPr="0077128B" w:rsidRDefault="00C33AD1" w:rsidP="00BA4E5A">
            <w:pPr>
              <w:spacing w:after="0"/>
              <w:rPr>
                <w:color w:val="FF0000"/>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76E99217" w14:textId="3CB95458" w:rsidR="00C33AD1" w:rsidRPr="006B6D61" w:rsidRDefault="00C33AD1" w:rsidP="00BA4E5A">
            <w:pPr>
              <w:spacing w:after="0"/>
              <w:rPr>
                <w:sz w:val="20"/>
                <w:szCs w:val="20"/>
              </w:rPr>
            </w:pPr>
            <w:r w:rsidRPr="006B6D61">
              <w:rPr>
                <w:sz w:val="20"/>
                <w:szCs w:val="20"/>
              </w:rPr>
              <w:t>v tom: v tom: ze SR</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79967A88" w14:textId="4194B0A3"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1CE7AF1E" w14:textId="27F81136"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7F35C12D" w14:textId="7CCAED5A" w:rsidR="00C33AD1" w:rsidRPr="006B6D61" w:rsidRDefault="00C33AD1" w:rsidP="00BA4E5A">
            <w:pPr>
              <w:spacing w:after="0"/>
              <w:jc w:val="right"/>
              <w:rPr>
                <w:sz w:val="20"/>
                <w:szCs w:val="20"/>
              </w:rPr>
            </w:pPr>
            <w:r w:rsidRPr="006B6D61">
              <w:rPr>
                <w:sz w:val="20"/>
                <w:szCs w:val="20"/>
              </w:rPr>
              <w:t>0</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560CEAD3" w14:textId="5DF20508"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C40CCCA" w14:textId="4352AEE9" w:rsidR="00C33AD1" w:rsidRPr="006B6D61" w:rsidRDefault="00C33AD1" w:rsidP="00BA4E5A">
            <w:pPr>
              <w:spacing w:after="0"/>
              <w:jc w:val="right"/>
              <w:rPr>
                <w:sz w:val="20"/>
                <w:szCs w:val="20"/>
              </w:rPr>
            </w:pPr>
            <w:r w:rsidRPr="006B6D61">
              <w:rPr>
                <w:sz w:val="20"/>
                <w:szCs w:val="20"/>
              </w:rPr>
              <w:t>0</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6CFD3B85" w14:textId="6C15889D" w:rsidR="00C33AD1" w:rsidRPr="006B6D61" w:rsidRDefault="00C33AD1" w:rsidP="00BA4E5A">
            <w:pPr>
              <w:spacing w:after="0"/>
              <w:jc w:val="right"/>
              <w:rPr>
                <w:sz w:val="20"/>
                <w:szCs w:val="20"/>
              </w:rPr>
            </w:pPr>
            <w:r w:rsidRPr="006B6D61">
              <w:rPr>
                <w:sz w:val="20"/>
                <w:szCs w:val="20"/>
              </w:rPr>
              <w:t>x</w:t>
            </w:r>
          </w:p>
        </w:tc>
      </w:tr>
      <w:tr w:rsidR="00DE3737" w:rsidRPr="0044012B" w14:paraId="2616DFD6" w14:textId="77777777" w:rsidTr="003708D7">
        <w:trPr>
          <w:trHeight w:val="295"/>
        </w:trPr>
        <w:tc>
          <w:tcPr>
            <w:tcW w:w="185" w:type="dxa"/>
            <w:tcBorders>
              <w:top w:val="nil"/>
              <w:left w:val="single" w:sz="4" w:space="0" w:color="auto"/>
              <w:bottom w:val="single" w:sz="4" w:space="0" w:color="auto"/>
              <w:right w:val="nil"/>
            </w:tcBorders>
            <w:shd w:val="clear" w:color="000000" w:fill="FFFFFF"/>
            <w:noWrap/>
            <w:vAlign w:val="bottom"/>
          </w:tcPr>
          <w:p w14:paraId="6301C957" w14:textId="77777777" w:rsidR="00C33AD1" w:rsidRPr="0077128B" w:rsidRDefault="00C33AD1" w:rsidP="00BA4E5A">
            <w:pPr>
              <w:spacing w:after="0"/>
              <w:rPr>
                <w:color w:val="FF0000"/>
                <w:sz w:val="20"/>
                <w:szCs w:val="20"/>
              </w:rPr>
            </w:pPr>
          </w:p>
        </w:tc>
        <w:tc>
          <w:tcPr>
            <w:tcW w:w="186" w:type="dxa"/>
            <w:tcBorders>
              <w:top w:val="nil"/>
              <w:left w:val="nil"/>
              <w:bottom w:val="single" w:sz="4" w:space="0" w:color="auto"/>
            </w:tcBorders>
            <w:shd w:val="clear" w:color="000000" w:fill="FFFFFF"/>
            <w:noWrap/>
            <w:vAlign w:val="bottom"/>
          </w:tcPr>
          <w:p w14:paraId="5695EC44" w14:textId="77777777" w:rsidR="00C33AD1" w:rsidRPr="0077128B" w:rsidRDefault="00C33AD1" w:rsidP="00BA4E5A">
            <w:pPr>
              <w:spacing w:after="0"/>
              <w:rPr>
                <w:color w:val="FF0000"/>
                <w:sz w:val="20"/>
                <w:szCs w:val="20"/>
              </w:rPr>
            </w:pPr>
          </w:p>
        </w:tc>
        <w:tc>
          <w:tcPr>
            <w:tcW w:w="2611" w:type="dxa"/>
            <w:tcBorders>
              <w:top w:val="single" w:sz="4" w:space="0" w:color="auto"/>
              <w:left w:val="nil"/>
              <w:bottom w:val="single" w:sz="4" w:space="0" w:color="auto"/>
              <w:right w:val="single" w:sz="4" w:space="0" w:color="auto"/>
            </w:tcBorders>
            <w:shd w:val="clear" w:color="000000" w:fill="FFFFFF"/>
            <w:noWrap/>
            <w:vAlign w:val="bottom"/>
          </w:tcPr>
          <w:p w14:paraId="5095C87D" w14:textId="2CE587D1" w:rsidR="00C33AD1" w:rsidRPr="006B6D61" w:rsidRDefault="00C33AD1" w:rsidP="00BA4E5A">
            <w:pPr>
              <w:spacing w:after="0"/>
              <w:rPr>
                <w:sz w:val="20"/>
                <w:szCs w:val="20"/>
              </w:rPr>
            </w:pPr>
            <w:r w:rsidRPr="006B6D61">
              <w:rPr>
                <w:sz w:val="20"/>
                <w:szCs w:val="20"/>
              </w:rPr>
              <w:t>v tom: v tom: z rozpočtu EU</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1D3950CF" w14:textId="190A10D8"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3ADDD02B" w14:textId="7EA69051"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6A87D996" w14:textId="2CC31D01" w:rsidR="00C33AD1" w:rsidRPr="006B6D61" w:rsidRDefault="00C33AD1" w:rsidP="00BA4E5A">
            <w:pPr>
              <w:spacing w:after="0"/>
              <w:jc w:val="right"/>
              <w:rPr>
                <w:sz w:val="20"/>
                <w:szCs w:val="20"/>
              </w:rPr>
            </w:pPr>
            <w:r w:rsidRPr="006B6D61">
              <w:rPr>
                <w:sz w:val="20"/>
                <w:szCs w:val="20"/>
              </w:rPr>
              <w:t>0</w:t>
            </w:r>
          </w:p>
        </w:tc>
        <w:tc>
          <w:tcPr>
            <w:tcW w:w="992" w:type="dxa"/>
            <w:tcBorders>
              <w:top w:val="single" w:sz="4" w:space="0" w:color="auto"/>
              <w:left w:val="nil"/>
              <w:bottom w:val="single" w:sz="4" w:space="0" w:color="auto"/>
              <w:right w:val="single" w:sz="4" w:space="0" w:color="auto"/>
            </w:tcBorders>
            <w:shd w:val="clear" w:color="000000" w:fill="FFFFFF"/>
            <w:vAlign w:val="center"/>
          </w:tcPr>
          <w:p w14:paraId="41FA5116" w14:textId="658855B6" w:rsidR="00C33AD1" w:rsidRPr="006B6D61" w:rsidRDefault="00C33AD1" w:rsidP="00BA4E5A">
            <w:pPr>
              <w:spacing w:after="0"/>
              <w:jc w:val="right"/>
              <w:rPr>
                <w:sz w:val="20"/>
                <w:szCs w:val="20"/>
              </w:rPr>
            </w:pPr>
            <w:r w:rsidRPr="006B6D61">
              <w:rPr>
                <w:sz w:val="20"/>
                <w:szCs w:val="20"/>
              </w:rPr>
              <w:t>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8B332C5" w14:textId="489973BF" w:rsidR="00C33AD1" w:rsidRPr="006B6D61" w:rsidRDefault="00C33AD1" w:rsidP="00BA4E5A">
            <w:pPr>
              <w:spacing w:after="0"/>
              <w:jc w:val="right"/>
              <w:rPr>
                <w:sz w:val="20"/>
                <w:szCs w:val="20"/>
              </w:rPr>
            </w:pPr>
            <w:r w:rsidRPr="006B6D61">
              <w:rPr>
                <w:sz w:val="20"/>
                <w:szCs w:val="20"/>
              </w:rPr>
              <w:t>0</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14:paraId="0DAFA342" w14:textId="58FACE2E" w:rsidR="00C33AD1" w:rsidRPr="006B6D61" w:rsidRDefault="00C33AD1" w:rsidP="00BA4E5A">
            <w:pPr>
              <w:spacing w:after="0"/>
              <w:jc w:val="right"/>
              <w:rPr>
                <w:sz w:val="20"/>
                <w:szCs w:val="20"/>
              </w:rPr>
            </w:pPr>
            <w:r w:rsidRPr="006B6D61">
              <w:rPr>
                <w:sz w:val="20"/>
                <w:szCs w:val="20"/>
              </w:rPr>
              <w:t>x</w:t>
            </w:r>
          </w:p>
        </w:tc>
      </w:tr>
    </w:tbl>
    <w:p w14:paraId="68232CB8" w14:textId="5ABC9C59" w:rsidR="006236AB" w:rsidRPr="006B6D61" w:rsidRDefault="00452CCA" w:rsidP="008A0E44">
      <w:pPr>
        <w:pStyle w:val="KOMnadp4"/>
      </w:pPr>
      <w:r w:rsidRPr="006B6D61">
        <w:lastRenderedPageBreak/>
        <w:t>T</w:t>
      </w:r>
      <w:r w:rsidR="006236AB" w:rsidRPr="006B6D61">
        <w:t>ransfery veřejným výzkumným institucím</w:t>
      </w:r>
      <w:r w:rsidR="00B929B7" w:rsidRPr="006B6D61">
        <w:t xml:space="preserve"> </w:t>
      </w:r>
    </w:p>
    <w:p w14:paraId="0084F84D" w14:textId="340FA374" w:rsidR="009C5A16" w:rsidRPr="006B6D61" w:rsidRDefault="00B929B7" w:rsidP="003F0A7C">
      <w:pPr>
        <w:pStyle w:val="KOMtext"/>
      </w:pPr>
      <w:r w:rsidRPr="006B6D61">
        <w:t xml:space="preserve">Schválený rozpočet </w:t>
      </w:r>
      <w:r w:rsidR="00AC29BE" w:rsidRPr="006B6D61">
        <w:t xml:space="preserve">veřejným výzkumným institucím </w:t>
      </w:r>
      <w:r w:rsidRPr="006B6D61">
        <w:t xml:space="preserve">byl ve výši </w:t>
      </w:r>
      <w:r w:rsidR="004F757B" w:rsidRPr="006B6D61">
        <w:t>147 663</w:t>
      </w:r>
      <w:r w:rsidRPr="006B6D61">
        <w:t xml:space="preserve"> tis. Kč. V průběhu rok</w:t>
      </w:r>
      <w:r w:rsidR="00AC29BE" w:rsidRPr="006B6D61">
        <w:t>u</w:t>
      </w:r>
      <w:r w:rsidR="00101B37" w:rsidRPr="006B6D61">
        <w:t xml:space="preserve"> </w:t>
      </w:r>
      <w:r w:rsidR="005E215E" w:rsidRPr="006B6D61">
        <w:t>nebyl rozpočet upravován</w:t>
      </w:r>
      <w:r w:rsidRPr="006B6D61">
        <w:t>. Skutečné čerpán</w:t>
      </w:r>
      <w:r w:rsidR="00AC29BE" w:rsidRPr="006B6D61">
        <w:t xml:space="preserve">í bylo ve výši </w:t>
      </w:r>
      <w:r w:rsidR="00931C54" w:rsidRPr="006B6D61">
        <w:t>141 260</w:t>
      </w:r>
      <w:r w:rsidR="00AC29BE" w:rsidRPr="006B6D61">
        <w:t xml:space="preserve"> tis. Kč, </w:t>
      </w:r>
      <w:r w:rsidRPr="006B6D61">
        <w:t xml:space="preserve">tj. </w:t>
      </w:r>
      <w:r w:rsidR="00CC5AE4" w:rsidRPr="006B6D61">
        <w:t>95</w:t>
      </w:r>
      <w:r w:rsidR="00AC29BE" w:rsidRPr="006B6D61">
        <w:t>,</w:t>
      </w:r>
      <w:r w:rsidR="00CC5AE4" w:rsidRPr="006B6D61">
        <w:t>7</w:t>
      </w:r>
      <w:r w:rsidRPr="006B6D61">
        <w:t xml:space="preserve"> %</w:t>
      </w:r>
      <w:r w:rsidR="00AC29BE" w:rsidRPr="006B6D61">
        <w:t xml:space="preserve">. </w:t>
      </w:r>
      <w:r w:rsidRPr="006B6D61">
        <w:t xml:space="preserve">Oproti roku </w:t>
      </w:r>
      <w:r w:rsidR="009B02FC" w:rsidRPr="006B6D61">
        <w:t xml:space="preserve">2022 </w:t>
      </w:r>
      <w:r w:rsidRPr="006B6D61">
        <w:t xml:space="preserve">došlo ke </w:t>
      </w:r>
      <w:r w:rsidR="00582D2B" w:rsidRPr="006B6D61">
        <w:t xml:space="preserve">zvýšení </w:t>
      </w:r>
      <w:r w:rsidRPr="006B6D61">
        <w:t xml:space="preserve">čerpaných výdajů o </w:t>
      </w:r>
      <w:r w:rsidR="00582D2B" w:rsidRPr="006B6D61">
        <w:t>14 226</w:t>
      </w:r>
      <w:r w:rsidR="00AC29BE" w:rsidRPr="006B6D61">
        <w:t xml:space="preserve"> t</w:t>
      </w:r>
      <w:r w:rsidRPr="006B6D61">
        <w:t xml:space="preserve">is. Kč, tj. o </w:t>
      </w:r>
      <w:r w:rsidR="00924A5E" w:rsidRPr="006B6D61">
        <w:t>11</w:t>
      </w:r>
      <w:r w:rsidR="00AC29BE" w:rsidRPr="006B6D61">
        <w:t>,</w:t>
      </w:r>
      <w:r w:rsidR="00924A5E" w:rsidRPr="006B6D61">
        <w:t>2</w:t>
      </w:r>
      <w:r w:rsidRPr="006B6D61">
        <w:t xml:space="preserve"> %. </w:t>
      </w:r>
      <w:r w:rsidR="00E96686" w:rsidRPr="006B6D61">
        <w:t xml:space="preserve">Zvýšené </w:t>
      </w:r>
      <w:r w:rsidRPr="006B6D61">
        <w:t xml:space="preserve">výdaje </w:t>
      </w:r>
      <w:r w:rsidR="009C5A16" w:rsidRPr="006B6D61">
        <w:t xml:space="preserve">byly způsobeny především </w:t>
      </w:r>
      <w:r w:rsidR="0015626C" w:rsidRPr="006B6D61">
        <w:t xml:space="preserve">vyšším </w:t>
      </w:r>
      <w:r w:rsidR="009C5A16" w:rsidRPr="006B6D61">
        <w:t xml:space="preserve">čerpáním účelové neinvestiční dotace pro Centrum dopravního výzkumu, </w:t>
      </w:r>
      <w:proofErr w:type="spellStart"/>
      <w:r w:rsidR="009C5A16" w:rsidRPr="006B6D61">
        <w:t>v.v.i</w:t>
      </w:r>
      <w:proofErr w:type="spellEnd"/>
      <w:r w:rsidR="009C5A16" w:rsidRPr="006B6D61">
        <w:t xml:space="preserve">. z důvodu realizování </w:t>
      </w:r>
      <w:r w:rsidR="0015626C" w:rsidRPr="006B6D61">
        <w:t xml:space="preserve">vyššího </w:t>
      </w:r>
      <w:r w:rsidR="009C5A16" w:rsidRPr="006B6D61">
        <w:t>počtu projektů</w:t>
      </w:r>
      <w:r w:rsidRPr="006B6D61">
        <w:t>.</w:t>
      </w:r>
      <w:r w:rsidR="009C5A16" w:rsidRPr="006B6D61">
        <w:t xml:space="preserve"> </w:t>
      </w:r>
    </w:p>
    <w:p w14:paraId="78A44B96" w14:textId="51269A71" w:rsidR="00B929B7" w:rsidRPr="006B6D61" w:rsidRDefault="009C5A16" w:rsidP="00BA4E5A">
      <w:pPr>
        <w:pStyle w:val="KOMnadp5"/>
        <w:rPr>
          <w:color w:val="auto"/>
        </w:rPr>
      </w:pPr>
      <w:r w:rsidRPr="006B6D61">
        <w:rPr>
          <w:color w:val="auto"/>
        </w:rPr>
        <w:t>Neinvestiční transfery</w:t>
      </w:r>
      <w:r w:rsidR="00B929B7" w:rsidRPr="006B6D61">
        <w:rPr>
          <w:color w:val="auto"/>
        </w:rPr>
        <w:t xml:space="preserve"> </w:t>
      </w:r>
    </w:p>
    <w:p w14:paraId="2701D841" w14:textId="06A12634" w:rsidR="00F81B40" w:rsidRPr="0077128B" w:rsidRDefault="003C2F46" w:rsidP="006236AB">
      <w:pPr>
        <w:pStyle w:val="KOMtext"/>
        <w:rPr>
          <w:color w:val="FF0000"/>
        </w:rPr>
      </w:pPr>
      <w:r w:rsidRPr="006B6D61">
        <w:t xml:space="preserve">Schválený rozpočet neinvestičních transferů veřejným výzkumným organizacím pro 2023 je </w:t>
      </w:r>
      <w:r w:rsidRPr="006B6D61">
        <w:br/>
        <w:t xml:space="preserve">ve výši 117 663 tis. Kč (institucionální podpora 67 663 tis. Kč a účelová neinvestiční dotace </w:t>
      </w:r>
      <w:r w:rsidRPr="006B6D61">
        <w:br/>
        <w:t xml:space="preserve">50 000 tis. Kč). Veškeré finanční prostředky byly určeny veřejné výzkumné instituci </w:t>
      </w:r>
      <w:proofErr w:type="gramStart"/>
      <w:r w:rsidRPr="006B6D61">
        <w:t>rezortu</w:t>
      </w:r>
      <w:proofErr w:type="gramEnd"/>
      <w:r w:rsidRPr="006B6D61">
        <w:t xml:space="preserve"> Ministerstva dopravy Centrum dopravního výzkumu, </w:t>
      </w:r>
      <w:proofErr w:type="spellStart"/>
      <w:r w:rsidRPr="006B6D61">
        <w:t>v.v.i</w:t>
      </w:r>
      <w:proofErr w:type="spellEnd"/>
      <w:r w:rsidRPr="006B6D61">
        <w:t xml:space="preserve">. V průběhu roku 2023 došlo </w:t>
      </w:r>
      <w:r w:rsidR="00A16094">
        <w:br/>
      </w:r>
      <w:r w:rsidRPr="006B6D61">
        <w:t xml:space="preserve">k navýšení rozpočtu o 21 406 tis. Kč na 139 069 tis. Kč (institucionální podpora 89 069 tis. Kč </w:t>
      </w:r>
      <w:r w:rsidR="00A16094">
        <w:br/>
      </w:r>
      <w:r w:rsidRPr="006B6D61">
        <w:t xml:space="preserve">a účelová neinvestiční dotace 50 000 tis. Kč). Finanční prostředky ve výši 21 406 tis. Kč byly přesunuty z investiční části institucionální podpory. </w:t>
      </w:r>
    </w:p>
    <w:p w14:paraId="092B7C6A" w14:textId="7C02266C" w:rsidR="006236AB" w:rsidRPr="006B6D61" w:rsidRDefault="007D0A56" w:rsidP="006236AB">
      <w:pPr>
        <w:pStyle w:val="KOMtext"/>
      </w:pPr>
      <w:r w:rsidRPr="006B6D61">
        <w:t xml:space="preserve">Finanční prostředky určené na neinvestiční části institucionální podpory na dlouhodobý koncepční rozvoj Centra dopravního výzkumu, </w:t>
      </w:r>
      <w:proofErr w:type="spellStart"/>
      <w:r w:rsidRPr="006B6D61">
        <w:t>v.v.i</w:t>
      </w:r>
      <w:proofErr w:type="spellEnd"/>
      <w:r w:rsidRPr="006B6D61">
        <w:t xml:space="preserve"> byly v průběhu roku 2023 čerpány ve výši </w:t>
      </w:r>
      <w:r w:rsidRPr="006B6D61">
        <w:br/>
        <w:t>89 069 tis. Kč, tj. 100,00 % upraveného rozpočtu. Jedná se především o realizaci projektů v oblasti zvyšování bezpečnosti silniční dopravy, zvyšování podílu železniční dopravy a ochrany životního prostředí v souvislosti s rozvojem dopravy.</w:t>
      </w:r>
      <w:r w:rsidR="006F0813" w:rsidRPr="006B6D61">
        <w:t xml:space="preserve"> </w:t>
      </w:r>
    </w:p>
    <w:p w14:paraId="674BDB1D" w14:textId="245CF01C" w:rsidR="003F52D8" w:rsidRPr="00C4651A" w:rsidRDefault="003F52D8" w:rsidP="003F52D8">
      <w:pPr>
        <w:pStyle w:val="KOMtext"/>
      </w:pPr>
      <w:r w:rsidRPr="00325905">
        <w:t xml:space="preserve">Prostředky poskytnuté v rámci účelové neinvestiční dotace na podporu rozvoje činnosti Centra dopravního výzkumu, </w:t>
      </w:r>
      <w:proofErr w:type="spellStart"/>
      <w:r w:rsidRPr="00325905">
        <w:t>v.v.i</w:t>
      </w:r>
      <w:proofErr w:type="spellEnd"/>
      <w:r w:rsidRPr="00325905">
        <w:t>. byly v prů</w:t>
      </w:r>
      <w:r>
        <w:t>běhu roku 2023 čerpány ve výši 43 598</w:t>
      </w:r>
      <w:r w:rsidRPr="00325905">
        <w:t xml:space="preserve"> tis. Kč, </w:t>
      </w:r>
      <w:r w:rsidR="00EF520B">
        <w:br/>
      </w:r>
      <w:r w:rsidRPr="00325905">
        <w:t xml:space="preserve">tj. </w:t>
      </w:r>
      <w:r>
        <w:t xml:space="preserve">87,20 % upraveného rozpočtu. Finanční prostředky byly použity </w:t>
      </w:r>
      <w:r w:rsidRPr="00325905">
        <w:t>na zpracování studií a analýz především v oblasti bezpečnosti a kvality silniční dopravy a v oblasti intelige</w:t>
      </w:r>
      <w:r>
        <w:t xml:space="preserve">ntních dopravních systémů. </w:t>
      </w:r>
    </w:p>
    <w:p w14:paraId="6421D9B9" w14:textId="77777777" w:rsidR="003F52D8" w:rsidRPr="00C4651A" w:rsidRDefault="003F52D8" w:rsidP="003F52D8">
      <w:pPr>
        <w:pStyle w:val="KOMtext"/>
      </w:pPr>
      <w:r w:rsidRPr="00C4651A">
        <w:t>Celkem byly v</w:t>
      </w:r>
      <w:r>
        <w:t> </w:t>
      </w:r>
      <w:r w:rsidRPr="00C4651A">
        <w:t>průběhu</w:t>
      </w:r>
      <w:r>
        <w:t xml:space="preserve"> roku</w:t>
      </w:r>
      <w:r w:rsidRPr="00C4651A">
        <w:t xml:space="preserve"> </w:t>
      </w:r>
      <w:r>
        <w:t>2023</w:t>
      </w:r>
      <w:r w:rsidRPr="00C4651A">
        <w:t xml:space="preserve"> v rámci neinvestičních transferů pro Centrum dopravního výzkumu, </w:t>
      </w:r>
      <w:proofErr w:type="spellStart"/>
      <w:r w:rsidRPr="00C4651A">
        <w:t>v.v.i</w:t>
      </w:r>
      <w:proofErr w:type="spellEnd"/>
      <w:r w:rsidRPr="00C4651A">
        <w:t xml:space="preserve">. čerpány prostředky ve výši </w:t>
      </w:r>
      <w:r>
        <w:t>132 667</w:t>
      </w:r>
      <w:r w:rsidRPr="00C4651A">
        <w:t xml:space="preserve"> tis. Kč, tj. </w:t>
      </w:r>
      <w:r>
        <w:t>95,40</w:t>
      </w:r>
      <w:r w:rsidRPr="00C4651A">
        <w:t xml:space="preserve"> % upraveného rozpočtu.</w:t>
      </w:r>
      <w:r>
        <w:t xml:space="preserve"> </w:t>
      </w:r>
      <w:r w:rsidRPr="00C4651A">
        <w:t xml:space="preserve">  </w:t>
      </w:r>
    </w:p>
    <w:p w14:paraId="01AA8785" w14:textId="006E6B16" w:rsidR="003F52D8" w:rsidRPr="00C4651A" w:rsidRDefault="003F52D8" w:rsidP="003F52D8">
      <w:pPr>
        <w:pStyle w:val="KOMtext"/>
      </w:pPr>
      <w:r w:rsidRPr="00C4651A">
        <w:t>Oproti období k </w:t>
      </w:r>
      <w:r>
        <w:t>31</w:t>
      </w:r>
      <w:r w:rsidRPr="00C4651A">
        <w:t xml:space="preserve">. </w:t>
      </w:r>
      <w:r>
        <w:t>12</w:t>
      </w:r>
      <w:r w:rsidRPr="00C4651A">
        <w:t xml:space="preserve">. </w:t>
      </w:r>
      <w:r>
        <w:t>2022</w:t>
      </w:r>
      <w:r w:rsidRPr="00C4651A">
        <w:t xml:space="preserve">, kdy byly neinvestiční prostředky pro Centrum dopravního výzkumu, </w:t>
      </w:r>
      <w:proofErr w:type="spellStart"/>
      <w:r w:rsidRPr="00C4651A">
        <w:t>v.v.i</w:t>
      </w:r>
      <w:proofErr w:type="spellEnd"/>
      <w:r w:rsidRPr="00C4651A">
        <w:t xml:space="preserve">. čerpány ve výši </w:t>
      </w:r>
      <w:r>
        <w:t>95 872</w:t>
      </w:r>
      <w:r w:rsidRPr="00C4651A">
        <w:t xml:space="preserve"> tis. Kč, jsou k </w:t>
      </w:r>
      <w:r>
        <w:t>31</w:t>
      </w:r>
      <w:r w:rsidRPr="00C4651A">
        <w:t xml:space="preserve">. </w:t>
      </w:r>
      <w:r>
        <w:t>12</w:t>
      </w:r>
      <w:r w:rsidRPr="00C4651A">
        <w:t xml:space="preserve">. </w:t>
      </w:r>
      <w:r>
        <w:t>2023</w:t>
      </w:r>
      <w:r w:rsidRPr="00C4651A">
        <w:t xml:space="preserve"> čerpány ve výši </w:t>
      </w:r>
      <w:r>
        <w:br/>
        <w:t>132 667</w:t>
      </w:r>
      <w:r w:rsidRPr="00C4651A">
        <w:t xml:space="preserve"> tis. Kč, tj. </w:t>
      </w:r>
      <w:r>
        <w:t>138,38</w:t>
      </w:r>
      <w:r w:rsidRPr="00C4651A">
        <w:t xml:space="preserve"> % úrovně roku </w:t>
      </w:r>
      <w:r>
        <w:t>2022</w:t>
      </w:r>
      <w:r w:rsidRPr="00C4651A">
        <w:t>.</w:t>
      </w:r>
      <w:r>
        <w:t xml:space="preserve"> Navýšené čerpání oproti roku 2022 je způsobeno navýšením prostředků na neinvestiční část institucionální podpory a větším množství projektů u účelové neinvestiční dotace. </w:t>
      </w:r>
    </w:p>
    <w:p w14:paraId="26FC1F7D" w14:textId="66142A5F" w:rsidR="009C5A16" w:rsidRPr="006B6D61" w:rsidRDefault="009C5A16" w:rsidP="00BA4E5A">
      <w:pPr>
        <w:pStyle w:val="KOMnadp5"/>
        <w:rPr>
          <w:color w:val="auto"/>
        </w:rPr>
      </w:pPr>
      <w:r w:rsidRPr="006B6D61">
        <w:rPr>
          <w:color w:val="auto"/>
        </w:rPr>
        <w:t>Investiční transfery</w:t>
      </w:r>
    </w:p>
    <w:p w14:paraId="6B9A551A" w14:textId="6B8842B8" w:rsidR="009C5A16" w:rsidRPr="006B6D61" w:rsidRDefault="009C5A16" w:rsidP="003F0A7C">
      <w:pPr>
        <w:pStyle w:val="KOMtext"/>
      </w:pPr>
      <w:r w:rsidRPr="006B6D61">
        <w:t xml:space="preserve">Investiční část institucionální podpory byla pro rok </w:t>
      </w:r>
      <w:r w:rsidR="00C97998" w:rsidRPr="006B6D61">
        <w:t xml:space="preserve">2023 </w:t>
      </w:r>
      <w:r w:rsidRPr="006B6D61">
        <w:t xml:space="preserve">rozpočtována ve výši </w:t>
      </w:r>
      <w:r w:rsidR="00173A52" w:rsidRPr="006B6D61">
        <w:t>30 000</w:t>
      </w:r>
      <w:r w:rsidRPr="006B6D61">
        <w:t xml:space="preserve"> tis. Kč.</w:t>
      </w:r>
      <w:r w:rsidR="00173A52" w:rsidRPr="006B6D61">
        <w:t xml:space="preserve"> </w:t>
      </w:r>
      <w:r w:rsidRPr="006B6D61">
        <w:t>V průběhu roku 202</w:t>
      </w:r>
      <w:r w:rsidR="0013420F">
        <w:t>3</w:t>
      </w:r>
      <w:r w:rsidRPr="006B6D61">
        <w:t xml:space="preserve"> byl rozpočet </w:t>
      </w:r>
      <w:r w:rsidR="00C00D9E" w:rsidRPr="006B6D61">
        <w:t xml:space="preserve">snížen </w:t>
      </w:r>
      <w:r w:rsidRPr="006B6D61">
        <w:t xml:space="preserve">o </w:t>
      </w:r>
      <w:r w:rsidR="00C00D9E" w:rsidRPr="006B6D61">
        <w:t>21 407</w:t>
      </w:r>
      <w:r w:rsidRPr="006B6D61">
        <w:t xml:space="preserve"> tis. Kč na částku </w:t>
      </w:r>
      <w:r w:rsidR="00207C55" w:rsidRPr="006B6D61">
        <w:t>8 593</w:t>
      </w:r>
      <w:r w:rsidRPr="006B6D61">
        <w:t xml:space="preserve"> tis. Kč. Prostředky byly převedeny </w:t>
      </w:r>
      <w:r w:rsidR="00207C55" w:rsidRPr="006B6D61">
        <w:t xml:space="preserve">do </w:t>
      </w:r>
      <w:r w:rsidRPr="006B6D61">
        <w:t>neinvestiční části institucionální podpory.</w:t>
      </w:r>
    </w:p>
    <w:p w14:paraId="0712E734" w14:textId="53795D80" w:rsidR="009C5A16" w:rsidRPr="006B6D61" w:rsidRDefault="009C5A16" w:rsidP="003F0A7C">
      <w:pPr>
        <w:pStyle w:val="KOMtext"/>
      </w:pPr>
      <w:r w:rsidRPr="006B6D61">
        <w:lastRenderedPageBreak/>
        <w:t xml:space="preserve">Finanční prostředky byly čerpány ve výši </w:t>
      </w:r>
      <w:r w:rsidR="00DB13D4" w:rsidRPr="006B6D61">
        <w:t>8 593</w:t>
      </w:r>
      <w:r w:rsidRPr="006B6D61">
        <w:t xml:space="preserve"> tis. Kč, tj. 100,00 % upraveného rozpočtu. Prostředky investiční části institucionální podpory čerpala veřejná výzkumná instituce </w:t>
      </w:r>
      <w:proofErr w:type="gramStart"/>
      <w:r w:rsidRPr="006B6D61">
        <w:t>rezortu</w:t>
      </w:r>
      <w:proofErr w:type="gramEnd"/>
      <w:r w:rsidRPr="006B6D61">
        <w:t xml:space="preserve"> dopravy Centrum dopravního výzkumu na pořízení hmotného a nehmotného majetku.</w:t>
      </w:r>
    </w:p>
    <w:p w14:paraId="2836F2D4" w14:textId="771DD4AD" w:rsidR="009C5A16" w:rsidRPr="006B6D61" w:rsidRDefault="009C5A16" w:rsidP="003F0A7C">
      <w:pPr>
        <w:pStyle w:val="KOMtext"/>
      </w:pPr>
      <w:r w:rsidRPr="006B6D61">
        <w:t xml:space="preserve">Oproti období k 31. 12. </w:t>
      </w:r>
      <w:r w:rsidR="00D81DA8" w:rsidRPr="006B6D61">
        <w:t>2022</w:t>
      </w:r>
      <w:r w:rsidRPr="006B6D61">
        <w:t xml:space="preserve">, kdy byly investiční prostředky pro Centrum dopravního výzkumu, </w:t>
      </w:r>
      <w:proofErr w:type="spellStart"/>
      <w:r w:rsidRPr="006B6D61">
        <w:t>v.v.i</w:t>
      </w:r>
      <w:proofErr w:type="spellEnd"/>
      <w:r w:rsidRPr="006B6D61">
        <w:t xml:space="preserve">. čerpány ve výši </w:t>
      </w:r>
      <w:r w:rsidR="00D81DA8" w:rsidRPr="006B6D61">
        <w:t>30 000</w:t>
      </w:r>
      <w:r w:rsidRPr="006B6D61">
        <w:t xml:space="preserve"> tis. Kč, jsou k 31. 12. </w:t>
      </w:r>
      <w:r w:rsidR="00D81DA8" w:rsidRPr="006B6D61">
        <w:t xml:space="preserve">2023 </w:t>
      </w:r>
      <w:r w:rsidRPr="006B6D61">
        <w:t xml:space="preserve">čerpány ve výši </w:t>
      </w:r>
      <w:r w:rsidR="00261D04" w:rsidRPr="006B6D61">
        <w:br/>
      </w:r>
      <w:r w:rsidR="00E70E65" w:rsidRPr="006B6D61">
        <w:t>8 593</w:t>
      </w:r>
      <w:r w:rsidRPr="006B6D61">
        <w:t xml:space="preserve"> tis. Kč, tj. </w:t>
      </w:r>
      <w:r w:rsidR="00E70E65" w:rsidRPr="006B6D61">
        <w:t>28,6</w:t>
      </w:r>
      <w:r w:rsidRPr="006B6D61">
        <w:t xml:space="preserve"> % úrovně roku </w:t>
      </w:r>
      <w:r w:rsidR="00E70E65" w:rsidRPr="006B6D61">
        <w:t>2022</w:t>
      </w:r>
      <w:r w:rsidRPr="006B6D61">
        <w:t xml:space="preserve">. </w:t>
      </w:r>
      <w:r w:rsidR="00261D04" w:rsidRPr="006B6D61">
        <w:t xml:space="preserve">Nízké čerpání je ovlivněno nižším objemem přidělených investičních prostředků výzkumné organizaci v roce </w:t>
      </w:r>
      <w:r w:rsidR="00434501" w:rsidRPr="006B6D61">
        <w:t>2023</w:t>
      </w:r>
      <w:r w:rsidR="00261D04" w:rsidRPr="006B6D61">
        <w:t xml:space="preserve">, které byly sníženy ve prospěch neinvestičních prostředků výzkumné organizace. </w:t>
      </w:r>
    </w:p>
    <w:p w14:paraId="5689025B" w14:textId="77777777" w:rsidR="00D9370D" w:rsidRPr="006B6D61" w:rsidRDefault="00D9370D" w:rsidP="00E20BD6">
      <w:pPr>
        <w:pStyle w:val="KOMnadp3"/>
      </w:pPr>
      <w:bookmarkStart w:id="993" w:name="_Toc129868396"/>
      <w:bookmarkStart w:id="994" w:name="_Toc130304394"/>
      <w:bookmarkStart w:id="995" w:name="_Toc129868397"/>
      <w:bookmarkStart w:id="996" w:name="_Toc130304395"/>
      <w:bookmarkStart w:id="997" w:name="_Toc128660454"/>
      <w:bookmarkStart w:id="998" w:name="_Toc128660752"/>
      <w:bookmarkStart w:id="999" w:name="_Toc128660969"/>
      <w:bookmarkStart w:id="1000" w:name="_Toc128661184"/>
      <w:bookmarkStart w:id="1001" w:name="_Toc128661399"/>
      <w:bookmarkStart w:id="1002" w:name="_Toc128666857"/>
      <w:bookmarkStart w:id="1003" w:name="_Toc128667089"/>
      <w:bookmarkStart w:id="1004" w:name="_Toc128670359"/>
      <w:bookmarkStart w:id="1005" w:name="_Toc128397731"/>
      <w:bookmarkStart w:id="1006" w:name="_Toc128397864"/>
      <w:bookmarkStart w:id="1007" w:name="_Toc128398085"/>
      <w:bookmarkStart w:id="1008" w:name="_Toc128398428"/>
      <w:bookmarkStart w:id="1009" w:name="_Toc128398554"/>
      <w:bookmarkStart w:id="1010" w:name="_Toc128398767"/>
      <w:bookmarkStart w:id="1011" w:name="_Toc128400083"/>
      <w:bookmarkStart w:id="1012" w:name="_Toc128401323"/>
      <w:bookmarkStart w:id="1013" w:name="_Toc128401451"/>
      <w:bookmarkStart w:id="1014" w:name="_Toc128401938"/>
      <w:bookmarkStart w:id="1015" w:name="_Toc128400084"/>
      <w:bookmarkStart w:id="1016" w:name="_Toc162269273"/>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r w:rsidRPr="006B6D61">
        <w:t>Transfery neziskovým a podobným organizacím</w:t>
      </w:r>
      <w:bookmarkEnd w:id="1015"/>
      <w:bookmarkEnd w:id="1016"/>
    </w:p>
    <w:tbl>
      <w:tblPr>
        <w:tblW w:w="0" w:type="auto"/>
        <w:tblCellMar>
          <w:left w:w="70" w:type="dxa"/>
          <w:right w:w="70" w:type="dxa"/>
        </w:tblCellMar>
        <w:tblLook w:val="04A0" w:firstRow="1" w:lastRow="0" w:firstColumn="1" w:lastColumn="0" w:noHBand="0" w:noVBand="1"/>
      </w:tblPr>
      <w:tblGrid>
        <w:gridCol w:w="185"/>
        <w:gridCol w:w="2494"/>
        <w:gridCol w:w="1149"/>
        <w:gridCol w:w="1134"/>
        <w:gridCol w:w="1289"/>
        <w:gridCol w:w="971"/>
        <w:gridCol w:w="1108"/>
        <w:gridCol w:w="742"/>
      </w:tblGrid>
      <w:tr w:rsidR="002F1BE7" w:rsidRPr="0044012B" w14:paraId="47BC1ADD" w14:textId="77777777" w:rsidTr="00777E27">
        <w:trPr>
          <w:trHeight w:val="300"/>
        </w:trPr>
        <w:tc>
          <w:tcPr>
            <w:tcW w:w="9072" w:type="dxa"/>
            <w:gridSpan w:val="8"/>
            <w:tcBorders>
              <w:top w:val="nil"/>
              <w:left w:val="nil"/>
              <w:bottom w:val="nil"/>
              <w:right w:val="nil"/>
            </w:tcBorders>
            <w:shd w:val="clear" w:color="000000" w:fill="FFFFFF"/>
            <w:noWrap/>
            <w:vAlign w:val="bottom"/>
            <w:hideMark/>
          </w:tcPr>
          <w:p w14:paraId="79D6FD30" w14:textId="77777777" w:rsidR="00777E27" w:rsidRPr="006B6D61" w:rsidRDefault="00777E27" w:rsidP="00777E27">
            <w:pPr>
              <w:spacing w:after="0"/>
              <w:jc w:val="right"/>
              <w:rPr>
                <w:rFonts w:cstheme="minorHAnsi"/>
                <w:sz w:val="20"/>
                <w:szCs w:val="20"/>
              </w:rPr>
            </w:pPr>
            <w:r w:rsidRPr="006B6D61">
              <w:rPr>
                <w:rFonts w:cstheme="minorHAnsi"/>
                <w:sz w:val="20"/>
                <w:szCs w:val="20"/>
              </w:rPr>
              <w:t>v tis. Kč</w:t>
            </w:r>
          </w:p>
        </w:tc>
      </w:tr>
      <w:tr w:rsidR="002F1BE7" w:rsidRPr="0044012B" w14:paraId="35EF8B71" w14:textId="77777777" w:rsidTr="00BA4E5A">
        <w:trPr>
          <w:trHeight w:val="324"/>
        </w:trPr>
        <w:tc>
          <w:tcPr>
            <w:tcW w:w="2679" w:type="dxa"/>
            <w:gridSpan w:val="2"/>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165F7704" w14:textId="77777777" w:rsidR="00777E27" w:rsidRPr="006B6D61" w:rsidRDefault="00777E27" w:rsidP="00777E27">
            <w:pPr>
              <w:spacing w:after="0"/>
              <w:jc w:val="center"/>
              <w:rPr>
                <w:rFonts w:cstheme="minorHAnsi"/>
                <w:b/>
                <w:sz w:val="20"/>
                <w:szCs w:val="20"/>
              </w:rPr>
            </w:pPr>
            <w:r w:rsidRPr="006B6D61">
              <w:rPr>
                <w:rFonts w:cstheme="minorHAnsi"/>
                <w:b/>
                <w:sz w:val="20"/>
                <w:szCs w:val="20"/>
              </w:rPr>
              <w:t>Ukazatel</w:t>
            </w:r>
          </w:p>
        </w:tc>
        <w:tc>
          <w:tcPr>
            <w:tcW w:w="1149" w:type="dxa"/>
            <w:vMerge w:val="restart"/>
            <w:tcBorders>
              <w:top w:val="single" w:sz="4" w:space="0" w:color="000000"/>
              <w:left w:val="nil"/>
              <w:right w:val="single" w:sz="4" w:space="0" w:color="000000"/>
            </w:tcBorders>
            <w:shd w:val="clear" w:color="auto" w:fill="D9D9D9" w:themeFill="background1" w:themeFillShade="D9"/>
            <w:vAlign w:val="center"/>
          </w:tcPr>
          <w:p w14:paraId="6765890D" w14:textId="7E8E5C1E" w:rsidR="00777E27" w:rsidRPr="006B6D61" w:rsidRDefault="00777E27" w:rsidP="00777E27">
            <w:pPr>
              <w:spacing w:after="0"/>
              <w:jc w:val="center"/>
              <w:rPr>
                <w:rFonts w:cstheme="minorHAnsi"/>
                <w:b/>
                <w:sz w:val="20"/>
                <w:szCs w:val="20"/>
              </w:rPr>
            </w:pPr>
            <w:r w:rsidRPr="006B6D61">
              <w:rPr>
                <w:rFonts w:cstheme="minorHAnsi"/>
                <w:b/>
                <w:sz w:val="20"/>
                <w:szCs w:val="20"/>
              </w:rPr>
              <w:t>Skutečnost 202</w:t>
            </w:r>
            <w:r w:rsidR="00AD2F58" w:rsidRPr="006B6D61">
              <w:rPr>
                <w:rFonts w:cstheme="minorHAnsi"/>
                <w:b/>
                <w:sz w:val="20"/>
                <w:szCs w:val="20"/>
              </w:rPr>
              <w:t>2</w:t>
            </w:r>
          </w:p>
        </w:tc>
        <w:tc>
          <w:tcPr>
            <w:tcW w:w="3394" w:type="dxa"/>
            <w:gridSpan w:val="3"/>
            <w:tcBorders>
              <w:top w:val="single" w:sz="4" w:space="0" w:color="000000"/>
              <w:left w:val="nil"/>
              <w:bottom w:val="single" w:sz="4" w:space="0" w:color="000000"/>
              <w:right w:val="single" w:sz="4" w:space="0" w:color="000000"/>
            </w:tcBorders>
            <w:shd w:val="clear" w:color="auto" w:fill="D9D9D9" w:themeFill="background1" w:themeFillShade="D9"/>
            <w:vAlign w:val="center"/>
          </w:tcPr>
          <w:p w14:paraId="3D47A532" w14:textId="3670D872" w:rsidR="00777E27" w:rsidRPr="006B6D61" w:rsidRDefault="00777E27" w:rsidP="00777E27">
            <w:pPr>
              <w:spacing w:after="0"/>
              <w:jc w:val="center"/>
              <w:rPr>
                <w:rFonts w:cstheme="minorHAnsi"/>
                <w:b/>
                <w:sz w:val="20"/>
                <w:szCs w:val="20"/>
              </w:rPr>
            </w:pPr>
            <w:r w:rsidRPr="006B6D61">
              <w:rPr>
                <w:rFonts w:cstheme="minorHAnsi"/>
                <w:b/>
                <w:sz w:val="20"/>
                <w:szCs w:val="20"/>
              </w:rPr>
              <w:t>Rozpočet 202</w:t>
            </w:r>
            <w:r w:rsidR="00AD2F58" w:rsidRPr="006B6D61">
              <w:rPr>
                <w:rFonts w:cstheme="minorHAnsi"/>
                <w:b/>
                <w:sz w:val="20"/>
                <w:szCs w:val="20"/>
              </w:rPr>
              <w:t>3</w:t>
            </w:r>
          </w:p>
        </w:tc>
        <w:tc>
          <w:tcPr>
            <w:tcW w:w="1108" w:type="dxa"/>
            <w:vMerge w:val="restart"/>
            <w:tcBorders>
              <w:top w:val="single" w:sz="4" w:space="0" w:color="000000"/>
              <w:left w:val="nil"/>
              <w:right w:val="single" w:sz="4" w:space="0" w:color="000000"/>
            </w:tcBorders>
            <w:shd w:val="clear" w:color="auto" w:fill="D9D9D9" w:themeFill="background1" w:themeFillShade="D9"/>
            <w:vAlign w:val="center"/>
          </w:tcPr>
          <w:p w14:paraId="0099311B" w14:textId="77777777" w:rsidR="00777E27" w:rsidRPr="006B6D61" w:rsidRDefault="00777E27" w:rsidP="00777E27">
            <w:pPr>
              <w:spacing w:after="0"/>
              <w:jc w:val="center"/>
              <w:rPr>
                <w:rFonts w:cstheme="minorHAnsi"/>
                <w:b/>
                <w:sz w:val="20"/>
                <w:szCs w:val="20"/>
              </w:rPr>
            </w:pPr>
            <w:r w:rsidRPr="006B6D61">
              <w:rPr>
                <w:rFonts w:cstheme="minorHAnsi"/>
                <w:b/>
                <w:sz w:val="20"/>
                <w:szCs w:val="20"/>
              </w:rPr>
              <w:t>Skutečnost</w:t>
            </w:r>
          </w:p>
          <w:p w14:paraId="0FFD864B" w14:textId="222C5679" w:rsidR="00777E27" w:rsidRPr="006B6D61" w:rsidRDefault="00777E27" w:rsidP="00777E27">
            <w:pPr>
              <w:spacing w:after="0"/>
              <w:jc w:val="center"/>
              <w:rPr>
                <w:rFonts w:cstheme="minorHAnsi"/>
                <w:b/>
                <w:sz w:val="20"/>
                <w:szCs w:val="20"/>
              </w:rPr>
            </w:pPr>
            <w:r w:rsidRPr="006B6D61">
              <w:rPr>
                <w:rFonts w:cstheme="minorHAnsi"/>
                <w:b/>
                <w:sz w:val="20"/>
                <w:szCs w:val="20"/>
              </w:rPr>
              <w:t>202</w:t>
            </w:r>
            <w:r w:rsidR="00AD2F58" w:rsidRPr="006B6D61">
              <w:rPr>
                <w:rFonts w:cstheme="minorHAnsi"/>
                <w:b/>
                <w:sz w:val="20"/>
                <w:szCs w:val="20"/>
              </w:rPr>
              <w:t>3</w:t>
            </w:r>
          </w:p>
        </w:tc>
        <w:tc>
          <w:tcPr>
            <w:tcW w:w="742" w:type="dxa"/>
            <w:vMerge w:val="restart"/>
            <w:tcBorders>
              <w:top w:val="single" w:sz="4" w:space="0" w:color="000000"/>
              <w:left w:val="nil"/>
              <w:right w:val="single" w:sz="4" w:space="0" w:color="000000"/>
            </w:tcBorders>
            <w:shd w:val="clear" w:color="auto" w:fill="D9D9D9" w:themeFill="background1" w:themeFillShade="D9"/>
            <w:vAlign w:val="center"/>
          </w:tcPr>
          <w:p w14:paraId="0C15A88B" w14:textId="77777777" w:rsidR="00777E27" w:rsidRPr="006B6D61" w:rsidRDefault="00777E27" w:rsidP="00777E27">
            <w:pPr>
              <w:spacing w:after="0"/>
              <w:jc w:val="center"/>
              <w:rPr>
                <w:rFonts w:cstheme="minorHAnsi"/>
                <w:b/>
                <w:sz w:val="20"/>
                <w:szCs w:val="20"/>
              </w:rPr>
            </w:pPr>
            <w:r w:rsidRPr="006B6D61">
              <w:rPr>
                <w:rFonts w:cstheme="minorHAnsi"/>
                <w:b/>
                <w:sz w:val="20"/>
                <w:szCs w:val="20"/>
              </w:rPr>
              <w:t xml:space="preserve">Index </w:t>
            </w:r>
            <w:r w:rsidRPr="006B6D61">
              <w:rPr>
                <w:rFonts w:cstheme="minorHAnsi"/>
                <w:b/>
                <w:sz w:val="20"/>
                <w:szCs w:val="20"/>
              </w:rPr>
              <w:br/>
              <w:t>(v %)</w:t>
            </w:r>
          </w:p>
        </w:tc>
      </w:tr>
      <w:tr w:rsidR="002F1BE7" w:rsidRPr="0044012B" w14:paraId="3040B92D" w14:textId="77777777" w:rsidTr="00BA4E5A">
        <w:trPr>
          <w:trHeight w:val="473"/>
        </w:trPr>
        <w:tc>
          <w:tcPr>
            <w:tcW w:w="2679" w:type="dxa"/>
            <w:gridSpan w:val="2"/>
            <w:vMerge/>
            <w:tcBorders>
              <w:left w:val="single" w:sz="4" w:space="0" w:color="auto"/>
              <w:bottom w:val="single" w:sz="4" w:space="0" w:color="auto"/>
              <w:right w:val="single" w:sz="4" w:space="0" w:color="auto"/>
            </w:tcBorders>
            <w:shd w:val="clear" w:color="000000" w:fill="FFFFFF"/>
            <w:noWrap/>
            <w:vAlign w:val="center"/>
            <w:hideMark/>
          </w:tcPr>
          <w:p w14:paraId="41C52CF4" w14:textId="77777777" w:rsidR="00777E27" w:rsidRPr="0077128B" w:rsidRDefault="00777E27" w:rsidP="00777E27">
            <w:pPr>
              <w:spacing w:after="0"/>
              <w:jc w:val="center"/>
              <w:rPr>
                <w:rFonts w:cstheme="minorHAnsi"/>
                <w:color w:val="FF0000"/>
                <w:sz w:val="20"/>
                <w:szCs w:val="20"/>
              </w:rPr>
            </w:pPr>
          </w:p>
        </w:tc>
        <w:tc>
          <w:tcPr>
            <w:tcW w:w="1149" w:type="dxa"/>
            <w:vMerge/>
            <w:tcBorders>
              <w:left w:val="nil"/>
              <w:bottom w:val="single" w:sz="4" w:space="0" w:color="000000"/>
              <w:right w:val="single" w:sz="4" w:space="0" w:color="000000"/>
            </w:tcBorders>
            <w:shd w:val="clear" w:color="auto" w:fill="auto"/>
            <w:vAlign w:val="center"/>
            <w:hideMark/>
          </w:tcPr>
          <w:p w14:paraId="445A65F5" w14:textId="77777777" w:rsidR="00777E27" w:rsidRPr="0077128B" w:rsidRDefault="00777E27" w:rsidP="00777E27">
            <w:pPr>
              <w:spacing w:after="0"/>
              <w:jc w:val="center"/>
              <w:rPr>
                <w:rFonts w:cstheme="minorHAnsi"/>
                <w:color w:val="FF0000"/>
                <w:sz w:val="20"/>
                <w:szCs w:val="20"/>
              </w:rPr>
            </w:pPr>
          </w:p>
        </w:tc>
        <w:tc>
          <w:tcPr>
            <w:tcW w:w="1134"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5B062F42" w14:textId="77777777" w:rsidR="00777E27" w:rsidRPr="006B6D61" w:rsidRDefault="00777E27" w:rsidP="00777E27">
            <w:pPr>
              <w:spacing w:after="0"/>
              <w:jc w:val="center"/>
              <w:rPr>
                <w:rFonts w:cstheme="minorHAnsi"/>
                <w:b/>
                <w:sz w:val="20"/>
                <w:szCs w:val="20"/>
              </w:rPr>
            </w:pPr>
            <w:r w:rsidRPr="006B6D61">
              <w:rPr>
                <w:rFonts w:cstheme="minorHAnsi"/>
                <w:b/>
                <w:sz w:val="20"/>
                <w:szCs w:val="20"/>
              </w:rPr>
              <w:t xml:space="preserve">schválený </w:t>
            </w:r>
          </w:p>
        </w:tc>
        <w:tc>
          <w:tcPr>
            <w:tcW w:w="1289"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174FED37" w14:textId="77777777" w:rsidR="00777E27" w:rsidRPr="006B6D61" w:rsidRDefault="00777E27" w:rsidP="00777E27">
            <w:pPr>
              <w:spacing w:after="0"/>
              <w:jc w:val="center"/>
              <w:rPr>
                <w:rFonts w:cstheme="minorHAnsi"/>
                <w:b/>
                <w:sz w:val="20"/>
                <w:szCs w:val="20"/>
              </w:rPr>
            </w:pPr>
            <w:r w:rsidRPr="006B6D61">
              <w:rPr>
                <w:rFonts w:cstheme="minorHAnsi"/>
                <w:b/>
                <w:sz w:val="20"/>
                <w:szCs w:val="20"/>
              </w:rPr>
              <w:t>po změnách</w:t>
            </w:r>
          </w:p>
        </w:tc>
        <w:tc>
          <w:tcPr>
            <w:tcW w:w="971"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704C2295" w14:textId="77777777" w:rsidR="00777E27" w:rsidRPr="006B6D61" w:rsidRDefault="00777E27" w:rsidP="00777E27">
            <w:pPr>
              <w:spacing w:after="0"/>
              <w:jc w:val="center"/>
              <w:rPr>
                <w:rFonts w:cstheme="minorHAnsi"/>
                <w:b/>
                <w:sz w:val="20"/>
                <w:szCs w:val="20"/>
              </w:rPr>
            </w:pPr>
            <w:r w:rsidRPr="006B6D61">
              <w:rPr>
                <w:rFonts w:cstheme="minorHAnsi"/>
                <w:b/>
                <w:sz w:val="20"/>
                <w:szCs w:val="20"/>
              </w:rPr>
              <w:t>konečný</w:t>
            </w:r>
          </w:p>
        </w:tc>
        <w:tc>
          <w:tcPr>
            <w:tcW w:w="1108" w:type="dxa"/>
            <w:vMerge/>
            <w:tcBorders>
              <w:left w:val="nil"/>
              <w:bottom w:val="single" w:sz="4" w:space="0" w:color="000000"/>
              <w:right w:val="single" w:sz="4" w:space="0" w:color="000000"/>
            </w:tcBorders>
            <w:shd w:val="clear" w:color="auto" w:fill="auto"/>
            <w:vAlign w:val="center"/>
            <w:hideMark/>
          </w:tcPr>
          <w:p w14:paraId="33D79289" w14:textId="77777777" w:rsidR="00777E27" w:rsidRPr="002F1BE7" w:rsidRDefault="00777E27" w:rsidP="00777E27">
            <w:pPr>
              <w:spacing w:after="0"/>
              <w:jc w:val="center"/>
              <w:rPr>
                <w:rFonts w:cstheme="minorHAnsi"/>
                <w:color w:val="FF0000"/>
                <w:sz w:val="20"/>
                <w:szCs w:val="20"/>
              </w:rPr>
            </w:pPr>
          </w:p>
        </w:tc>
        <w:tc>
          <w:tcPr>
            <w:tcW w:w="742" w:type="dxa"/>
            <w:vMerge/>
            <w:tcBorders>
              <w:left w:val="nil"/>
              <w:bottom w:val="single" w:sz="4" w:space="0" w:color="000000"/>
              <w:right w:val="single" w:sz="4" w:space="0" w:color="000000"/>
            </w:tcBorders>
            <w:shd w:val="clear" w:color="auto" w:fill="auto"/>
            <w:vAlign w:val="center"/>
            <w:hideMark/>
          </w:tcPr>
          <w:p w14:paraId="701D5487" w14:textId="77777777" w:rsidR="00777E27" w:rsidRPr="002F1BE7" w:rsidRDefault="00777E27" w:rsidP="00777E27">
            <w:pPr>
              <w:spacing w:after="0"/>
              <w:jc w:val="center"/>
              <w:rPr>
                <w:rFonts w:cstheme="minorHAnsi"/>
                <w:color w:val="FF0000"/>
                <w:sz w:val="20"/>
                <w:szCs w:val="20"/>
              </w:rPr>
            </w:pPr>
          </w:p>
        </w:tc>
      </w:tr>
      <w:tr w:rsidR="002F1BE7" w:rsidRPr="0044012B" w14:paraId="55084128" w14:textId="77777777" w:rsidTr="00BA4E5A">
        <w:trPr>
          <w:trHeight w:val="300"/>
        </w:trPr>
        <w:tc>
          <w:tcPr>
            <w:tcW w:w="267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0CD02F" w14:textId="77777777" w:rsidR="00777E27" w:rsidRPr="006B6D61" w:rsidRDefault="00777E27" w:rsidP="00777E27">
            <w:pPr>
              <w:spacing w:after="0"/>
              <w:jc w:val="center"/>
              <w:rPr>
                <w:rFonts w:cstheme="minorHAnsi"/>
                <w:sz w:val="20"/>
                <w:szCs w:val="20"/>
              </w:rPr>
            </w:pPr>
            <w:r w:rsidRPr="006B6D61">
              <w:rPr>
                <w:rFonts w:cstheme="minorHAnsi"/>
                <w:sz w:val="20"/>
                <w:szCs w:val="20"/>
              </w:rPr>
              <w:t>a</w:t>
            </w:r>
          </w:p>
        </w:tc>
        <w:tc>
          <w:tcPr>
            <w:tcW w:w="1149" w:type="dxa"/>
            <w:tcBorders>
              <w:top w:val="nil"/>
              <w:left w:val="nil"/>
              <w:bottom w:val="single" w:sz="4" w:space="0" w:color="auto"/>
              <w:right w:val="single" w:sz="4" w:space="0" w:color="auto"/>
            </w:tcBorders>
            <w:shd w:val="clear" w:color="auto" w:fill="auto"/>
            <w:noWrap/>
            <w:vAlign w:val="center"/>
            <w:hideMark/>
          </w:tcPr>
          <w:p w14:paraId="0C9B76F1" w14:textId="77777777" w:rsidR="00777E27" w:rsidRPr="006B6D61" w:rsidRDefault="00777E27" w:rsidP="00777E27">
            <w:pPr>
              <w:spacing w:after="0"/>
              <w:jc w:val="center"/>
              <w:rPr>
                <w:rFonts w:cstheme="minorHAnsi"/>
                <w:sz w:val="20"/>
                <w:szCs w:val="20"/>
              </w:rPr>
            </w:pPr>
            <w:r w:rsidRPr="006B6D61">
              <w:rPr>
                <w:rFonts w:cstheme="minorHAnsi"/>
                <w:sz w:val="20"/>
                <w:szCs w:val="20"/>
              </w:rPr>
              <w:t>1</w:t>
            </w:r>
          </w:p>
        </w:tc>
        <w:tc>
          <w:tcPr>
            <w:tcW w:w="1134" w:type="dxa"/>
            <w:tcBorders>
              <w:top w:val="nil"/>
              <w:left w:val="nil"/>
              <w:bottom w:val="single" w:sz="4" w:space="0" w:color="auto"/>
              <w:right w:val="single" w:sz="4" w:space="0" w:color="auto"/>
            </w:tcBorders>
            <w:shd w:val="clear" w:color="auto" w:fill="auto"/>
            <w:noWrap/>
            <w:vAlign w:val="center"/>
            <w:hideMark/>
          </w:tcPr>
          <w:p w14:paraId="432EA330" w14:textId="77777777" w:rsidR="00777E27" w:rsidRPr="006B6D61" w:rsidRDefault="00777E27" w:rsidP="00777E27">
            <w:pPr>
              <w:spacing w:after="0"/>
              <w:jc w:val="center"/>
              <w:rPr>
                <w:rFonts w:cstheme="minorHAnsi"/>
                <w:sz w:val="20"/>
                <w:szCs w:val="20"/>
              </w:rPr>
            </w:pPr>
            <w:r w:rsidRPr="006B6D61">
              <w:rPr>
                <w:rFonts w:cstheme="minorHAnsi"/>
                <w:sz w:val="20"/>
                <w:szCs w:val="20"/>
              </w:rPr>
              <w:t>2</w:t>
            </w:r>
          </w:p>
        </w:tc>
        <w:tc>
          <w:tcPr>
            <w:tcW w:w="1289" w:type="dxa"/>
            <w:tcBorders>
              <w:top w:val="nil"/>
              <w:left w:val="nil"/>
              <w:bottom w:val="single" w:sz="4" w:space="0" w:color="auto"/>
              <w:right w:val="single" w:sz="4" w:space="0" w:color="auto"/>
            </w:tcBorders>
            <w:shd w:val="clear" w:color="auto" w:fill="auto"/>
            <w:noWrap/>
            <w:vAlign w:val="center"/>
            <w:hideMark/>
          </w:tcPr>
          <w:p w14:paraId="6F3745A5" w14:textId="77777777" w:rsidR="00777E27" w:rsidRPr="006B6D61" w:rsidRDefault="00777E27" w:rsidP="00777E27">
            <w:pPr>
              <w:spacing w:after="0"/>
              <w:jc w:val="center"/>
              <w:rPr>
                <w:rFonts w:cstheme="minorHAnsi"/>
                <w:sz w:val="20"/>
                <w:szCs w:val="20"/>
              </w:rPr>
            </w:pPr>
            <w:r w:rsidRPr="006B6D61">
              <w:rPr>
                <w:rFonts w:cstheme="minorHAnsi"/>
                <w:sz w:val="20"/>
                <w:szCs w:val="20"/>
              </w:rPr>
              <w:t>3</w:t>
            </w:r>
          </w:p>
        </w:tc>
        <w:tc>
          <w:tcPr>
            <w:tcW w:w="971" w:type="dxa"/>
            <w:tcBorders>
              <w:top w:val="nil"/>
              <w:left w:val="nil"/>
              <w:bottom w:val="single" w:sz="4" w:space="0" w:color="auto"/>
              <w:right w:val="single" w:sz="4" w:space="0" w:color="auto"/>
            </w:tcBorders>
            <w:shd w:val="clear" w:color="auto" w:fill="auto"/>
            <w:noWrap/>
            <w:vAlign w:val="center"/>
            <w:hideMark/>
          </w:tcPr>
          <w:p w14:paraId="3677C9A5" w14:textId="77777777" w:rsidR="00777E27" w:rsidRPr="006B6D61" w:rsidRDefault="00777E27" w:rsidP="00777E27">
            <w:pPr>
              <w:spacing w:after="0"/>
              <w:jc w:val="center"/>
              <w:rPr>
                <w:rFonts w:cstheme="minorHAnsi"/>
                <w:sz w:val="20"/>
                <w:szCs w:val="20"/>
              </w:rPr>
            </w:pPr>
            <w:r w:rsidRPr="006B6D61">
              <w:rPr>
                <w:rFonts w:cstheme="minorHAnsi"/>
                <w:sz w:val="20"/>
                <w:szCs w:val="20"/>
              </w:rPr>
              <w:t>4</w:t>
            </w:r>
          </w:p>
        </w:tc>
        <w:tc>
          <w:tcPr>
            <w:tcW w:w="1108" w:type="dxa"/>
            <w:tcBorders>
              <w:top w:val="nil"/>
              <w:left w:val="nil"/>
              <w:bottom w:val="single" w:sz="4" w:space="0" w:color="auto"/>
              <w:right w:val="single" w:sz="4" w:space="0" w:color="auto"/>
            </w:tcBorders>
            <w:shd w:val="clear" w:color="auto" w:fill="auto"/>
            <w:noWrap/>
            <w:vAlign w:val="center"/>
            <w:hideMark/>
          </w:tcPr>
          <w:p w14:paraId="2C7F9EC7" w14:textId="77777777" w:rsidR="00777E27" w:rsidRPr="006B6D61" w:rsidRDefault="00777E27" w:rsidP="00777E27">
            <w:pPr>
              <w:spacing w:after="0"/>
              <w:jc w:val="center"/>
              <w:rPr>
                <w:rFonts w:cstheme="minorHAnsi"/>
                <w:sz w:val="20"/>
                <w:szCs w:val="20"/>
              </w:rPr>
            </w:pPr>
            <w:r w:rsidRPr="006B6D61">
              <w:rPr>
                <w:rFonts w:cstheme="minorHAnsi"/>
                <w:sz w:val="20"/>
                <w:szCs w:val="20"/>
              </w:rPr>
              <w:t>5</w:t>
            </w:r>
          </w:p>
        </w:tc>
        <w:tc>
          <w:tcPr>
            <w:tcW w:w="742" w:type="dxa"/>
            <w:tcBorders>
              <w:top w:val="nil"/>
              <w:left w:val="nil"/>
              <w:bottom w:val="single" w:sz="4" w:space="0" w:color="auto"/>
              <w:right w:val="single" w:sz="4" w:space="0" w:color="auto"/>
            </w:tcBorders>
            <w:shd w:val="clear" w:color="auto" w:fill="auto"/>
            <w:noWrap/>
            <w:vAlign w:val="center"/>
            <w:hideMark/>
          </w:tcPr>
          <w:p w14:paraId="36FAF7FC" w14:textId="77777777" w:rsidR="00777E27" w:rsidRPr="006B6D61" w:rsidRDefault="00777E27" w:rsidP="00777E27">
            <w:pPr>
              <w:spacing w:after="0"/>
              <w:jc w:val="center"/>
              <w:rPr>
                <w:rFonts w:cstheme="minorHAnsi"/>
                <w:sz w:val="20"/>
                <w:szCs w:val="20"/>
              </w:rPr>
            </w:pPr>
            <w:r w:rsidRPr="006B6D61">
              <w:rPr>
                <w:rFonts w:cstheme="minorHAnsi"/>
                <w:sz w:val="20"/>
                <w:szCs w:val="20"/>
              </w:rPr>
              <w:t>5/1</w:t>
            </w:r>
          </w:p>
        </w:tc>
      </w:tr>
      <w:tr w:rsidR="002F1BE7" w:rsidRPr="0044012B" w14:paraId="29CA9D5C" w14:textId="77777777" w:rsidTr="00BA4E5A">
        <w:trPr>
          <w:trHeight w:val="300"/>
        </w:trPr>
        <w:tc>
          <w:tcPr>
            <w:tcW w:w="2679" w:type="dxa"/>
            <w:gridSpan w:val="2"/>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tcPr>
          <w:p w14:paraId="38B887BA" w14:textId="6A10E9A1" w:rsidR="00777E27" w:rsidRPr="006B6D61" w:rsidRDefault="00777E27" w:rsidP="00777E27">
            <w:pPr>
              <w:spacing w:after="0"/>
              <w:rPr>
                <w:rFonts w:cstheme="minorHAnsi"/>
                <w:b/>
                <w:sz w:val="20"/>
                <w:szCs w:val="20"/>
              </w:rPr>
            </w:pPr>
            <w:r w:rsidRPr="006B6D61">
              <w:rPr>
                <w:rFonts w:cstheme="minorHAnsi"/>
                <w:b/>
                <w:sz w:val="20"/>
                <w:szCs w:val="20"/>
              </w:rPr>
              <w:t>Transfery celkem</w:t>
            </w:r>
          </w:p>
        </w:tc>
        <w:tc>
          <w:tcPr>
            <w:tcW w:w="1149" w:type="dxa"/>
            <w:tcBorders>
              <w:top w:val="nil"/>
              <w:left w:val="nil"/>
              <w:bottom w:val="single" w:sz="4" w:space="0" w:color="auto"/>
              <w:right w:val="single" w:sz="4" w:space="0" w:color="auto"/>
            </w:tcBorders>
            <w:shd w:val="clear" w:color="auto" w:fill="D9D9D9" w:themeFill="background1" w:themeFillShade="D9"/>
            <w:noWrap/>
            <w:vAlign w:val="center"/>
          </w:tcPr>
          <w:p w14:paraId="1A3BCF80" w14:textId="19FE1742" w:rsidR="00777E27" w:rsidRPr="006B6D61" w:rsidRDefault="00DC6DB8" w:rsidP="00777E27">
            <w:pPr>
              <w:spacing w:after="0"/>
              <w:jc w:val="right"/>
              <w:rPr>
                <w:rFonts w:cstheme="minorHAnsi"/>
                <w:b/>
                <w:sz w:val="20"/>
                <w:szCs w:val="20"/>
              </w:rPr>
            </w:pPr>
            <w:r w:rsidRPr="006B6D61">
              <w:rPr>
                <w:rFonts w:cstheme="minorHAnsi"/>
                <w:b/>
                <w:sz w:val="20"/>
                <w:szCs w:val="20"/>
              </w:rPr>
              <w:t>11 920</w:t>
            </w: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tcPr>
          <w:p w14:paraId="03942EAE" w14:textId="43CEF467" w:rsidR="00777E27" w:rsidRPr="006B6D61" w:rsidRDefault="00E11413" w:rsidP="00777E27">
            <w:pPr>
              <w:spacing w:after="0"/>
              <w:jc w:val="right"/>
              <w:rPr>
                <w:rFonts w:cstheme="minorHAnsi"/>
                <w:b/>
                <w:sz w:val="20"/>
                <w:szCs w:val="20"/>
              </w:rPr>
            </w:pPr>
            <w:r w:rsidRPr="006B6D61">
              <w:rPr>
                <w:rFonts w:cstheme="minorHAnsi"/>
                <w:b/>
                <w:bCs/>
                <w:sz w:val="20"/>
                <w:szCs w:val="20"/>
              </w:rPr>
              <w:t>10 933</w:t>
            </w:r>
          </w:p>
        </w:tc>
        <w:tc>
          <w:tcPr>
            <w:tcW w:w="1289" w:type="dxa"/>
            <w:tcBorders>
              <w:top w:val="nil"/>
              <w:left w:val="nil"/>
              <w:bottom w:val="single" w:sz="4" w:space="0" w:color="auto"/>
              <w:right w:val="single" w:sz="4" w:space="0" w:color="auto"/>
            </w:tcBorders>
            <w:shd w:val="clear" w:color="auto" w:fill="D9D9D9" w:themeFill="background1" w:themeFillShade="D9"/>
            <w:noWrap/>
            <w:vAlign w:val="center"/>
          </w:tcPr>
          <w:p w14:paraId="66CF8022" w14:textId="7582DA72" w:rsidR="00777E27" w:rsidRPr="006B6D61" w:rsidRDefault="00E11413" w:rsidP="00777E27">
            <w:pPr>
              <w:spacing w:after="0"/>
              <w:jc w:val="right"/>
              <w:rPr>
                <w:rFonts w:cstheme="minorHAnsi"/>
                <w:b/>
                <w:sz w:val="20"/>
                <w:szCs w:val="20"/>
              </w:rPr>
            </w:pPr>
            <w:r w:rsidRPr="006B6D61">
              <w:rPr>
                <w:rFonts w:cstheme="minorHAnsi"/>
                <w:b/>
                <w:sz w:val="20"/>
                <w:szCs w:val="20"/>
              </w:rPr>
              <w:t>12 409</w:t>
            </w:r>
          </w:p>
        </w:tc>
        <w:tc>
          <w:tcPr>
            <w:tcW w:w="971" w:type="dxa"/>
            <w:tcBorders>
              <w:top w:val="nil"/>
              <w:left w:val="nil"/>
              <w:bottom w:val="single" w:sz="4" w:space="0" w:color="auto"/>
              <w:right w:val="single" w:sz="4" w:space="0" w:color="auto"/>
            </w:tcBorders>
            <w:shd w:val="clear" w:color="auto" w:fill="D9D9D9" w:themeFill="background1" w:themeFillShade="D9"/>
            <w:noWrap/>
            <w:vAlign w:val="center"/>
          </w:tcPr>
          <w:p w14:paraId="417377A9" w14:textId="71FEBD36" w:rsidR="00777E27" w:rsidRPr="006B6D61" w:rsidRDefault="00E11413" w:rsidP="00777E27">
            <w:pPr>
              <w:spacing w:after="0"/>
              <w:jc w:val="right"/>
              <w:rPr>
                <w:rFonts w:cstheme="minorHAnsi"/>
                <w:b/>
                <w:sz w:val="20"/>
                <w:szCs w:val="20"/>
              </w:rPr>
            </w:pPr>
            <w:r w:rsidRPr="006B6D61">
              <w:rPr>
                <w:rFonts w:cstheme="minorHAnsi"/>
                <w:b/>
                <w:bCs/>
                <w:sz w:val="20"/>
                <w:szCs w:val="20"/>
              </w:rPr>
              <w:t>13 109</w:t>
            </w:r>
          </w:p>
        </w:tc>
        <w:tc>
          <w:tcPr>
            <w:tcW w:w="1108" w:type="dxa"/>
            <w:tcBorders>
              <w:top w:val="nil"/>
              <w:left w:val="nil"/>
              <w:bottom w:val="single" w:sz="4" w:space="0" w:color="auto"/>
              <w:right w:val="single" w:sz="4" w:space="0" w:color="auto"/>
            </w:tcBorders>
            <w:shd w:val="clear" w:color="auto" w:fill="D9D9D9" w:themeFill="background1" w:themeFillShade="D9"/>
            <w:noWrap/>
            <w:vAlign w:val="center"/>
          </w:tcPr>
          <w:p w14:paraId="05C26A09" w14:textId="54ADAADD" w:rsidR="00777E27" w:rsidRPr="006B6D61" w:rsidRDefault="00E11413" w:rsidP="00777E27">
            <w:pPr>
              <w:spacing w:after="0"/>
              <w:jc w:val="right"/>
              <w:rPr>
                <w:rFonts w:cstheme="minorHAnsi"/>
                <w:b/>
                <w:sz w:val="20"/>
                <w:szCs w:val="20"/>
              </w:rPr>
            </w:pPr>
            <w:r w:rsidRPr="006B6D61">
              <w:rPr>
                <w:rFonts w:cstheme="minorHAnsi"/>
                <w:b/>
                <w:sz w:val="20"/>
                <w:szCs w:val="20"/>
              </w:rPr>
              <w:t>13 109</w:t>
            </w:r>
          </w:p>
        </w:tc>
        <w:tc>
          <w:tcPr>
            <w:tcW w:w="742" w:type="dxa"/>
            <w:tcBorders>
              <w:top w:val="nil"/>
              <w:left w:val="nil"/>
              <w:bottom w:val="single" w:sz="4" w:space="0" w:color="auto"/>
              <w:right w:val="single" w:sz="4" w:space="0" w:color="auto"/>
            </w:tcBorders>
            <w:shd w:val="clear" w:color="auto" w:fill="D9D9D9" w:themeFill="background1" w:themeFillShade="D9"/>
            <w:noWrap/>
            <w:vAlign w:val="center"/>
          </w:tcPr>
          <w:p w14:paraId="0E6A945E" w14:textId="2580D001" w:rsidR="00777E27" w:rsidRPr="006B6D61" w:rsidRDefault="00E11413" w:rsidP="00777E27">
            <w:pPr>
              <w:spacing w:after="0"/>
              <w:jc w:val="right"/>
              <w:rPr>
                <w:rFonts w:cstheme="minorHAnsi"/>
                <w:b/>
                <w:sz w:val="20"/>
                <w:szCs w:val="20"/>
              </w:rPr>
            </w:pPr>
            <w:r w:rsidRPr="006B6D61">
              <w:rPr>
                <w:rFonts w:cstheme="minorHAnsi"/>
                <w:b/>
                <w:bCs/>
                <w:sz w:val="20"/>
                <w:szCs w:val="20"/>
              </w:rPr>
              <w:t>110,0</w:t>
            </w:r>
          </w:p>
        </w:tc>
      </w:tr>
      <w:tr w:rsidR="002F1BE7" w:rsidRPr="0044012B" w14:paraId="44030655" w14:textId="77777777" w:rsidTr="00BA4E5A">
        <w:trPr>
          <w:trHeight w:val="300"/>
        </w:trPr>
        <w:tc>
          <w:tcPr>
            <w:tcW w:w="267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D03A9A3" w14:textId="04E34A92" w:rsidR="00777E27" w:rsidRPr="006B6D61" w:rsidRDefault="00777E27" w:rsidP="00777E27">
            <w:pPr>
              <w:spacing w:after="0"/>
              <w:rPr>
                <w:rFonts w:cstheme="minorHAnsi"/>
                <w:b/>
                <w:sz w:val="20"/>
                <w:szCs w:val="20"/>
              </w:rPr>
            </w:pPr>
            <w:r w:rsidRPr="006B6D61">
              <w:rPr>
                <w:rFonts w:cstheme="minorHAnsi"/>
                <w:b/>
                <w:sz w:val="20"/>
                <w:szCs w:val="20"/>
              </w:rPr>
              <w:t xml:space="preserve">Neinvestiční transfery </w:t>
            </w:r>
          </w:p>
        </w:tc>
        <w:tc>
          <w:tcPr>
            <w:tcW w:w="1149" w:type="dxa"/>
            <w:tcBorders>
              <w:top w:val="nil"/>
              <w:left w:val="nil"/>
              <w:bottom w:val="single" w:sz="4" w:space="0" w:color="auto"/>
              <w:right w:val="single" w:sz="4" w:space="0" w:color="auto"/>
            </w:tcBorders>
            <w:shd w:val="clear" w:color="auto" w:fill="auto"/>
            <w:noWrap/>
            <w:vAlign w:val="center"/>
            <w:hideMark/>
          </w:tcPr>
          <w:p w14:paraId="708FBC89" w14:textId="59B88988" w:rsidR="00777E27" w:rsidRPr="006B6D61" w:rsidRDefault="00DC6DB8" w:rsidP="00777E27">
            <w:pPr>
              <w:spacing w:after="0"/>
              <w:jc w:val="right"/>
              <w:rPr>
                <w:rFonts w:cstheme="minorHAnsi"/>
                <w:b/>
                <w:sz w:val="20"/>
                <w:szCs w:val="20"/>
              </w:rPr>
            </w:pPr>
            <w:r w:rsidRPr="006B6D61">
              <w:rPr>
                <w:rFonts w:cstheme="minorHAnsi"/>
                <w:b/>
                <w:sz w:val="20"/>
                <w:szCs w:val="20"/>
              </w:rPr>
              <w:t>11 920</w:t>
            </w:r>
          </w:p>
        </w:tc>
        <w:tc>
          <w:tcPr>
            <w:tcW w:w="1134" w:type="dxa"/>
            <w:tcBorders>
              <w:top w:val="nil"/>
              <w:left w:val="nil"/>
              <w:bottom w:val="single" w:sz="4" w:space="0" w:color="auto"/>
              <w:right w:val="single" w:sz="4" w:space="0" w:color="auto"/>
            </w:tcBorders>
            <w:shd w:val="clear" w:color="auto" w:fill="auto"/>
            <w:noWrap/>
            <w:vAlign w:val="center"/>
            <w:hideMark/>
          </w:tcPr>
          <w:p w14:paraId="5540CA4E" w14:textId="17811813" w:rsidR="00777E27" w:rsidRPr="006B6D61" w:rsidRDefault="007A2292" w:rsidP="00777E27">
            <w:pPr>
              <w:spacing w:after="0"/>
              <w:jc w:val="right"/>
              <w:rPr>
                <w:rFonts w:cstheme="minorHAnsi"/>
                <w:b/>
                <w:sz w:val="20"/>
                <w:szCs w:val="20"/>
              </w:rPr>
            </w:pPr>
            <w:r w:rsidRPr="006B6D61">
              <w:rPr>
                <w:rFonts w:cstheme="minorHAnsi"/>
                <w:b/>
                <w:sz w:val="20"/>
                <w:szCs w:val="20"/>
              </w:rPr>
              <w:t>10 933</w:t>
            </w:r>
          </w:p>
        </w:tc>
        <w:tc>
          <w:tcPr>
            <w:tcW w:w="1289" w:type="dxa"/>
            <w:tcBorders>
              <w:top w:val="nil"/>
              <w:left w:val="nil"/>
              <w:bottom w:val="single" w:sz="4" w:space="0" w:color="auto"/>
              <w:right w:val="single" w:sz="4" w:space="0" w:color="auto"/>
            </w:tcBorders>
            <w:shd w:val="clear" w:color="auto" w:fill="auto"/>
            <w:noWrap/>
            <w:vAlign w:val="center"/>
            <w:hideMark/>
          </w:tcPr>
          <w:p w14:paraId="319DF9F7" w14:textId="4E85596F" w:rsidR="00777E27" w:rsidRPr="006B6D61" w:rsidRDefault="007A2292" w:rsidP="00777E27">
            <w:pPr>
              <w:spacing w:after="0"/>
              <w:jc w:val="right"/>
              <w:rPr>
                <w:rFonts w:cstheme="minorHAnsi"/>
                <w:b/>
                <w:sz w:val="20"/>
                <w:szCs w:val="20"/>
              </w:rPr>
            </w:pPr>
            <w:r w:rsidRPr="006B6D61">
              <w:rPr>
                <w:rFonts w:cstheme="minorHAnsi"/>
                <w:b/>
                <w:sz w:val="20"/>
                <w:szCs w:val="20"/>
              </w:rPr>
              <w:t>12 409</w:t>
            </w:r>
          </w:p>
        </w:tc>
        <w:tc>
          <w:tcPr>
            <w:tcW w:w="971" w:type="dxa"/>
            <w:tcBorders>
              <w:top w:val="nil"/>
              <w:left w:val="nil"/>
              <w:bottom w:val="single" w:sz="4" w:space="0" w:color="auto"/>
              <w:right w:val="single" w:sz="4" w:space="0" w:color="auto"/>
            </w:tcBorders>
            <w:shd w:val="clear" w:color="auto" w:fill="auto"/>
            <w:noWrap/>
            <w:vAlign w:val="center"/>
            <w:hideMark/>
          </w:tcPr>
          <w:p w14:paraId="148B343A" w14:textId="549C154F" w:rsidR="00777E27" w:rsidRPr="006B6D61" w:rsidRDefault="007A2292" w:rsidP="00777E27">
            <w:pPr>
              <w:spacing w:after="0"/>
              <w:jc w:val="right"/>
              <w:rPr>
                <w:rFonts w:cstheme="minorHAnsi"/>
                <w:b/>
                <w:sz w:val="20"/>
                <w:szCs w:val="20"/>
              </w:rPr>
            </w:pPr>
            <w:r w:rsidRPr="006B6D61">
              <w:rPr>
                <w:rFonts w:cstheme="minorHAnsi"/>
                <w:b/>
                <w:bCs/>
                <w:sz w:val="20"/>
                <w:szCs w:val="20"/>
              </w:rPr>
              <w:t>13 109</w:t>
            </w:r>
          </w:p>
        </w:tc>
        <w:tc>
          <w:tcPr>
            <w:tcW w:w="1108" w:type="dxa"/>
            <w:tcBorders>
              <w:top w:val="nil"/>
              <w:left w:val="nil"/>
              <w:bottom w:val="single" w:sz="4" w:space="0" w:color="auto"/>
              <w:right w:val="single" w:sz="4" w:space="0" w:color="auto"/>
            </w:tcBorders>
            <w:shd w:val="clear" w:color="auto" w:fill="auto"/>
            <w:noWrap/>
            <w:vAlign w:val="center"/>
            <w:hideMark/>
          </w:tcPr>
          <w:p w14:paraId="3B5F5117" w14:textId="02EA62A0" w:rsidR="00777E27" w:rsidRPr="006B6D61" w:rsidRDefault="007A2292" w:rsidP="00777E27">
            <w:pPr>
              <w:spacing w:after="0"/>
              <w:jc w:val="right"/>
              <w:rPr>
                <w:rFonts w:cstheme="minorHAnsi"/>
                <w:b/>
                <w:sz w:val="20"/>
                <w:szCs w:val="20"/>
              </w:rPr>
            </w:pPr>
            <w:r w:rsidRPr="006B6D61">
              <w:rPr>
                <w:rFonts w:cstheme="minorHAnsi"/>
                <w:b/>
                <w:sz w:val="20"/>
                <w:szCs w:val="20"/>
              </w:rPr>
              <w:t>13 109</w:t>
            </w:r>
          </w:p>
        </w:tc>
        <w:tc>
          <w:tcPr>
            <w:tcW w:w="742" w:type="dxa"/>
            <w:tcBorders>
              <w:top w:val="nil"/>
              <w:left w:val="nil"/>
              <w:bottom w:val="single" w:sz="4" w:space="0" w:color="auto"/>
              <w:right w:val="single" w:sz="4" w:space="0" w:color="auto"/>
            </w:tcBorders>
            <w:shd w:val="clear" w:color="auto" w:fill="auto"/>
            <w:noWrap/>
            <w:vAlign w:val="center"/>
            <w:hideMark/>
          </w:tcPr>
          <w:p w14:paraId="52B6A5CA" w14:textId="5CADC34C" w:rsidR="00777E27" w:rsidRPr="0077128B" w:rsidRDefault="00052E45" w:rsidP="00777E27">
            <w:pPr>
              <w:spacing w:after="0"/>
              <w:jc w:val="right"/>
              <w:rPr>
                <w:rFonts w:cstheme="minorHAnsi"/>
                <w:b/>
                <w:color w:val="FF0000"/>
                <w:sz w:val="20"/>
                <w:szCs w:val="20"/>
              </w:rPr>
            </w:pPr>
            <w:r w:rsidRPr="006B6D61">
              <w:rPr>
                <w:rFonts w:cstheme="minorHAnsi"/>
                <w:b/>
                <w:bCs/>
                <w:sz w:val="20"/>
                <w:szCs w:val="20"/>
              </w:rPr>
              <w:t>110,0</w:t>
            </w:r>
          </w:p>
        </w:tc>
      </w:tr>
      <w:tr w:rsidR="002F1BE7" w:rsidRPr="0044012B" w14:paraId="211F66BE" w14:textId="77777777" w:rsidTr="00BA4E5A">
        <w:trPr>
          <w:trHeight w:val="300"/>
        </w:trPr>
        <w:tc>
          <w:tcPr>
            <w:tcW w:w="267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316BD73" w14:textId="77777777" w:rsidR="00777E27" w:rsidRPr="006B6D61" w:rsidRDefault="00777E27" w:rsidP="00777E27">
            <w:pPr>
              <w:spacing w:after="0"/>
              <w:rPr>
                <w:rFonts w:cstheme="minorHAnsi"/>
                <w:sz w:val="20"/>
                <w:szCs w:val="20"/>
              </w:rPr>
            </w:pPr>
            <w:r w:rsidRPr="006B6D61">
              <w:rPr>
                <w:rFonts w:cstheme="minorHAnsi"/>
                <w:sz w:val="20"/>
                <w:szCs w:val="20"/>
              </w:rPr>
              <w:t>v tom:</w:t>
            </w:r>
          </w:p>
        </w:tc>
        <w:tc>
          <w:tcPr>
            <w:tcW w:w="1149" w:type="dxa"/>
            <w:tcBorders>
              <w:top w:val="nil"/>
              <w:left w:val="nil"/>
              <w:bottom w:val="single" w:sz="4" w:space="0" w:color="auto"/>
              <w:right w:val="single" w:sz="4" w:space="0" w:color="auto"/>
            </w:tcBorders>
            <w:shd w:val="clear" w:color="auto" w:fill="auto"/>
            <w:noWrap/>
            <w:vAlign w:val="center"/>
            <w:hideMark/>
          </w:tcPr>
          <w:p w14:paraId="5A6EC50F" w14:textId="77777777" w:rsidR="00777E27" w:rsidRPr="006B6D61" w:rsidRDefault="00777E27" w:rsidP="00BA4E5A">
            <w:pPr>
              <w:spacing w:after="0"/>
              <w:jc w:val="right"/>
              <w:rPr>
                <w:rFonts w:cstheme="minorHAnsi"/>
                <w:sz w:val="20"/>
                <w:szCs w:val="20"/>
              </w:rPr>
            </w:pPr>
            <w:r w:rsidRPr="006B6D61">
              <w:rPr>
                <w:rFonts w:cstheme="minorHAnsi"/>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668AB9F2" w14:textId="77777777" w:rsidR="00777E27" w:rsidRPr="002F1BE7" w:rsidRDefault="00777E27" w:rsidP="00BA4E5A">
            <w:pPr>
              <w:spacing w:after="0"/>
              <w:jc w:val="right"/>
              <w:rPr>
                <w:rFonts w:cstheme="minorHAnsi"/>
                <w:color w:val="FF0000"/>
                <w:sz w:val="20"/>
                <w:szCs w:val="20"/>
              </w:rPr>
            </w:pPr>
            <w:r w:rsidRPr="002F1BE7">
              <w:rPr>
                <w:rFonts w:cstheme="minorHAnsi"/>
                <w:color w:val="FF0000"/>
                <w:sz w:val="20"/>
                <w:szCs w:val="20"/>
              </w:rPr>
              <w:t> </w:t>
            </w:r>
          </w:p>
        </w:tc>
        <w:tc>
          <w:tcPr>
            <w:tcW w:w="1289" w:type="dxa"/>
            <w:tcBorders>
              <w:top w:val="nil"/>
              <w:left w:val="nil"/>
              <w:bottom w:val="single" w:sz="4" w:space="0" w:color="auto"/>
              <w:right w:val="single" w:sz="4" w:space="0" w:color="auto"/>
            </w:tcBorders>
            <w:shd w:val="clear" w:color="auto" w:fill="auto"/>
            <w:noWrap/>
            <w:vAlign w:val="center"/>
            <w:hideMark/>
          </w:tcPr>
          <w:p w14:paraId="730C6F86" w14:textId="77777777" w:rsidR="00777E27" w:rsidRPr="002F1BE7" w:rsidRDefault="00777E27" w:rsidP="00BA4E5A">
            <w:pPr>
              <w:spacing w:after="0"/>
              <w:jc w:val="right"/>
              <w:rPr>
                <w:rFonts w:cstheme="minorHAnsi"/>
                <w:color w:val="FF0000"/>
                <w:sz w:val="20"/>
                <w:szCs w:val="20"/>
              </w:rPr>
            </w:pPr>
            <w:r w:rsidRPr="002F1BE7">
              <w:rPr>
                <w:rFonts w:cstheme="minorHAnsi"/>
                <w:color w:val="FF0000"/>
                <w:sz w:val="20"/>
                <w:szCs w:val="20"/>
              </w:rPr>
              <w:t> </w:t>
            </w:r>
          </w:p>
        </w:tc>
        <w:tc>
          <w:tcPr>
            <w:tcW w:w="971" w:type="dxa"/>
            <w:tcBorders>
              <w:top w:val="nil"/>
              <w:left w:val="nil"/>
              <w:bottom w:val="single" w:sz="4" w:space="0" w:color="auto"/>
              <w:right w:val="single" w:sz="4" w:space="0" w:color="auto"/>
            </w:tcBorders>
            <w:shd w:val="clear" w:color="auto" w:fill="auto"/>
            <w:noWrap/>
            <w:vAlign w:val="center"/>
            <w:hideMark/>
          </w:tcPr>
          <w:p w14:paraId="3F1F5620" w14:textId="77777777" w:rsidR="00777E27" w:rsidRPr="002F1BE7" w:rsidRDefault="00777E27" w:rsidP="00BA4E5A">
            <w:pPr>
              <w:spacing w:after="0"/>
              <w:jc w:val="right"/>
              <w:rPr>
                <w:rFonts w:cstheme="minorHAnsi"/>
                <w:color w:val="FF0000"/>
                <w:sz w:val="20"/>
                <w:szCs w:val="20"/>
              </w:rPr>
            </w:pPr>
            <w:r w:rsidRPr="002F1BE7">
              <w:rPr>
                <w:rFonts w:cstheme="minorHAnsi"/>
                <w:color w:val="FF0000"/>
                <w:sz w:val="20"/>
                <w:szCs w:val="20"/>
              </w:rPr>
              <w:t> </w:t>
            </w:r>
          </w:p>
        </w:tc>
        <w:tc>
          <w:tcPr>
            <w:tcW w:w="1108" w:type="dxa"/>
            <w:tcBorders>
              <w:top w:val="nil"/>
              <w:left w:val="nil"/>
              <w:bottom w:val="single" w:sz="4" w:space="0" w:color="auto"/>
              <w:right w:val="single" w:sz="4" w:space="0" w:color="auto"/>
            </w:tcBorders>
            <w:shd w:val="clear" w:color="auto" w:fill="auto"/>
            <w:noWrap/>
            <w:vAlign w:val="center"/>
            <w:hideMark/>
          </w:tcPr>
          <w:p w14:paraId="3037D993" w14:textId="77777777" w:rsidR="00777E27" w:rsidRPr="002F1BE7" w:rsidRDefault="00777E27" w:rsidP="00777E27">
            <w:pPr>
              <w:spacing w:after="0"/>
              <w:jc w:val="right"/>
              <w:rPr>
                <w:rFonts w:cstheme="minorHAnsi"/>
                <w:color w:val="FF0000"/>
                <w:sz w:val="20"/>
                <w:szCs w:val="20"/>
              </w:rPr>
            </w:pPr>
            <w:r w:rsidRPr="002F1BE7">
              <w:rPr>
                <w:rFonts w:cstheme="minorHAnsi"/>
                <w:color w:val="FF0000"/>
                <w:sz w:val="20"/>
                <w:szCs w:val="20"/>
              </w:rPr>
              <w:t> </w:t>
            </w:r>
          </w:p>
        </w:tc>
        <w:tc>
          <w:tcPr>
            <w:tcW w:w="742" w:type="dxa"/>
            <w:tcBorders>
              <w:top w:val="nil"/>
              <w:left w:val="nil"/>
              <w:bottom w:val="single" w:sz="4" w:space="0" w:color="auto"/>
              <w:right w:val="single" w:sz="4" w:space="0" w:color="auto"/>
            </w:tcBorders>
            <w:shd w:val="clear" w:color="auto" w:fill="auto"/>
            <w:noWrap/>
            <w:vAlign w:val="center"/>
            <w:hideMark/>
          </w:tcPr>
          <w:p w14:paraId="69A2AEF9" w14:textId="77777777" w:rsidR="00777E27" w:rsidRPr="002F1BE7" w:rsidRDefault="00777E27" w:rsidP="00777E27">
            <w:pPr>
              <w:spacing w:after="0"/>
              <w:jc w:val="right"/>
              <w:rPr>
                <w:rFonts w:cstheme="minorHAnsi"/>
                <w:color w:val="FF0000"/>
                <w:sz w:val="20"/>
                <w:szCs w:val="20"/>
              </w:rPr>
            </w:pPr>
            <w:r w:rsidRPr="002F1BE7">
              <w:rPr>
                <w:rFonts w:cstheme="minorHAnsi"/>
                <w:color w:val="FF0000"/>
                <w:sz w:val="20"/>
                <w:szCs w:val="20"/>
              </w:rPr>
              <w:t> </w:t>
            </w:r>
          </w:p>
        </w:tc>
      </w:tr>
      <w:tr w:rsidR="002F1BE7" w:rsidRPr="0044012B" w14:paraId="4FB82AAB" w14:textId="77777777" w:rsidTr="00BA4E5A">
        <w:trPr>
          <w:trHeight w:val="300"/>
        </w:trPr>
        <w:tc>
          <w:tcPr>
            <w:tcW w:w="0" w:type="auto"/>
            <w:tcBorders>
              <w:top w:val="nil"/>
              <w:left w:val="single" w:sz="4" w:space="0" w:color="auto"/>
              <w:bottom w:val="single" w:sz="4" w:space="0" w:color="auto"/>
              <w:right w:val="nil"/>
            </w:tcBorders>
            <w:shd w:val="clear" w:color="auto" w:fill="auto"/>
            <w:noWrap/>
            <w:vAlign w:val="center"/>
            <w:hideMark/>
          </w:tcPr>
          <w:p w14:paraId="4CB54A29" w14:textId="77777777" w:rsidR="00777E27" w:rsidRPr="006B6D61" w:rsidRDefault="00777E27" w:rsidP="00777E27">
            <w:pPr>
              <w:spacing w:after="0"/>
              <w:rPr>
                <w:rFonts w:cstheme="minorHAnsi"/>
                <w:sz w:val="20"/>
                <w:szCs w:val="20"/>
              </w:rPr>
            </w:pPr>
            <w:r w:rsidRPr="006B6D61">
              <w:rPr>
                <w:rFonts w:cstheme="minorHAnsi"/>
                <w:sz w:val="20"/>
                <w:szCs w:val="20"/>
              </w:rPr>
              <w:t> </w:t>
            </w:r>
          </w:p>
        </w:tc>
        <w:tc>
          <w:tcPr>
            <w:tcW w:w="2494" w:type="dxa"/>
            <w:tcBorders>
              <w:top w:val="nil"/>
              <w:left w:val="nil"/>
              <w:bottom w:val="single" w:sz="4" w:space="0" w:color="auto"/>
              <w:right w:val="single" w:sz="4" w:space="0" w:color="auto"/>
            </w:tcBorders>
            <w:shd w:val="clear" w:color="auto" w:fill="auto"/>
            <w:noWrap/>
            <w:vAlign w:val="center"/>
            <w:hideMark/>
          </w:tcPr>
          <w:p w14:paraId="61EAD724" w14:textId="7E34434E" w:rsidR="00777E27" w:rsidRPr="006B6D61" w:rsidRDefault="001F35E5" w:rsidP="00777E27">
            <w:pPr>
              <w:spacing w:after="0"/>
              <w:rPr>
                <w:rFonts w:cstheme="minorHAnsi"/>
                <w:sz w:val="20"/>
                <w:szCs w:val="20"/>
              </w:rPr>
            </w:pPr>
            <w:r w:rsidRPr="006B6D61">
              <w:rPr>
                <w:rFonts w:cstheme="minorHAnsi"/>
                <w:sz w:val="20"/>
                <w:szCs w:val="20"/>
              </w:rPr>
              <w:t>Spolky</w:t>
            </w:r>
          </w:p>
        </w:tc>
        <w:tc>
          <w:tcPr>
            <w:tcW w:w="1149" w:type="dxa"/>
            <w:tcBorders>
              <w:top w:val="nil"/>
              <w:left w:val="nil"/>
              <w:bottom w:val="single" w:sz="4" w:space="0" w:color="auto"/>
              <w:right w:val="single" w:sz="4" w:space="0" w:color="auto"/>
            </w:tcBorders>
            <w:shd w:val="clear" w:color="auto" w:fill="auto"/>
            <w:noWrap/>
            <w:vAlign w:val="center"/>
            <w:hideMark/>
          </w:tcPr>
          <w:p w14:paraId="094C6E87" w14:textId="112A2888" w:rsidR="00777E27" w:rsidRPr="006B6D61" w:rsidRDefault="00DC6DB8" w:rsidP="00777E27">
            <w:pPr>
              <w:spacing w:after="0"/>
              <w:jc w:val="right"/>
              <w:rPr>
                <w:rFonts w:cstheme="minorHAnsi"/>
                <w:sz w:val="20"/>
                <w:szCs w:val="20"/>
              </w:rPr>
            </w:pPr>
            <w:r w:rsidRPr="006B6D61">
              <w:rPr>
                <w:rFonts w:cstheme="minorHAnsi"/>
                <w:sz w:val="20"/>
                <w:szCs w:val="20"/>
              </w:rPr>
              <w:t>11 879</w:t>
            </w:r>
          </w:p>
        </w:tc>
        <w:tc>
          <w:tcPr>
            <w:tcW w:w="1134" w:type="dxa"/>
            <w:tcBorders>
              <w:top w:val="nil"/>
              <w:left w:val="nil"/>
              <w:bottom w:val="single" w:sz="4" w:space="0" w:color="auto"/>
              <w:right w:val="single" w:sz="4" w:space="0" w:color="auto"/>
            </w:tcBorders>
            <w:shd w:val="clear" w:color="auto" w:fill="auto"/>
            <w:noWrap/>
            <w:vAlign w:val="center"/>
            <w:hideMark/>
          </w:tcPr>
          <w:p w14:paraId="5438DA7A" w14:textId="1961AECB" w:rsidR="00777E27" w:rsidRPr="002F1BE7" w:rsidRDefault="00215AE7" w:rsidP="00777E27">
            <w:pPr>
              <w:spacing w:after="0"/>
              <w:jc w:val="right"/>
              <w:rPr>
                <w:rFonts w:cstheme="minorHAnsi"/>
                <w:color w:val="FF0000"/>
                <w:sz w:val="20"/>
                <w:szCs w:val="20"/>
              </w:rPr>
            </w:pPr>
            <w:r w:rsidRPr="006B6D61">
              <w:rPr>
                <w:rFonts w:cstheme="minorHAnsi"/>
                <w:sz w:val="20"/>
                <w:szCs w:val="20"/>
              </w:rPr>
              <w:t>10 933</w:t>
            </w:r>
          </w:p>
        </w:tc>
        <w:tc>
          <w:tcPr>
            <w:tcW w:w="1289" w:type="dxa"/>
            <w:tcBorders>
              <w:top w:val="nil"/>
              <w:left w:val="nil"/>
              <w:bottom w:val="single" w:sz="4" w:space="0" w:color="auto"/>
              <w:right w:val="single" w:sz="4" w:space="0" w:color="auto"/>
            </w:tcBorders>
            <w:shd w:val="clear" w:color="auto" w:fill="auto"/>
            <w:noWrap/>
            <w:vAlign w:val="center"/>
            <w:hideMark/>
          </w:tcPr>
          <w:p w14:paraId="24226552" w14:textId="537B5CDD" w:rsidR="00777E27" w:rsidRPr="0077128B" w:rsidRDefault="00EE66C2" w:rsidP="00777E27">
            <w:pPr>
              <w:spacing w:after="0"/>
              <w:jc w:val="right"/>
              <w:rPr>
                <w:rFonts w:cstheme="minorHAnsi"/>
                <w:color w:val="FF0000"/>
                <w:sz w:val="20"/>
                <w:szCs w:val="20"/>
              </w:rPr>
            </w:pPr>
            <w:r>
              <w:rPr>
                <w:rFonts w:cstheme="minorHAnsi"/>
                <w:sz w:val="20"/>
                <w:szCs w:val="20"/>
              </w:rPr>
              <w:t>12 409</w:t>
            </w:r>
          </w:p>
        </w:tc>
        <w:tc>
          <w:tcPr>
            <w:tcW w:w="971" w:type="dxa"/>
            <w:tcBorders>
              <w:top w:val="nil"/>
              <w:left w:val="nil"/>
              <w:bottom w:val="single" w:sz="4" w:space="0" w:color="auto"/>
              <w:right w:val="single" w:sz="4" w:space="0" w:color="auto"/>
            </w:tcBorders>
            <w:shd w:val="clear" w:color="auto" w:fill="auto"/>
            <w:noWrap/>
            <w:vAlign w:val="center"/>
            <w:hideMark/>
          </w:tcPr>
          <w:p w14:paraId="5695BCF3" w14:textId="122ABC7A" w:rsidR="00777E27" w:rsidRPr="006B6D61" w:rsidRDefault="00EE66C2" w:rsidP="00777E27">
            <w:pPr>
              <w:spacing w:after="0"/>
              <w:jc w:val="right"/>
              <w:rPr>
                <w:rFonts w:cstheme="minorHAnsi"/>
                <w:sz w:val="20"/>
                <w:szCs w:val="20"/>
              </w:rPr>
            </w:pPr>
            <w:r>
              <w:rPr>
                <w:rFonts w:cstheme="minorHAnsi"/>
                <w:sz w:val="20"/>
                <w:szCs w:val="20"/>
              </w:rPr>
              <w:t>13 109</w:t>
            </w:r>
          </w:p>
        </w:tc>
        <w:tc>
          <w:tcPr>
            <w:tcW w:w="1108" w:type="dxa"/>
            <w:tcBorders>
              <w:top w:val="nil"/>
              <w:left w:val="nil"/>
              <w:bottom w:val="single" w:sz="4" w:space="0" w:color="auto"/>
              <w:right w:val="single" w:sz="4" w:space="0" w:color="auto"/>
            </w:tcBorders>
            <w:shd w:val="clear" w:color="auto" w:fill="auto"/>
            <w:noWrap/>
            <w:vAlign w:val="center"/>
            <w:hideMark/>
          </w:tcPr>
          <w:p w14:paraId="497E9F07" w14:textId="0C8D6266" w:rsidR="00777E27" w:rsidRPr="006B6D61" w:rsidRDefault="00EE66C2" w:rsidP="00777E27">
            <w:pPr>
              <w:spacing w:after="0"/>
              <w:jc w:val="right"/>
              <w:rPr>
                <w:rFonts w:cstheme="minorHAnsi"/>
                <w:sz w:val="20"/>
                <w:szCs w:val="20"/>
              </w:rPr>
            </w:pPr>
            <w:r>
              <w:rPr>
                <w:rFonts w:cstheme="minorHAnsi"/>
                <w:sz w:val="20"/>
                <w:szCs w:val="20"/>
              </w:rPr>
              <w:t>13 109</w:t>
            </w:r>
          </w:p>
        </w:tc>
        <w:tc>
          <w:tcPr>
            <w:tcW w:w="742" w:type="dxa"/>
            <w:tcBorders>
              <w:top w:val="nil"/>
              <w:left w:val="nil"/>
              <w:bottom w:val="single" w:sz="4" w:space="0" w:color="auto"/>
              <w:right w:val="single" w:sz="4" w:space="0" w:color="auto"/>
            </w:tcBorders>
            <w:shd w:val="clear" w:color="auto" w:fill="auto"/>
            <w:noWrap/>
            <w:vAlign w:val="center"/>
            <w:hideMark/>
          </w:tcPr>
          <w:p w14:paraId="19A7A6D6" w14:textId="779C5F3A" w:rsidR="00777E27" w:rsidRPr="006B6D61" w:rsidRDefault="009D606D" w:rsidP="00777E27">
            <w:pPr>
              <w:spacing w:after="0"/>
              <w:jc w:val="right"/>
              <w:rPr>
                <w:rFonts w:cstheme="minorHAnsi"/>
                <w:sz w:val="20"/>
                <w:szCs w:val="20"/>
              </w:rPr>
            </w:pPr>
            <w:r w:rsidRPr="006B6D61">
              <w:rPr>
                <w:rFonts w:cstheme="minorHAnsi"/>
                <w:sz w:val="20"/>
                <w:szCs w:val="20"/>
              </w:rPr>
              <w:t>110,4</w:t>
            </w:r>
          </w:p>
        </w:tc>
      </w:tr>
      <w:tr w:rsidR="002F1BE7" w:rsidRPr="0044012B" w14:paraId="40EE669B" w14:textId="77777777" w:rsidTr="00BA4E5A">
        <w:trPr>
          <w:trHeight w:val="300"/>
        </w:trPr>
        <w:tc>
          <w:tcPr>
            <w:tcW w:w="0" w:type="auto"/>
            <w:tcBorders>
              <w:top w:val="nil"/>
              <w:left w:val="single" w:sz="4" w:space="0" w:color="auto"/>
              <w:bottom w:val="single" w:sz="4" w:space="0" w:color="auto"/>
              <w:right w:val="nil"/>
            </w:tcBorders>
            <w:shd w:val="clear" w:color="auto" w:fill="auto"/>
            <w:noWrap/>
            <w:vAlign w:val="center"/>
          </w:tcPr>
          <w:p w14:paraId="36C21FF5" w14:textId="77777777" w:rsidR="001F35E5" w:rsidRPr="006B6D61" w:rsidRDefault="001F35E5" w:rsidP="00777E27">
            <w:pPr>
              <w:spacing w:after="0"/>
              <w:rPr>
                <w:rFonts w:cstheme="minorHAnsi"/>
                <w:sz w:val="20"/>
                <w:szCs w:val="20"/>
              </w:rPr>
            </w:pPr>
          </w:p>
        </w:tc>
        <w:tc>
          <w:tcPr>
            <w:tcW w:w="2494" w:type="dxa"/>
            <w:tcBorders>
              <w:top w:val="nil"/>
              <w:left w:val="nil"/>
              <w:bottom w:val="single" w:sz="4" w:space="0" w:color="auto"/>
              <w:right w:val="single" w:sz="4" w:space="0" w:color="auto"/>
            </w:tcBorders>
            <w:shd w:val="clear" w:color="auto" w:fill="auto"/>
            <w:noWrap/>
            <w:vAlign w:val="center"/>
          </w:tcPr>
          <w:p w14:paraId="5050C2AF" w14:textId="7BC08315" w:rsidR="001F35E5" w:rsidRPr="006B6D61" w:rsidRDefault="001F35E5" w:rsidP="001F35E5">
            <w:pPr>
              <w:spacing w:after="0"/>
              <w:rPr>
                <w:rFonts w:cstheme="minorHAnsi"/>
                <w:sz w:val="20"/>
                <w:szCs w:val="20"/>
              </w:rPr>
            </w:pPr>
            <w:r w:rsidRPr="006B6D61">
              <w:rPr>
                <w:rFonts w:cstheme="minorHAnsi"/>
                <w:sz w:val="20"/>
                <w:szCs w:val="20"/>
              </w:rPr>
              <w:t>z toho: Podpora COVID-BUS</w:t>
            </w:r>
          </w:p>
        </w:tc>
        <w:tc>
          <w:tcPr>
            <w:tcW w:w="1149" w:type="dxa"/>
            <w:tcBorders>
              <w:top w:val="nil"/>
              <w:left w:val="nil"/>
              <w:bottom w:val="single" w:sz="4" w:space="0" w:color="auto"/>
              <w:right w:val="single" w:sz="4" w:space="0" w:color="auto"/>
            </w:tcBorders>
            <w:shd w:val="clear" w:color="auto" w:fill="auto"/>
            <w:noWrap/>
            <w:vAlign w:val="center"/>
          </w:tcPr>
          <w:p w14:paraId="454994C2" w14:textId="44FE3A91" w:rsidR="001F35E5" w:rsidRPr="006B6D61" w:rsidRDefault="00DC6DB8" w:rsidP="00777E27">
            <w:pPr>
              <w:spacing w:after="0"/>
              <w:jc w:val="right"/>
              <w:rPr>
                <w:rFonts w:cstheme="minorHAnsi"/>
                <w:sz w:val="20"/>
                <w:szCs w:val="20"/>
              </w:rPr>
            </w:pPr>
            <w:r w:rsidRPr="006B6D61">
              <w:rPr>
                <w:rFonts w:cstheme="minorHAnsi"/>
                <w:sz w:val="20"/>
                <w:szCs w:val="20"/>
              </w:rPr>
              <w:t>90</w:t>
            </w:r>
          </w:p>
        </w:tc>
        <w:tc>
          <w:tcPr>
            <w:tcW w:w="1134" w:type="dxa"/>
            <w:tcBorders>
              <w:top w:val="nil"/>
              <w:left w:val="nil"/>
              <w:bottom w:val="single" w:sz="4" w:space="0" w:color="auto"/>
              <w:right w:val="single" w:sz="4" w:space="0" w:color="auto"/>
            </w:tcBorders>
            <w:shd w:val="clear" w:color="auto" w:fill="auto"/>
            <w:noWrap/>
            <w:vAlign w:val="center"/>
          </w:tcPr>
          <w:p w14:paraId="32DCA082" w14:textId="36A9002C" w:rsidR="001F35E5" w:rsidRPr="006B6D61" w:rsidRDefault="00246A4D" w:rsidP="00777E27">
            <w:pPr>
              <w:spacing w:after="0"/>
              <w:jc w:val="right"/>
              <w:rPr>
                <w:rFonts w:cstheme="minorHAnsi"/>
                <w:sz w:val="20"/>
                <w:szCs w:val="20"/>
              </w:rPr>
            </w:pPr>
            <w:r w:rsidRPr="006B6D61">
              <w:rPr>
                <w:rFonts w:cstheme="minorHAnsi"/>
                <w:sz w:val="20"/>
                <w:szCs w:val="20"/>
              </w:rPr>
              <w:t>0</w:t>
            </w:r>
          </w:p>
        </w:tc>
        <w:tc>
          <w:tcPr>
            <w:tcW w:w="1289" w:type="dxa"/>
            <w:tcBorders>
              <w:top w:val="nil"/>
              <w:left w:val="nil"/>
              <w:bottom w:val="single" w:sz="4" w:space="0" w:color="auto"/>
              <w:right w:val="single" w:sz="4" w:space="0" w:color="auto"/>
            </w:tcBorders>
            <w:shd w:val="clear" w:color="auto" w:fill="auto"/>
            <w:noWrap/>
            <w:vAlign w:val="center"/>
          </w:tcPr>
          <w:p w14:paraId="55066062" w14:textId="48E7E495" w:rsidR="001F35E5" w:rsidRPr="006B6D61" w:rsidRDefault="00246A4D" w:rsidP="00777E27">
            <w:pPr>
              <w:spacing w:after="0"/>
              <w:jc w:val="right"/>
              <w:rPr>
                <w:rFonts w:cstheme="minorHAnsi"/>
                <w:sz w:val="20"/>
                <w:szCs w:val="20"/>
              </w:rPr>
            </w:pPr>
            <w:r w:rsidRPr="006B6D61">
              <w:rPr>
                <w:rFonts w:cstheme="minorHAnsi"/>
                <w:sz w:val="20"/>
                <w:szCs w:val="20"/>
              </w:rPr>
              <w:t>0</w:t>
            </w:r>
          </w:p>
        </w:tc>
        <w:tc>
          <w:tcPr>
            <w:tcW w:w="971" w:type="dxa"/>
            <w:tcBorders>
              <w:top w:val="nil"/>
              <w:left w:val="nil"/>
              <w:bottom w:val="single" w:sz="4" w:space="0" w:color="auto"/>
              <w:right w:val="single" w:sz="4" w:space="0" w:color="auto"/>
            </w:tcBorders>
            <w:shd w:val="clear" w:color="auto" w:fill="auto"/>
            <w:noWrap/>
            <w:vAlign w:val="center"/>
          </w:tcPr>
          <w:p w14:paraId="70AC828A" w14:textId="6819A850" w:rsidR="001F35E5" w:rsidRPr="0077128B" w:rsidRDefault="00462492" w:rsidP="00777E27">
            <w:pPr>
              <w:spacing w:after="0"/>
              <w:jc w:val="right"/>
              <w:rPr>
                <w:rFonts w:cstheme="minorHAnsi"/>
                <w:color w:val="FF0000"/>
                <w:sz w:val="20"/>
                <w:szCs w:val="20"/>
              </w:rPr>
            </w:pPr>
            <w:r w:rsidRPr="006B6D61">
              <w:rPr>
                <w:rFonts w:cstheme="minorHAnsi"/>
                <w:sz w:val="20"/>
                <w:szCs w:val="20"/>
              </w:rPr>
              <w:t>0</w:t>
            </w:r>
          </w:p>
        </w:tc>
        <w:tc>
          <w:tcPr>
            <w:tcW w:w="1108" w:type="dxa"/>
            <w:tcBorders>
              <w:top w:val="nil"/>
              <w:left w:val="nil"/>
              <w:bottom w:val="single" w:sz="4" w:space="0" w:color="auto"/>
              <w:right w:val="single" w:sz="4" w:space="0" w:color="auto"/>
            </w:tcBorders>
            <w:shd w:val="clear" w:color="auto" w:fill="auto"/>
            <w:noWrap/>
            <w:vAlign w:val="center"/>
          </w:tcPr>
          <w:p w14:paraId="2518DA67" w14:textId="3B5AE486" w:rsidR="001F35E5" w:rsidRPr="0077128B" w:rsidRDefault="00396FD6" w:rsidP="00777E27">
            <w:pPr>
              <w:spacing w:after="0"/>
              <w:jc w:val="right"/>
              <w:rPr>
                <w:rFonts w:cstheme="minorHAnsi"/>
                <w:color w:val="FF0000"/>
                <w:sz w:val="20"/>
                <w:szCs w:val="20"/>
              </w:rPr>
            </w:pPr>
            <w:r w:rsidRPr="006B6D61">
              <w:rPr>
                <w:rFonts w:cstheme="minorHAnsi"/>
                <w:sz w:val="20"/>
                <w:szCs w:val="20"/>
              </w:rPr>
              <w:t>0</w:t>
            </w:r>
          </w:p>
        </w:tc>
        <w:tc>
          <w:tcPr>
            <w:tcW w:w="742" w:type="dxa"/>
            <w:tcBorders>
              <w:top w:val="nil"/>
              <w:left w:val="nil"/>
              <w:bottom w:val="single" w:sz="4" w:space="0" w:color="auto"/>
              <w:right w:val="single" w:sz="4" w:space="0" w:color="auto"/>
            </w:tcBorders>
            <w:shd w:val="clear" w:color="auto" w:fill="auto"/>
            <w:noWrap/>
            <w:vAlign w:val="center"/>
          </w:tcPr>
          <w:p w14:paraId="457F550B" w14:textId="28FDABE4" w:rsidR="001F35E5" w:rsidRPr="0077128B" w:rsidRDefault="00766AFE" w:rsidP="00777E27">
            <w:pPr>
              <w:spacing w:after="0"/>
              <w:jc w:val="right"/>
              <w:rPr>
                <w:rFonts w:cstheme="minorHAnsi"/>
                <w:color w:val="FF0000"/>
                <w:sz w:val="20"/>
                <w:szCs w:val="20"/>
              </w:rPr>
            </w:pPr>
            <w:r w:rsidRPr="006B6D61">
              <w:rPr>
                <w:rFonts w:cstheme="minorHAnsi"/>
                <w:sz w:val="20"/>
                <w:szCs w:val="20"/>
              </w:rPr>
              <w:t>0,0</w:t>
            </w:r>
          </w:p>
        </w:tc>
      </w:tr>
      <w:tr w:rsidR="002F1BE7" w:rsidRPr="0044012B" w14:paraId="4B92595F" w14:textId="77777777" w:rsidTr="00BA4E5A">
        <w:trPr>
          <w:trHeight w:val="300"/>
        </w:trPr>
        <w:tc>
          <w:tcPr>
            <w:tcW w:w="0" w:type="auto"/>
            <w:tcBorders>
              <w:top w:val="nil"/>
              <w:left w:val="single" w:sz="4" w:space="0" w:color="auto"/>
              <w:bottom w:val="single" w:sz="4" w:space="0" w:color="auto"/>
              <w:right w:val="nil"/>
            </w:tcBorders>
            <w:shd w:val="clear" w:color="auto" w:fill="auto"/>
            <w:noWrap/>
            <w:vAlign w:val="center"/>
          </w:tcPr>
          <w:p w14:paraId="498161C9" w14:textId="77777777" w:rsidR="00366F18" w:rsidRPr="006B6D61" w:rsidRDefault="00366F18" w:rsidP="00777E27">
            <w:pPr>
              <w:spacing w:after="0"/>
              <w:rPr>
                <w:rFonts w:cstheme="minorHAnsi"/>
                <w:sz w:val="20"/>
                <w:szCs w:val="20"/>
              </w:rPr>
            </w:pPr>
          </w:p>
        </w:tc>
        <w:tc>
          <w:tcPr>
            <w:tcW w:w="2494" w:type="dxa"/>
            <w:tcBorders>
              <w:top w:val="nil"/>
              <w:left w:val="nil"/>
              <w:bottom w:val="single" w:sz="4" w:space="0" w:color="auto"/>
              <w:right w:val="single" w:sz="4" w:space="0" w:color="auto"/>
            </w:tcBorders>
            <w:shd w:val="clear" w:color="auto" w:fill="auto"/>
            <w:noWrap/>
            <w:vAlign w:val="center"/>
          </w:tcPr>
          <w:p w14:paraId="03912C32" w14:textId="1A3524FA" w:rsidR="00366F18" w:rsidRPr="006B6D61" w:rsidRDefault="00215AE7" w:rsidP="001F35E5">
            <w:pPr>
              <w:spacing w:after="0"/>
              <w:rPr>
                <w:rFonts w:cstheme="minorHAnsi"/>
                <w:sz w:val="20"/>
                <w:szCs w:val="20"/>
              </w:rPr>
            </w:pPr>
            <w:r>
              <w:rPr>
                <w:rFonts w:cstheme="minorHAnsi"/>
                <w:sz w:val="20"/>
                <w:szCs w:val="20"/>
              </w:rPr>
              <w:tab/>
              <w:t xml:space="preserve"> </w:t>
            </w:r>
            <w:r>
              <w:rPr>
                <w:rFonts w:cstheme="minorHAnsi"/>
                <w:sz w:val="20"/>
                <w:szCs w:val="20"/>
              </w:rPr>
              <w:tab/>
            </w:r>
            <w:r w:rsidR="00366F18" w:rsidRPr="006B6D61">
              <w:rPr>
                <w:rFonts w:cstheme="minorHAnsi"/>
                <w:sz w:val="20"/>
                <w:szCs w:val="20"/>
              </w:rPr>
              <w:t xml:space="preserve">programové </w:t>
            </w:r>
            <w:r>
              <w:rPr>
                <w:rFonts w:cstheme="minorHAnsi"/>
                <w:sz w:val="20"/>
                <w:szCs w:val="20"/>
              </w:rPr>
              <w:tab/>
            </w:r>
            <w:r>
              <w:rPr>
                <w:rFonts w:cstheme="minorHAnsi"/>
                <w:sz w:val="20"/>
                <w:szCs w:val="20"/>
              </w:rPr>
              <w:tab/>
            </w:r>
            <w:r>
              <w:rPr>
                <w:rFonts w:cstheme="minorHAnsi"/>
                <w:sz w:val="20"/>
                <w:szCs w:val="20"/>
              </w:rPr>
              <w:tab/>
              <w:t xml:space="preserve">   </w:t>
            </w:r>
            <w:r>
              <w:rPr>
                <w:rFonts w:cstheme="minorHAnsi"/>
                <w:sz w:val="20"/>
                <w:szCs w:val="20"/>
              </w:rPr>
              <w:tab/>
            </w:r>
            <w:r w:rsidR="00366F18" w:rsidRPr="006B6D61">
              <w:rPr>
                <w:rFonts w:cstheme="minorHAnsi"/>
                <w:sz w:val="20"/>
                <w:szCs w:val="20"/>
              </w:rPr>
              <w:t>financování</w:t>
            </w:r>
          </w:p>
        </w:tc>
        <w:tc>
          <w:tcPr>
            <w:tcW w:w="1149" w:type="dxa"/>
            <w:tcBorders>
              <w:top w:val="nil"/>
              <w:left w:val="nil"/>
              <w:bottom w:val="single" w:sz="4" w:space="0" w:color="auto"/>
              <w:right w:val="single" w:sz="4" w:space="0" w:color="auto"/>
            </w:tcBorders>
            <w:shd w:val="clear" w:color="auto" w:fill="auto"/>
            <w:noWrap/>
            <w:vAlign w:val="center"/>
          </w:tcPr>
          <w:p w14:paraId="73593B46" w14:textId="26B8210C" w:rsidR="00366F18" w:rsidRPr="006B6D61" w:rsidRDefault="00DC6DB8">
            <w:pPr>
              <w:spacing w:after="0"/>
              <w:jc w:val="right"/>
              <w:rPr>
                <w:rFonts w:cstheme="minorHAnsi"/>
                <w:sz w:val="20"/>
                <w:szCs w:val="20"/>
              </w:rPr>
            </w:pPr>
            <w:r w:rsidRPr="006B6D61">
              <w:rPr>
                <w:rFonts w:cstheme="minorHAnsi"/>
                <w:sz w:val="20"/>
                <w:szCs w:val="20"/>
              </w:rPr>
              <w:t>1 329</w:t>
            </w:r>
          </w:p>
        </w:tc>
        <w:tc>
          <w:tcPr>
            <w:tcW w:w="1134" w:type="dxa"/>
            <w:tcBorders>
              <w:top w:val="nil"/>
              <w:left w:val="nil"/>
              <w:bottom w:val="single" w:sz="4" w:space="0" w:color="auto"/>
              <w:right w:val="single" w:sz="4" w:space="0" w:color="auto"/>
            </w:tcBorders>
            <w:shd w:val="clear" w:color="auto" w:fill="auto"/>
            <w:noWrap/>
            <w:vAlign w:val="center"/>
          </w:tcPr>
          <w:p w14:paraId="4143E6B7" w14:textId="471C41AC" w:rsidR="00366F18" w:rsidRPr="0077128B" w:rsidRDefault="00366F18" w:rsidP="00777E27">
            <w:pPr>
              <w:spacing w:after="0"/>
              <w:jc w:val="right"/>
              <w:rPr>
                <w:rFonts w:cstheme="minorHAnsi"/>
                <w:color w:val="FF0000"/>
                <w:sz w:val="20"/>
                <w:szCs w:val="20"/>
              </w:rPr>
            </w:pPr>
            <w:r w:rsidRPr="006B6D61">
              <w:rPr>
                <w:rFonts w:cstheme="minorHAnsi"/>
                <w:sz w:val="20"/>
                <w:szCs w:val="20"/>
              </w:rPr>
              <w:t>0</w:t>
            </w:r>
          </w:p>
        </w:tc>
        <w:tc>
          <w:tcPr>
            <w:tcW w:w="1289" w:type="dxa"/>
            <w:tcBorders>
              <w:top w:val="nil"/>
              <w:left w:val="nil"/>
              <w:bottom w:val="single" w:sz="4" w:space="0" w:color="auto"/>
              <w:right w:val="single" w:sz="4" w:space="0" w:color="auto"/>
            </w:tcBorders>
            <w:shd w:val="clear" w:color="auto" w:fill="auto"/>
            <w:noWrap/>
            <w:vAlign w:val="center"/>
          </w:tcPr>
          <w:p w14:paraId="64F6BEBD" w14:textId="00D88D53" w:rsidR="00366F18" w:rsidRPr="0077128B" w:rsidRDefault="00885CD2" w:rsidP="00777E27">
            <w:pPr>
              <w:spacing w:after="0"/>
              <w:jc w:val="right"/>
              <w:rPr>
                <w:rFonts w:cstheme="minorHAnsi"/>
                <w:color w:val="FF0000"/>
                <w:sz w:val="20"/>
                <w:szCs w:val="20"/>
              </w:rPr>
            </w:pPr>
            <w:r>
              <w:rPr>
                <w:rFonts w:cstheme="minorHAnsi"/>
                <w:sz w:val="20"/>
                <w:szCs w:val="20"/>
              </w:rPr>
              <w:t>1 476</w:t>
            </w:r>
          </w:p>
        </w:tc>
        <w:tc>
          <w:tcPr>
            <w:tcW w:w="971" w:type="dxa"/>
            <w:tcBorders>
              <w:top w:val="nil"/>
              <w:left w:val="nil"/>
              <w:bottom w:val="single" w:sz="4" w:space="0" w:color="auto"/>
              <w:right w:val="single" w:sz="4" w:space="0" w:color="auto"/>
            </w:tcBorders>
            <w:shd w:val="clear" w:color="auto" w:fill="auto"/>
            <w:noWrap/>
            <w:vAlign w:val="center"/>
          </w:tcPr>
          <w:p w14:paraId="690044B4" w14:textId="0EB252F7" w:rsidR="00366F18" w:rsidRPr="002F1BE7" w:rsidRDefault="00462492" w:rsidP="00777E27">
            <w:pPr>
              <w:spacing w:after="0"/>
              <w:jc w:val="right"/>
              <w:rPr>
                <w:rFonts w:cstheme="minorHAnsi"/>
                <w:color w:val="FF0000"/>
                <w:sz w:val="20"/>
                <w:szCs w:val="20"/>
              </w:rPr>
            </w:pPr>
            <w:r w:rsidRPr="006B6D61">
              <w:rPr>
                <w:rFonts w:cstheme="minorHAnsi"/>
                <w:sz w:val="20"/>
                <w:szCs w:val="20"/>
              </w:rPr>
              <w:t>2 176</w:t>
            </w:r>
          </w:p>
        </w:tc>
        <w:tc>
          <w:tcPr>
            <w:tcW w:w="1108" w:type="dxa"/>
            <w:tcBorders>
              <w:top w:val="nil"/>
              <w:left w:val="nil"/>
              <w:bottom w:val="single" w:sz="4" w:space="0" w:color="auto"/>
              <w:right w:val="single" w:sz="4" w:space="0" w:color="auto"/>
            </w:tcBorders>
            <w:shd w:val="clear" w:color="auto" w:fill="auto"/>
            <w:noWrap/>
            <w:vAlign w:val="center"/>
          </w:tcPr>
          <w:p w14:paraId="4A58AABF" w14:textId="6A258ED8" w:rsidR="00366F18" w:rsidRPr="002F1BE7" w:rsidRDefault="00396FD6" w:rsidP="00777E27">
            <w:pPr>
              <w:spacing w:after="0"/>
              <w:jc w:val="right"/>
              <w:rPr>
                <w:rFonts w:cstheme="minorHAnsi"/>
                <w:color w:val="FF0000"/>
                <w:sz w:val="20"/>
                <w:szCs w:val="20"/>
              </w:rPr>
            </w:pPr>
            <w:r w:rsidRPr="006B6D61">
              <w:rPr>
                <w:rFonts w:cstheme="minorHAnsi"/>
                <w:sz w:val="20"/>
                <w:szCs w:val="20"/>
              </w:rPr>
              <w:t>2 176</w:t>
            </w:r>
          </w:p>
        </w:tc>
        <w:tc>
          <w:tcPr>
            <w:tcW w:w="742" w:type="dxa"/>
            <w:tcBorders>
              <w:top w:val="nil"/>
              <w:left w:val="nil"/>
              <w:bottom w:val="single" w:sz="4" w:space="0" w:color="auto"/>
              <w:right w:val="single" w:sz="4" w:space="0" w:color="auto"/>
            </w:tcBorders>
            <w:shd w:val="clear" w:color="auto" w:fill="auto"/>
            <w:noWrap/>
            <w:vAlign w:val="center"/>
          </w:tcPr>
          <w:p w14:paraId="469B36CE" w14:textId="3DE5D3E4" w:rsidR="00366F18" w:rsidRPr="0077128B" w:rsidRDefault="0050729B" w:rsidP="00777E27">
            <w:pPr>
              <w:spacing w:after="0"/>
              <w:jc w:val="right"/>
              <w:rPr>
                <w:rFonts w:cstheme="minorHAnsi"/>
                <w:color w:val="FF0000"/>
                <w:sz w:val="20"/>
                <w:szCs w:val="20"/>
              </w:rPr>
            </w:pPr>
            <w:r w:rsidRPr="006B6D61">
              <w:rPr>
                <w:rFonts w:cstheme="minorHAnsi"/>
                <w:sz w:val="20"/>
                <w:szCs w:val="20"/>
              </w:rPr>
              <w:t>163,7</w:t>
            </w:r>
          </w:p>
        </w:tc>
      </w:tr>
      <w:tr w:rsidR="002F1BE7" w:rsidRPr="0044012B" w14:paraId="738DF7D2" w14:textId="77777777" w:rsidTr="00D3010F">
        <w:trPr>
          <w:trHeight w:val="637"/>
        </w:trPr>
        <w:tc>
          <w:tcPr>
            <w:tcW w:w="0" w:type="auto"/>
            <w:tcBorders>
              <w:top w:val="nil"/>
              <w:left w:val="single" w:sz="4" w:space="0" w:color="auto"/>
              <w:bottom w:val="single" w:sz="4" w:space="0" w:color="auto"/>
              <w:right w:val="nil"/>
            </w:tcBorders>
            <w:shd w:val="clear" w:color="auto" w:fill="auto"/>
            <w:noWrap/>
            <w:vAlign w:val="center"/>
            <w:hideMark/>
          </w:tcPr>
          <w:p w14:paraId="6749D489" w14:textId="77777777" w:rsidR="00777E27" w:rsidRPr="002F1BE7" w:rsidRDefault="00777E27" w:rsidP="00777E27">
            <w:pPr>
              <w:spacing w:after="0"/>
              <w:rPr>
                <w:rFonts w:cstheme="minorHAnsi"/>
                <w:color w:val="FF0000"/>
                <w:sz w:val="20"/>
                <w:szCs w:val="20"/>
              </w:rPr>
            </w:pPr>
            <w:r w:rsidRPr="002F1BE7">
              <w:rPr>
                <w:rFonts w:cstheme="minorHAnsi"/>
                <w:color w:val="FF0000"/>
                <w:sz w:val="20"/>
                <w:szCs w:val="20"/>
              </w:rPr>
              <w:t> </w:t>
            </w:r>
          </w:p>
        </w:tc>
        <w:tc>
          <w:tcPr>
            <w:tcW w:w="2494" w:type="dxa"/>
            <w:tcBorders>
              <w:top w:val="nil"/>
              <w:left w:val="nil"/>
              <w:bottom w:val="single" w:sz="4" w:space="0" w:color="auto"/>
              <w:right w:val="single" w:sz="4" w:space="0" w:color="auto"/>
            </w:tcBorders>
            <w:shd w:val="clear" w:color="auto" w:fill="auto"/>
            <w:noWrap/>
            <w:vAlign w:val="center"/>
            <w:hideMark/>
          </w:tcPr>
          <w:p w14:paraId="166B739F" w14:textId="1E2FB440" w:rsidR="00777E27" w:rsidRPr="006B6D61" w:rsidRDefault="001F35E5" w:rsidP="00777E27">
            <w:pPr>
              <w:spacing w:after="0"/>
              <w:rPr>
                <w:rFonts w:cstheme="minorHAnsi"/>
                <w:sz w:val="20"/>
                <w:szCs w:val="20"/>
              </w:rPr>
            </w:pPr>
            <w:r w:rsidRPr="006B6D61">
              <w:rPr>
                <w:rFonts w:cstheme="minorHAnsi"/>
                <w:sz w:val="20"/>
                <w:szCs w:val="20"/>
              </w:rPr>
              <w:t>Obecně prospěšné společnosti</w:t>
            </w:r>
          </w:p>
        </w:tc>
        <w:tc>
          <w:tcPr>
            <w:tcW w:w="1149" w:type="dxa"/>
            <w:tcBorders>
              <w:top w:val="nil"/>
              <w:left w:val="nil"/>
              <w:bottom w:val="single" w:sz="4" w:space="0" w:color="auto"/>
              <w:right w:val="single" w:sz="4" w:space="0" w:color="auto"/>
            </w:tcBorders>
            <w:shd w:val="clear" w:color="auto" w:fill="auto"/>
            <w:noWrap/>
            <w:vAlign w:val="center"/>
            <w:hideMark/>
          </w:tcPr>
          <w:p w14:paraId="333F6B29" w14:textId="34FEA4B3" w:rsidR="00777E27" w:rsidRPr="006B6D61" w:rsidRDefault="002568B5" w:rsidP="00777E27">
            <w:pPr>
              <w:spacing w:after="0"/>
              <w:jc w:val="right"/>
              <w:rPr>
                <w:rFonts w:cstheme="minorHAnsi"/>
                <w:sz w:val="20"/>
                <w:szCs w:val="20"/>
              </w:rPr>
            </w:pPr>
            <w:r w:rsidRPr="006B6D61">
              <w:rPr>
                <w:rFonts w:cstheme="minorHAnsi"/>
                <w:sz w:val="20"/>
                <w:szCs w:val="20"/>
              </w:rPr>
              <w:t>41</w:t>
            </w:r>
          </w:p>
        </w:tc>
        <w:tc>
          <w:tcPr>
            <w:tcW w:w="1134" w:type="dxa"/>
            <w:tcBorders>
              <w:top w:val="nil"/>
              <w:left w:val="nil"/>
              <w:bottom w:val="single" w:sz="4" w:space="0" w:color="auto"/>
              <w:right w:val="single" w:sz="4" w:space="0" w:color="auto"/>
            </w:tcBorders>
            <w:shd w:val="clear" w:color="auto" w:fill="auto"/>
            <w:noWrap/>
            <w:vAlign w:val="center"/>
            <w:hideMark/>
          </w:tcPr>
          <w:p w14:paraId="22FED9EA" w14:textId="099C0086" w:rsidR="00777E27" w:rsidRPr="006B6D61" w:rsidRDefault="00366F18" w:rsidP="00777E27">
            <w:pPr>
              <w:spacing w:after="0"/>
              <w:jc w:val="right"/>
              <w:rPr>
                <w:rFonts w:cstheme="minorHAnsi"/>
                <w:sz w:val="20"/>
                <w:szCs w:val="20"/>
              </w:rPr>
            </w:pPr>
            <w:r w:rsidRPr="006B6D61">
              <w:rPr>
                <w:rFonts w:cstheme="minorHAnsi"/>
                <w:sz w:val="20"/>
                <w:szCs w:val="20"/>
              </w:rPr>
              <w:t>0</w:t>
            </w:r>
          </w:p>
        </w:tc>
        <w:tc>
          <w:tcPr>
            <w:tcW w:w="1289" w:type="dxa"/>
            <w:tcBorders>
              <w:top w:val="nil"/>
              <w:left w:val="nil"/>
              <w:bottom w:val="single" w:sz="4" w:space="0" w:color="auto"/>
              <w:right w:val="single" w:sz="4" w:space="0" w:color="auto"/>
            </w:tcBorders>
            <w:shd w:val="clear" w:color="auto" w:fill="auto"/>
            <w:noWrap/>
            <w:vAlign w:val="center"/>
            <w:hideMark/>
          </w:tcPr>
          <w:p w14:paraId="25FAAD91" w14:textId="1A46475F" w:rsidR="00777E27" w:rsidRPr="006B6D61" w:rsidRDefault="00BA5D63" w:rsidP="00777E27">
            <w:pPr>
              <w:spacing w:after="0"/>
              <w:jc w:val="right"/>
              <w:rPr>
                <w:rFonts w:cstheme="minorHAnsi"/>
                <w:sz w:val="20"/>
                <w:szCs w:val="20"/>
              </w:rPr>
            </w:pPr>
            <w:r w:rsidRPr="006B6D61">
              <w:rPr>
                <w:rFonts w:cstheme="minorHAnsi"/>
                <w:sz w:val="20"/>
                <w:szCs w:val="20"/>
              </w:rPr>
              <w:t>0</w:t>
            </w:r>
          </w:p>
        </w:tc>
        <w:tc>
          <w:tcPr>
            <w:tcW w:w="971" w:type="dxa"/>
            <w:tcBorders>
              <w:top w:val="nil"/>
              <w:left w:val="nil"/>
              <w:bottom w:val="single" w:sz="4" w:space="0" w:color="auto"/>
              <w:right w:val="single" w:sz="4" w:space="0" w:color="auto"/>
            </w:tcBorders>
            <w:shd w:val="clear" w:color="auto" w:fill="auto"/>
            <w:noWrap/>
            <w:vAlign w:val="center"/>
            <w:hideMark/>
          </w:tcPr>
          <w:p w14:paraId="1CE15910" w14:textId="28013CD2" w:rsidR="00777E27" w:rsidRPr="006B6D61" w:rsidRDefault="002568B5" w:rsidP="00777E27">
            <w:pPr>
              <w:spacing w:after="0"/>
              <w:jc w:val="right"/>
              <w:rPr>
                <w:rFonts w:cstheme="minorHAnsi"/>
                <w:sz w:val="20"/>
                <w:szCs w:val="20"/>
              </w:rPr>
            </w:pPr>
            <w:r w:rsidRPr="006B6D61">
              <w:rPr>
                <w:rFonts w:cstheme="minorHAnsi"/>
                <w:sz w:val="20"/>
                <w:szCs w:val="20"/>
              </w:rPr>
              <w:t>0</w:t>
            </w:r>
          </w:p>
        </w:tc>
        <w:tc>
          <w:tcPr>
            <w:tcW w:w="1108" w:type="dxa"/>
            <w:tcBorders>
              <w:top w:val="nil"/>
              <w:left w:val="nil"/>
              <w:bottom w:val="single" w:sz="4" w:space="0" w:color="auto"/>
              <w:right w:val="single" w:sz="4" w:space="0" w:color="auto"/>
            </w:tcBorders>
            <w:shd w:val="clear" w:color="auto" w:fill="auto"/>
            <w:noWrap/>
            <w:vAlign w:val="center"/>
            <w:hideMark/>
          </w:tcPr>
          <w:p w14:paraId="0C2275EF" w14:textId="52871D4E" w:rsidR="00777E27" w:rsidRPr="006B6D61" w:rsidRDefault="002568B5" w:rsidP="00777E27">
            <w:pPr>
              <w:spacing w:after="0"/>
              <w:jc w:val="right"/>
              <w:rPr>
                <w:rFonts w:cstheme="minorHAnsi"/>
                <w:sz w:val="20"/>
                <w:szCs w:val="20"/>
              </w:rPr>
            </w:pPr>
            <w:r w:rsidRPr="006B6D61">
              <w:rPr>
                <w:rFonts w:cstheme="minorHAnsi"/>
                <w:sz w:val="20"/>
                <w:szCs w:val="20"/>
              </w:rPr>
              <w:t>0</w:t>
            </w:r>
            <w:r w:rsidR="00777E27" w:rsidRPr="006B6D61">
              <w:rPr>
                <w:rFonts w:cstheme="minorHAnsi"/>
                <w:sz w:val="20"/>
                <w:szCs w:val="20"/>
              </w:rPr>
              <w:t xml:space="preserve"> </w:t>
            </w:r>
          </w:p>
        </w:tc>
        <w:tc>
          <w:tcPr>
            <w:tcW w:w="742" w:type="dxa"/>
            <w:tcBorders>
              <w:top w:val="nil"/>
              <w:left w:val="nil"/>
              <w:bottom w:val="single" w:sz="4" w:space="0" w:color="auto"/>
              <w:right w:val="single" w:sz="4" w:space="0" w:color="auto"/>
            </w:tcBorders>
            <w:shd w:val="clear" w:color="auto" w:fill="auto"/>
            <w:noWrap/>
            <w:vAlign w:val="center"/>
            <w:hideMark/>
          </w:tcPr>
          <w:p w14:paraId="2113115E" w14:textId="1076DAE2" w:rsidR="00777E27" w:rsidRPr="006B6D61" w:rsidRDefault="006357D0">
            <w:pPr>
              <w:spacing w:after="0"/>
              <w:jc w:val="right"/>
              <w:rPr>
                <w:rFonts w:cstheme="minorHAnsi"/>
                <w:sz w:val="20"/>
                <w:szCs w:val="20"/>
              </w:rPr>
            </w:pPr>
            <w:r w:rsidRPr="006B6D61">
              <w:rPr>
                <w:rFonts w:cstheme="minorHAnsi"/>
                <w:sz w:val="20"/>
                <w:szCs w:val="20"/>
              </w:rPr>
              <w:t>x</w:t>
            </w:r>
          </w:p>
        </w:tc>
      </w:tr>
      <w:tr w:rsidR="002F1BE7" w:rsidRPr="0044012B" w14:paraId="564B01B9" w14:textId="77777777" w:rsidTr="00BA4E5A">
        <w:trPr>
          <w:trHeight w:val="300"/>
        </w:trPr>
        <w:tc>
          <w:tcPr>
            <w:tcW w:w="0" w:type="auto"/>
            <w:tcBorders>
              <w:top w:val="nil"/>
              <w:left w:val="single" w:sz="4" w:space="0" w:color="auto"/>
              <w:bottom w:val="single" w:sz="4" w:space="0" w:color="auto"/>
              <w:right w:val="nil"/>
            </w:tcBorders>
            <w:shd w:val="clear" w:color="auto" w:fill="auto"/>
            <w:noWrap/>
            <w:vAlign w:val="center"/>
            <w:hideMark/>
          </w:tcPr>
          <w:p w14:paraId="286927BB" w14:textId="77777777" w:rsidR="00777E27" w:rsidRPr="002F1BE7" w:rsidRDefault="00777E27" w:rsidP="00777E27">
            <w:pPr>
              <w:spacing w:after="0"/>
              <w:rPr>
                <w:rFonts w:cstheme="minorHAnsi"/>
                <w:color w:val="FF0000"/>
                <w:sz w:val="20"/>
                <w:szCs w:val="20"/>
              </w:rPr>
            </w:pPr>
            <w:r w:rsidRPr="002F1BE7">
              <w:rPr>
                <w:rFonts w:cstheme="minorHAnsi"/>
                <w:color w:val="FF0000"/>
                <w:sz w:val="20"/>
                <w:szCs w:val="20"/>
              </w:rPr>
              <w:t> </w:t>
            </w:r>
          </w:p>
        </w:tc>
        <w:tc>
          <w:tcPr>
            <w:tcW w:w="2494" w:type="dxa"/>
            <w:tcBorders>
              <w:top w:val="nil"/>
              <w:left w:val="nil"/>
              <w:bottom w:val="single" w:sz="4" w:space="0" w:color="auto"/>
              <w:right w:val="single" w:sz="4" w:space="0" w:color="auto"/>
            </w:tcBorders>
            <w:shd w:val="clear" w:color="auto" w:fill="auto"/>
            <w:noWrap/>
            <w:vAlign w:val="center"/>
            <w:hideMark/>
          </w:tcPr>
          <w:p w14:paraId="6525EEE6" w14:textId="2A8CBA1C" w:rsidR="00777E27" w:rsidRPr="006B6D61" w:rsidRDefault="001F35E5" w:rsidP="00777E27">
            <w:pPr>
              <w:spacing w:after="0"/>
              <w:rPr>
                <w:rFonts w:cstheme="minorHAnsi"/>
                <w:sz w:val="20"/>
                <w:szCs w:val="20"/>
              </w:rPr>
            </w:pPr>
            <w:r w:rsidRPr="006B6D61">
              <w:rPr>
                <w:rFonts w:cstheme="minorHAnsi"/>
                <w:sz w:val="20"/>
                <w:szCs w:val="20"/>
              </w:rPr>
              <w:t>z toho: Podpora COVID-BUS</w:t>
            </w:r>
          </w:p>
        </w:tc>
        <w:tc>
          <w:tcPr>
            <w:tcW w:w="1149" w:type="dxa"/>
            <w:tcBorders>
              <w:top w:val="nil"/>
              <w:left w:val="nil"/>
              <w:bottom w:val="single" w:sz="4" w:space="0" w:color="auto"/>
              <w:right w:val="single" w:sz="4" w:space="0" w:color="auto"/>
            </w:tcBorders>
            <w:shd w:val="clear" w:color="auto" w:fill="auto"/>
            <w:noWrap/>
            <w:vAlign w:val="center"/>
            <w:hideMark/>
          </w:tcPr>
          <w:p w14:paraId="7B4ACFB5" w14:textId="247C0B16" w:rsidR="00777E27" w:rsidRPr="006B6D61" w:rsidRDefault="002568B5" w:rsidP="00777E27">
            <w:pPr>
              <w:spacing w:after="0"/>
              <w:jc w:val="right"/>
              <w:rPr>
                <w:rFonts w:cstheme="minorHAnsi"/>
                <w:sz w:val="20"/>
                <w:szCs w:val="20"/>
              </w:rPr>
            </w:pPr>
            <w:r w:rsidRPr="006B6D61">
              <w:rPr>
                <w:rFonts w:cstheme="minorHAnsi"/>
                <w:sz w:val="20"/>
                <w:szCs w:val="20"/>
              </w:rPr>
              <w:t>41</w:t>
            </w:r>
          </w:p>
        </w:tc>
        <w:tc>
          <w:tcPr>
            <w:tcW w:w="1134" w:type="dxa"/>
            <w:tcBorders>
              <w:top w:val="nil"/>
              <w:left w:val="nil"/>
              <w:bottom w:val="single" w:sz="4" w:space="0" w:color="auto"/>
              <w:right w:val="single" w:sz="4" w:space="0" w:color="auto"/>
            </w:tcBorders>
            <w:shd w:val="clear" w:color="auto" w:fill="auto"/>
            <w:noWrap/>
            <w:vAlign w:val="center"/>
            <w:hideMark/>
          </w:tcPr>
          <w:p w14:paraId="000F5103" w14:textId="49AECC0D" w:rsidR="00777E27" w:rsidRPr="006B6D61" w:rsidRDefault="00366F18" w:rsidP="00777E27">
            <w:pPr>
              <w:spacing w:after="0"/>
              <w:jc w:val="right"/>
              <w:rPr>
                <w:rFonts w:cstheme="minorHAnsi"/>
                <w:sz w:val="20"/>
                <w:szCs w:val="20"/>
              </w:rPr>
            </w:pPr>
            <w:r w:rsidRPr="006B6D61">
              <w:rPr>
                <w:rFonts w:cstheme="minorHAnsi"/>
                <w:sz w:val="20"/>
                <w:szCs w:val="20"/>
              </w:rPr>
              <w:t>0</w:t>
            </w:r>
          </w:p>
        </w:tc>
        <w:tc>
          <w:tcPr>
            <w:tcW w:w="1289" w:type="dxa"/>
            <w:tcBorders>
              <w:top w:val="nil"/>
              <w:left w:val="nil"/>
              <w:bottom w:val="single" w:sz="4" w:space="0" w:color="auto"/>
              <w:right w:val="single" w:sz="4" w:space="0" w:color="auto"/>
            </w:tcBorders>
            <w:shd w:val="clear" w:color="auto" w:fill="auto"/>
            <w:noWrap/>
            <w:vAlign w:val="center"/>
            <w:hideMark/>
          </w:tcPr>
          <w:p w14:paraId="66A3961C" w14:textId="132EBA51" w:rsidR="00777E27" w:rsidRPr="006B6D61" w:rsidRDefault="00BA5D63">
            <w:pPr>
              <w:spacing w:after="0"/>
              <w:jc w:val="right"/>
              <w:rPr>
                <w:rFonts w:cstheme="minorHAnsi"/>
                <w:sz w:val="20"/>
                <w:szCs w:val="20"/>
              </w:rPr>
            </w:pPr>
            <w:r w:rsidRPr="006B6D61">
              <w:rPr>
                <w:rFonts w:cstheme="minorHAnsi"/>
                <w:sz w:val="20"/>
                <w:szCs w:val="20"/>
              </w:rPr>
              <w:t>0</w:t>
            </w:r>
          </w:p>
        </w:tc>
        <w:tc>
          <w:tcPr>
            <w:tcW w:w="971" w:type="dxa"/>
            <w:tcBorders>
              <w:top w:val="nil"/>
              <w:left w:val="nil"/>
              <w:bottom w:val="single" w:sz="4" w:space="0" w:color="auto"/>
              <w:right w:val="single" w:sz="4" w:space="0" w:color="auto"/>
            </w:tcBorders>
            <w:shd w:val="clear" w:color="auto" w:fill="auto"/>
            <w:noWrap/>
            <w:vAlign w:val="center"/>
            <w:hideMark/>
          </w:tcPr>
          <w:p w14:paraId="2CC2AEF4" w14:textId="45C204FD" w:rsidR="00777E27" w:rsidRPr="006B6D61" w:rsidRDefault="002568B5" w:rsidP="00777E27">
            <w:pPr>
              <w:spacing w:after="0"/>
              <w:jc w:val="right"/>
              <w:rPr>
                <w:rFonts w:cstheme="minorHAnsi"/>
                <w:sz w:val="20"/>
                <w:szCs w:val="20"/>
              </w:rPr>
            </w:pPr>
            <w:r w:rsidRPr="006B6D61">
              <w:rPr>
                <w:rFonts w:cstheme="minorHAnsi"/>
                <w:sz w:val="20"/>
                <w:szCs w:val="20"/>
              </w:rPr>
              <w:t>0</w:t>
            </w:r>
          </w:p>
        </w:tc>
        <w:tc>
          <w:tcPr>
            <w:tcW w:w="1108" w:type="dxa"/>
            <w:tcBorders>
              <w:top w:val="nil"/>
              <w:left w:val="nil"/>
              <w:bottom w:val="single" w:sz="4" w:space="0" w:color="auto"/>
              <w:right w:val="single" w:sz="4" w:space="0" w:color="auto"/>
            </w:tcBorders>
            <w:shd w:val="clear" w:color="auto" w:fill="auto"/>
            <w:noWrap/>
            <w:vAlign w:val="center"/>
            <w:hideMark/>
          </w:tcPr>
          <w:p w14:paraId="43BE94A4" w14:textId="3F462804" w:rsidR="00777E27" w:rsidRPr="006B6D61" w:rsidRDefault="002568B5" w:rsidP="00777E27">
            <w:pPr>
              <w:spacing w:after="0"/>
              <w:jc w:val="right"/>
              <w:rPr>
                <w:rFonts w:cstheme="minorHAnsi"/>
                <w:sz w:val="20"/>
                <w:szCs w:val="20"/>
              </w:rPr>
            </w:pPr>
            <w:r w:rsidRPr="006B6D61">
              <w:rPr>
                <w:rFonts w:cstheme="minorHAnsi"/>
                <w:sz w:val="20"/>
                <w:szCs w:val="20"/>
              </w:rPr>
              <w:t>0</w:t>
            </w:r>
          </w:p>
        </w:tc>
        <w:tc>
          <w:tcPr>
            <w:tcW w:w="742" w:type="dxa"/>
            <w:tcBorders>
              <w:top w:val="nil"/>
              <w:left w:val="nil"/>
              <w:bottom w:val="single" w:sz="4" w:space="0" w:color="auto"/>
              <w:right w:val="single" w:sz="4" w:space="0" w:color="auto"/>
            </w:tcBorders>
            <w:shd w:val="clear" w:color="auto" w:fill="auto"/>
            <w:noWrap/>
            <w:vAlign w:val="center"/>
            <w:hideMark/>
          </w:tcPr>
          <w:p w14:paraId="015934CB" w14:textId="137E6106" w:rsidR="00777E27" w:rsidRPr="006B6D61" w:rsidRDefault="006357D0">
            <w:pPr>
              <w:spacing w:after="0"/>
              <w:jc w:val="right"/>
              <w:rPr>
                <w:rFonts w:cstheme="minorHAnsi"/>
                <w:sz w:val="20"/>
                <w:szCs w:val="20"/>
              </w:rPr>
            </w:pPr>
            <w:r w:rsidRPr="006B6D61">
              <w:rPr>
                <w:rFonts w:cstheme="minorHAnsi"/>
                <w:sz w:val="20"/>
                <w:szCs w:val="20"/>
              </w:rPr>
              <w:t>x</w:t>
            </w:r>
          </w:p>
        </w:tc>
      </w:tr>
      <w:tr w:rsidR="002F1BE7" w:rsidRPr="0044012B" w14:paraId="09460680" w14:textId="77777777" w:rsidTr="00BA4E5A">
        <w:trPr>
          <w:trHeight w:val="420"/>
        </w:trPr>
        <w:tc>
          <w:tcPr>
            <w:tcW w:w="2679" w:type="dxa"/>
            <w:gridSpan w:val="2"/>
            <w:tcBorders>
              <w:top w:val="nil"/>
              <w:left w:val="single" w:sz="4" w:space="0" w:color="auto"/>
              <w:bottom w:val="single" w:sz="4" w:space="0" w:color="auto"/>
              <w:right w:val="single" w:sz="4" w:space="0" w:color="auto"/>
            </w:tcBorders>
            <w:shd w:val="clear" w:color="auto" w:fill="auto"/>
            <w:noWrap/>
            <w:vAlign w:val="center"/>
            <w:hideMark/>
          </w:tcPr>
          <w:p w14:paraId="72F9DDF6" w14:textId="4DB0D095" w:rsidR="00777E27" w:rsidRPr="0077128B" w:rsidRDefault="00777E27" w:rsidP="00777E27">
            <w:pPr>
              <w:spacing w:after="0"/>
              <w:rPr>
                <w:rFonts w:cstheme="minorHAnsi"/>
                <w:b/>
                <w:color w:val="FF0000"/>
                <w:sz w:val="20"/>
                <w:szCs w:val="20"/>
              </w:rPr>
            </w:pPr>
            <w:r w:rsidRPr="006B6D61">
              <w:rPr>
                <w:rFonts w:cstheme="minorHAnsi"/>
                <w:b/>
                <w:sz w:val="20"/>
                <w:szCs w:val="20"/>
              </w:rPr>
              <w:t xml:space="preserve">Investiční transfery </w:t>
            </w:r>
          </w:p>
        </w:tc>
        <w:tc>
          <w:tcPr>
            <w:tcW w:w="1149" w:type="dxa"/>
            <w:tcBorders>
              <w:top w:val="nil"/>
              <w:left w:val="nil"/>
              <w:bottom w:val="single" w:sz="4" w:space="0" w:color="auto"/>
              <w:right w:val="single" w:sz="4" w:space="0" w:color="auto"/>
            </w:tcBorders>
            <w:shd w:val="clear" w:color="auto" w:fill="auto"/>
            <w:noWrap/>
            <w:vAlign w:val="center"/>
            <w:hideMark/>
          </w:tcPr>
          <w:p w14:paraId="76C527D7" w14:textId="77777777" w:rsidR="00777E27" w:rsidRPr="006B6D61" w:rsidRDefault="00777E27" w:rsidP="00777E27">
            <w:pPr>
              <w:spacing w:after="0"/>
              <w:jc w:val="right"/>
              <w:rPr>
                <w:rFonts w:cstheme="minorHAnsi"/>
                <w:b/>
                <w:sz w:val="20"/>
                <w:szCs w:val="20"/>
              </w:rPr>
            </w:pPr>
            <w:r w:rsidRPr="006B6D61">
              <w:rPr>
                <w:rFonts w:cstheme="minorHAnsi"/>
                <w:b/>
                <w:sz w:val="20"/>
                <w:szCs w:val="20"/>
              </w:rPr>
              <w:t>0</w:t>
            </w:r>
          </w:p>
        </w:tc>
        <w:tc>
          <w:tcPr>
            <w:tcW w:w="1134" w:type="dxa"/>
            <w:tcBorders>
              <w:top w:val="nil"/>
              <w:left w:val="nil"/>
              <w:bottom w:val="single" w:sz="4" w:space="0" w:color="auto"/>
              <w:right w:val="single" w:sz="4" w:space="0" w:color="auto"/>
            </w:tcBorders>
            <w:shd w:val="clear" w:color="auto" w:fill="auto"/>
            <w:noWrap/>
            <w:vAlign w:val="center"/>
            <w:hideMark/>
          </w:tcPr>
          <w:p w14:paraId="04965E84" w14:textId="77777777" w:rsidR="00777E27" w:rsidRPr="006B6D61" w:rsidRDefault="00777E27" w:rsidP="00777E27">
            <w:pPr>
              <w:spacing w:after="0"/>
              <w:jc w:val="right"/>
              <w:rPr>
                <w:rFonts w:cstheme="minorHAnsi"/>
                <w:b/>
                <w:sz w:val="20"/>
                <w:szCs w:val="20"/>
              </w:rPr>
            </w:pPr>
            <w:r w:rsidRPr="006B6D61">
              <w:rPr>
                <w:rFonts w:cstheme="minorHAnsi"/>
                <w:b/>
                <w:sz w:val="20"/>
                <w:szCs w:val="20"/>
              </w:rPr>
              <w:t>0</w:t>
            </w:r>
          </w:p>
        </w:tc>
        <w:tc>
          <w:tcPr>
            <w:tcW w:w="1289" w:type="dxa"/>
            <w:tcBorders>
              <w:top w:val="nil"/>
              <w:left w:val="nil"/>
              <w:bottom w:val="single" w:sz="4" w:space="0" w:color="auto"/>
              <w:right w:val="single" w:sz="4" w:space="0" w:color="auto"/>
            </w:tcBorders>
            <w:shd w:val="clear" w:color="auto" w:fill="auto"/>
            <w:noWrap/>
            <w:vAlign w:val="center"/>
            <w:hideMark/>
          </w:tcPr>
          <w:p w14:paraId="17B4A7BA" w14:textId="77777777" w:rsidR="00777E27" w:rsidRPr="006B6D61" w:rsidRDefault="00777E27" w:rsidP="00777E27">
            <w:pPr>
              <w:spacing w:after="0"/>
              <w:jc w:val="right"/>
              <w:rPr>
                <w:rFonts w:cstheme="minorHAnsi"/>
                <w:b/>
                <w:sz w:val="20"/>
                <w:szCs w:val="20"/>
              </w:rPr>
            </w:pPr>
            <w:r w:rsidRPr="006B6D61">
              <w:rPr>
                <w:rFonts w:cstheme="minorHAnsi"/>
                <w:b/>
                <w:sz w:val="20"/>
                <w:szCs w:val="20"/>
              </w:rPr>
              <w:t>0</w:t>
            </w:r>
          </w:p>
        </w:tc>
        <w:tc>
          <w:tcPr>
            <w:tcW w:w="971" w:type="dxa"/>
            <w:tcBorders>
              <w:top w:val="nil"/>
              <w:left w:val="nil"/>
              <w:bottom w:val="single" w:sz="4" w:space="0" w:color="auto"/>
              <w:right w:val="single" w:sz="4" w:space="0" w:color="auto"/>
            </w:tcBorders>
            <w:shd w:val="clear" w:color="auto" w:fill="auto"/>
            <w:noWrap/>
            <w:vAlign w:val="center"/>
            <w:hideMark/>
          </w:tcPr>
          <w:p w14:paraId="08933FC6" w14:textId="77777777" w:rsidR="00777E27" w:rsidRPr="006B6D61" w:rsidRDefault="00777E27" w:rsidP="00777E27">
            <w:pPr>
              <w:spacing w:after="0"/>
              <w:jc w:val="right"/>
              <w:rPr>
                <w:rFonts w:cstheme="minorHAnsi"/>
                <w:b/>
                <w:sz w:val="20"/>
                <w:szCs w:val="20"/>
              </w:rPr>
            </w:pPr>
            <w:r w:rsidRPr="006B6D61">
              <w:rPr>
                <w:rFonts w:cstheme="minorHAnsi"/>
                <w:b/>
                <w:sz w:val="20"/>
                <w:szCs w:val="20"/>
              </w:rPr>
              <w:t>0</w:t>
            </w:r>
          </w:p>
        </w:tc>
        <w:tc>
          <w:tcPr>
            <w:tcW w:w="1108" w:type="dxa"/>
            <w:tcBorders>
              <w:top w:val="nil"/>
              <w:left w:val="nil"/>
              <w:bottom w:val="single" w:sz="4" w:space="0" w:color="auto"/>
              <w:right w:val="single" w:sz="4" w:space="0" w:color="auto"/>
            </w:tcBorders>
            <w:shd w:val="clear" w:color="auto" w:fill="auto"/>
            <w:noWrap/>
            <w:vAlign w:val="center"/>
            <w:hideMark/>
          </w:tcPr>
          <w:p w14:paraId="1402410F" w14:textId="77777777" w:rsidR="00777E27" w:rsidRPr="006B6D61" w:rsidRDefault="00777E27" w:rsidP="00777E27">
            <w:pPr>
              <w:spacing w:after="0"/>
              <w:jc w:val="right"/>
              <w:rPr>
                <w:rFonts w:cstheme="minorHAnsi"/>
                <w:b/>
                <w:sz w:val="20"/>
                <w:szCs w:val="20"/>
              </w:rPr>
            </w:pPr>
            <w:r w:rsidRPr="006B6D61">
              <w:rPr>
                <w:rFonts w:cstheme="minorHAnsi"/>
                <w:b/>
                <w:sz w:val="20"/>
                <w:szCs w:val="20"/>
              </w:rPr>
              <w:t>0</w:t>
            </w:r>
          </w:p>
        </w:tc>
        <w:tc>
          <w:tcPr>
            <w:tcW w:w="742" w:type="dxa"/>
            <w:tcBorders>
              <w:top w:val="nil"/>
              <w:left w:val="nil"/>
              <w:bottom w:val="single" w:sz="4" w:space="0" w:color="auto"/>
              <w:right w:val="single" w:sz="4" w:space="0" w:color="auto"/>
            </w:tcBorders>
            <w:shd w:val="clear" w:color="auto" w:fill="auto"/>
            <w:noWrap/>
            <w:vAlign w:val="center"/>
            <w:hideMark/>
          </w:tcPr>
          <w:p w14:paraId="3586A3C8" w14:textId="77777777" w:rsidR="00777E27" w:rsidRPr="006B6D61" w:rsidRDefault="00777E27" w:rsidP="00777E27">
            <w:pPr>
              <w:spacing w:after="0"/>
              <w:jc w:val="right"/>
              <w:rPr>
                <w:rFonts w:cstheme="minorHAnsi"/>
                <w:b/>
                <w:sz w:val="20"/>
                <w:szCs w:val="20"/>
              </w:rPr>
            </w:pPr>
            <w:r w:rsidRPr="006B6D61">
              <w:rPr>
                <w:rFonts w:cstheme="minorHAnsi"/>
                <w:b/>
                <w:sz w:val="20"/>
                <w:szCs w:val="20"/>
              </w:rPr>
              <w:t>x</w:t>
            </w:r>
          </w:p>
        </w:tc>
      </w:tr>
    </w:tbl>
    <w:p w14:paraId="76B5EFCB" w14:textId="65AC1724" w:rsidR="00614827" w:rsidRPr="006B6D61" w:rsidRDefault="00614827" w:rsidP="008A0E44">
      <w:pPr>
        <w:pStyle w:val="KOMnadp4"/>
      </w:pPr>
      <w:r w:rsidRPr="006B6D61">
        <w:t>Neinvestiční transfery</w:t>
      </w:r>
    </w:p>
    <w:p w14:paraId="657521D9" w14:textId="484ACD11" w:rsidR="00614827" w:rsidRPr="002F1BE7" w:rsidRDefault="00614827" w:rsidP="00614827">
      <w:pPr>
        <w:pStyle w:val="KOMtext"/>
        <w:rPr>
          <w:color w:val="FF0000"/>
        </w:rPr>
      </w:pPr>
      <w:r w:rsidRPr="006B6D61">
        <w:t xml:space="preserve">Schválený rozpočet 10 </w:t>
      </w:r>
      <w:r w:rsidR="004C4DD5" w:rsidRPr="006B6D61">
        <w:t>933</w:t>
      </w:r>
      <w:r w:rsidRPr="006B6D61">
        <w:t xml:space="preserve"> tis. Kč byl v roce 202</w:t>
      </w:r>
      <w:r w:rsidR="004C4DD5" w:rsidRPr="006B6D61">
        <w:t>3</w:t>
      </w:r>
      <w:r w:rsidRPr="006B6D61">
        <w:t xml:space="preserve"> </w:t>
      </w:r>
      <w:r w:rsidR="00925386" w:rsidRPr="006B6D61">
        <w:t>po zapojení nároků</w:t>
      </w:r>
      <w:r w:rsidRPr="006B6D61">
        <w:t xml:space="preserve"> upraven </w:t>
      </w:r>
      <w:r w:rsidR="00F8208F">
        <w:br/>
      </w:r>
      <w:r w:rsidRPr="006B6D61">
        <w:t>na 1</w:t>
      </w:r>
      <w:r w:rsidR="00925386" w:rsidRPr="006B6D61">
        <w:t>3 109</w:t>
      </w:r>
      <w:r w:rsidRPr="006B6D61">
        <w:t xml:space="preserve"> tis. Kč, tj. navýšení o </w:t>
      </w:r>
      <w:r w:rsidR="00697930" w:rsidRPr="006B6D61">
        <w:t xml:space="preserve">2 </w:t>
      </w:r>
      <w:r w:rsidR="00B36DFB" w:rsidRPr="006B6D61">
        <w:t>176</w:t>
      </w:r>
      <w:r w:rsidRPr="006B6D61">
        <w:t xml:space="preserve"> tis. Kč. Finanční prostředky byly čerpány ve výši </w:t>
      </w:r>
      <w:r w:rsidR="00F8208F">
        <w:br/>
      </w:r>
      <w:r w:rsidR="00F8208F" w:rsidRPr="006B6D61">
        <w:t>13 109</w:t>
      </w:r>
      <w:r w:rsidRPr="006B6D61">
        <w:t xml:space="preserve"> tis. Kč, tj. čerpání ve výši </w:t>
      </w:r>
      <w:r w:rsidR="00245D3E" w:rsidRPr="006B6D61">
        <w:t>105,6</w:t>
      </w:r>
      <w:r w:rsidRPr="006B6D61">
        <w:t xml:space="preserve"> % upraveného rozpočtu.</w:t>
      </w:r>
    </w:p>
    <w:p w14:paraId="40F934D8" w14:textId="77777777" w:rsidR="002657E8" w:rsidRPr="006B6D61" w:rsidRDefault="002657E8" w:rsidP="00BA4E5A">
      <w:pPr>
        <w:pStyle w:val="KOMnadp5"/>
        <w:rPr>
          <w:color w:val="auto"/>
        </w:rPr>
      </w:pPr>
      <w:r w:rsidRPr="006B6D61">
        <w:rPr>
          <w:color w:val="auto"/>
        </w:rPr>
        <w:t>Neinvestiční transfery spolkům</w:t>
      </w:r>
    </w:p>
    <w:p w14:paraId="336D1FD5" w14:textId="5CA26F08" w:rsidR="002657E8" w:rsidRPr="0077128B" w:rsidRDefault="002657E8" w:rsidP="002657E8">
      <w:pPr>
        <w:pStyle w:val="KOMtext"/>
        <w:rPr>
          <w:color w:val="FF0000"/>
        </w:rPr>
      </w:pPr>
      <w:r w:rsidRPr="006B6D61">
        <w:t xml:space="preserve">Schválený rozpočet 10 </w:t>
      </w:r>
      <w:r w:rsidR="00943EE8" w:rsidRPr="006B6D61">
        <w:t>933</w:t>
      </w:r>
      <w:r w:rsidRPr="006B6D61">
        <w:t xml:space="preserve"> tis. Kč byl v průběhu roku 202</w:t>
      </w:r>
      <w:r w:rsidR="00943EE8" w:rsidRPr="006B6D61">
        <w:t>3</w:t>
      </w:r>
      <w:r w:rsidR="00943EE8">
        <w:t xml:space="preserve"> po zapojení nároků</w:t>
      </w:r>
      <w:r w:rsidRPr="006B6D61">
        <w:t xml:space="preserve"> navyšován </w:t>
      </w:r>
      <w:r w:rsidR="00943EE8" w:rsidRPr="006B6D61">
        <w:br/>
      </w:r>
      <w:r w:rsidRPr="006B6D61">
        <w:t xml:space="preserve">o 2 </w:t>
      </w:r>
      <w:r w:rsidR="00714B98" w:rsidRPr="006B6D61">
        <w:t>176</w:t>
      </w:r>
      <w:r w:rsidRPr="006B6D61">
        <w:t xml:space="preserve"> tis. Kč. Čerpány byly prostředky ve výši 1</w:t>
      </w:r>
      <w:r w:rsidR="00714B98" w:rsidRPr="006B6D61">
        <w:t>3 109</w:t>
      </w:r>
      <w:r w:rsidRPr="006B6D61">
        <w:t xml:space="preserve"> tis. Kč. </w:t>
      </w:r>
    </w:p>
    <w:p w14:paraId="7C6AEE4A" w14:textId="5E8A709A" w:rsidR="002657E8" w:rsidRPr="006B6D61" w:rsidRDefault="002657E8" w:rsidP="002657E8">
      <w:pPr>
        <w:pStyle w:val="KOMtext"/>
      </w:pPr>
      <w:r w:rsidRPr="006B6D61">
        <w:lastRenderedPageBreak/>
        <w:t xml:space="preserve">Prostředky ve výši 9 </w:t>
      </w:r>
      <w:r w:rsidR="009216D1" w:rsidRPr="006B6D61">
        <w:t>4</w:t>
      </w:r>
      <w:r w:rsidRPr="006B6D61">
        <w:t xml:space="preserve">00 tis. Kč jsou určeny pro spolky v oblasti civilního letectví, které jsou v souladu se zákonem č. 49/1997 Sb., o civilním letectví, ve znění pozdějších předpisů, pověřeny Ministerstvem dopravy přeneseným výkonem státní správy ve věci ověřování letové způsobilosti sportovních létajících zařízení, způsobilosti jejich uživatelů včetně evidence </w:t>
      </w:r>
      <w:r w:rsidRPr="006B6D61">
        <w:br/>
        <w:t xml:space="preserve">a vydávání příslušných dokladů a dohledu nad činností uživatelů sportovních létajících zařízení v rámci jejich provozu. </w:t>
      </w:r>
    </w:p>
    <w:p w14:paraId="2D448AC4" w14:textId="4F8DCE3D" w:rsidR="002657E8" w:rsidRPr="006B6D61" w:rsidRDefault="002657E8" w:rsidP="002657E8">
      <w:pPr>
        <w:pStyle w:val="KOMtext"/>
      </w:pPr>
      <w:r w:rsidRPr="006B6D61">
        <w:t>V roce 202</w:t>
      </w:r>
      <w:r w:rsidR="009216D1" w:rsidRPr="006B6D61">
        <w:t>3</w:t>
      </w:r>
      <w:r w:rsidRPr="006B6D61">
        <w:t xml:space="preserve"> čerpal dotaci ve výši 9 </w:t>
      </w:r>
      <w:r w:rsidR="009216D1" w:rsidRPr="006B6D61">
        <w:t>4</w:t>
      </w:r>
      <w:r w:rsidRPr="006B6D61">
        <w:t xml:space="preserve">00 tis. Kč pouze jeden spolek, a to Letecká amatérská asociace ČR, která provádí dohled nad výcvikem a přezkušováním pilotů ultralehkých letadel, </w:t>
      </w:r>
      <w:proofErr w:type="spellStart"/>
      <w:r w:rsidRPr="006B6D61">
        <w:t>paraglidů</w:t>
      </w:r>
      <w:proofErr w:type="spellEnd"/>
      <w:r w:rsidRPr="006B6D61">
        <w:t xml:space="preserve"> a závěsných letadel, vydává a vede rejstříky pilotních průkazů, průkazů techniků, průkazů letové způsobilosti letadel, vydaných oprávnění k výrobě, k opravám a zkušebnictví letecké techniky. Rovněž provádí šetření leteckých nehod a mimořádných událostí. </w:t>
      </w:r>
    </w:p>
    <w:p w14:paraId="73109E82" w14:textId="1C742263" w:rsidR="0093133C" w:rsidRPr="0077128B" w:rsidRDefault="0093133C" w:rsidP="0093133C">
      <w:pPr>
        <w:pStyle w:val="KOMtext"/>
        <w:rPr>
          <w:color w:val="FF0000"/>
        </w:rPr>
      </w:pPr>
      <w:r w:rsidRPr="006B6D61">
        <w:t xml:space="preserve">V souladu s usnesením vlády ze dne 15. 11. 2021 č. 1026 se Ministerstvo dopravy podílelo </w:t>
      </w:r>
      <w:r w:rsidR="00EF520B">
        <w:br/>
      </w:r>
      <w:r w:rsidRPr="006B6D61">
        <w:t>na financování projektu „</w:t>
      </w:r>
      <w:proofErr w:type="spellStart"/>
      <w:r w:rsidRPr="006B6D61">
        <w:t>Legiovlak</w:t>
      </w:r>
      <w:proofErr w:type="spellEnd"/>
      <w:r w:rsidRPr="006B6D61">
        <w:t xml:space="preserve">“. Prostředky ve výši 1 </w:t>
      </w:r>
      <w:r w:rsidR="005C2947" w:rsidRPr="006B6D61">
        <w:t>533</w:t>
      </w:r>
      <w:r w:rsidRPr="006B6D61">
        <w:t xml:space="preserve"> tis. Kč byly určeny na přepravu a provoz </w:t>
      </w:r>
      <w:proofErr w:type="spellStart"/>
      <w:r w:rsidRPr="006B6D61">
        <w:t>Legiovlak</w:t>
      </w:r>
      <w:r w:rsidR="00FA2D75" w:rsidRPr="006B6D61">
        <w:t>u</w:t>
      </w:r>
      <w:proofErr w:type="spellEnd"/>
      <w:r w:rsidRPr="006B6D61">
        <w:t>. Prostředky čerpal spolek Československá obec legionářská.</w:t>
      </w:r>
    </w:p>
    <w:p w14:paraId="4DB18C5F" w14:textId="0379F1BA" w:rsidR="004B16BF" w:rsidRPr="006B6D61" w:rsidRDefault="004B16BF" w:rsidP="004B16BF">
      <w:pPr>
        <w:pStyle w:val="KOMtext"/>
      </w:pPr>
      <w:r w:rsidRPr="006B6D61">
        <w:t xml:space="preserve">Pro rok 2023 nebyly v rámci programu 127 67 Podpora obnovy historických železničních kolejových vozidel v období </w:t>
      </w:r>
      <w:proofErr w:type="gramStart"/>
      <w:r w:rsidRPr="006B6D61">
        <w:t>2021 – 2023</w:t>
      </w:r>
      <w:proofErr w:type="gramEnd"/>
      <w:r w:rsidRPr="006B6D61">
        <w:t xml:space="preserve"> spolkům rozpočtovány žádné neinvestiční transfery. Během roku byly rozpočtovými opatřeními v rozpočtu po změnách vyčleněny prostředky na realizaci 8 akcí. Navýšení o částku 1 476 tis. Kč bylo realizováno souvztažným snížením prostředků vyčleněných ve prospěch podnikatelských subjektů. Do financování potřeb programu byly zapojeny i nároky ve výši 700 tis. Kč.</w:t>
      </w:r>
    </w:p>
    <w:p w14:paraId="612E598F" w14:textId="59684CA9" w:rsidR="004B16BF" w:rsidRPr="0077128B" w:rsidRDefault="004B16BF" w:rsidP="004B16BF">
      <w:pPr>
        <w:pStyle w:val="KOMtext"/>
        <w:rPr>
          <w:color w:val="FF0000"/>
        </w:rPr>
      </w:pPr>
      <w:r w:rsidRPr="006B6D61">
        <w:t xml:space="preserve">K 31.12.2023 byly vyčerpány prostředky v plné výši 2 176 tis. Kč. Příjemci dotací byly Pardubický spolek historie železniční dopravy (2 akce za 167 tis. Kč a 194 tis. Kč), Muzeum starých strojů a technologií, </w:t>
      </w:r>
      <w:proofErr w:type="spellStart"/>
      <w:r w:rsidRPr="006B6D61">
        <w:t>z.s</w:t>
      </w:r>
      <w:proofErr w:type="spellEnd"/>
      <w:r w:rsidRPr="006B6D61">
        <w:t xml:space="preserve">. (700 tis. Kč), Klub přátel železnic Českého ráje (556 tis. Kč), Společnost železniční výtopna Jaroměř, </w:t>
      </w:r>
      <w:proofErr w:type="spellStart"/>
      <w:r w:rsidRPr="006B6D61">
        <w:t>z.s</w:t>
      </w:r>
      <w:proofErr w:type="spellEnd"/>
      <w:r w:rsidRPr="006B6D61">
        <w:t xml:space="preserve">. (2 akce za 70 tis. Kč a 100 tis. Kč), Zubrnická </w:t>
      </w:r>
      <w:proofErr w:type="gramStart"/>
      <w:r w:rsidRPr="006B6D61">
        <w:t>museální</w:t>
      </w:r>
      <w:proofErr w:type="gramEnd"/>
      <w:r w:rsidRPr="006B6D61">
        <w:t xml:space="preserve"> železnice, </w:t>
      </w:r>
      <w:proofErr w:type="spellStart"/>
      <w:r w:rsidRPr="006B6D61">
        <w:t>z.s</w:t>
      </w:r>
      <w:proofErr w:type="spellEnd"/>
      <w:r w:rsidRPr="006B6D61">
        <w:t xml:space="preserve">.  (68 tis. Kč) a Letohradský železniční klub, </w:t>
      </w:r>
      <w:proofErr w:type="spellStart"/>
      <w:r w:rsidRPr="006B6D61">
        <w:t>z.s</w:t>
      </w:r>
      <w:proofErr w:type="spellEnd"/>
      <w:r w:rsidRPr="006B6D61">
        <w:t>. (321 tis. Kč).</w:t>
      </w:r>
    </w:p>
    <w:p w14:paraId="1A554339" w14:textId="77777777" w:rsidR="002657E8" w:rsidRPr="006B6D61" w:rsidRDefault="002657E8" w:rsidP="00BA4E5A">
      <w:pPr>
        <w:pStyle w:val="KOMnadp5"/>
        <w:rPr>
          <w:color w:val="auto"/>
        </w:rPr>
      </w:pPr>
      <w:r w:rsidRPr="006B6D61">
        <w:rPr>
          <w:color w:val="auto"/>
        </w:rPr>
        <w:t>Neinvestiční transfery obecně prospěšným společnostem</w:t>
      </w:r>
    </w:p>
    <w:p w14:paraId="679B7535" w14:textId="77777777" w:rsidR="00FD40FD" w:rsidRPr="000E62DB" w:rsidRDefault="00FD40FD" w:rsidP="006B6D61">
      <w:pPr>
        <w:pStyle w:val="KOMtext"/>
      </w:pPr>
      <w:r w:rsidRPr="000E62DB">
        <w:t>V roce 202</w:t>
      </w:r>
      <w:r>
        <w:t>3</w:t>
      </w:r>
      <w:r w:rsidRPr="000E62DB">
        <w:t xml:space="preserve"> nebyly rozpočtovány ani čerpány žádné prostředky.</w:t>
      </w:r>
    </w:p>
    <w:p w14:paraId="32339998" w14:textId="77777777" w:rsidR="002657E8" w:rsidRPr="006B6D61" w:rsidRDefault="002657E8" w:rsidP="00BA4E5A">
      <w:pPr>
        <w:pStyle w:val="KOMnadp5"/>
        <w:rPr>
          <w:b/>
          <w:color w:val="auto"/>
        </w:rPr>
      </w:pPr>
      <w:r w:rsidRPr="006B6D61">
        <w:rPr>
          <w:color w:val="auto"/>
        </w:rPr>
        <w:t>Neinvestiční transfery církvím a náboženským společnostem</w:t>
      </w:r>
    </w:p>
    <w:p w14:paraId="00983B88" w14:textId="6AD6672D" w:rsidR="002657E8" w:rsidRPr="006B6D61" w:rsidRDefault="002657E8" w:rsidP="002657E8">
      <w:pPr>
        <w:pStyle w:val="KOMtext"/>
      </w:pPr>
      <w:r w:rsidRPr="006B6D61">
        <w:t>V</w:t>
      </w:r>
      <w:r w:rsidR="003B67AB" w:rsidRPr="006B6D61">
        <w:t> roce 202</w:t>
      </w:r>
      <w:r w:rsidR="00FD40FD">
        <w:t>3</w:t>
      </w:r>
      <w:r w:rsidR="003B67AB" w:rsidRPr="006B6D61">
        <w:t xml:space="preserve"> nebyly</w:t>
      </w:r>
      <w:r w:rsidR="001624C0" w:rsidRPr="006B6D61">
        <w:t xml:space="preserve"> rozpočtovány ani</w:t>
      </w:r>
      <w:r w:rsidR="003B67AB" w:rsidRPr="006B6D61">
        <w:t xml:space="preserve"> čerpány žádné prostředky.</w:t>
      </w:r>
    </w:p>
    <w:p w14:paraId="1ED23EAB" w14:textId="1FA4DF12" w:rsidR="001624C0" w:rsidRPr="006B6D61" w:rsidRDefault="001624C0" w:rsidP="008A0E44">
      <w:pPr>
        <w:pStyle w:val="KOMnadp4"/>
      </w:pPr>
      <w:r w:rsidRPr="006B6D61">
        <w:t>Investiční transfery</w:t>
      </w:r>
    </w:p>
    <w:p w14:paraId="130E7F1F" w14:textId="3E4117B8" w:rsidR="001624C0" w:rsidRDefault="001624C0">
      <w:pPr>
        <w:pStyle w:val="KOMtext"/>
      </w:pPr>
      <w:r w:rsidRPr="006B6D61">
        <w:t>V roce 202</w:t>
      </w:r>
      <w:r w:rsidR="00F832D7" w:rsidRPr="006B6D61">
        <w:t>3</w:t>
      </w:r>
      <w:r w:rsidRPr="006B6D61">
        <w:t xml:space="preserve"> nebyly rozpočtovány ani čerpány žádné prostředky.</w:t>
      </w:r>
    </w:p>
    <w:p w14:paraId="237BAB11" w14:textId="77777777" w:rsidR="0003282F" w:rsidRDefault="0003282F">
      <w:pPr>
        <w:pStyle w:val="KOMtext"/>
      </w:pPr>
    </w:p>
    <w:p w14:paraId="37C6B0BD" w14:textId="77777777" w:rsidR="00A722A3" w:rsidRPr="006B6D61" w:rsidRDefault="00A722A3">
      <w:pPr>
        <w:pStyle w:val="KOMtext"/>
      </w:pPr>
    </w:p>
    <w:p w14:paraId="612C2EBB" w14:textId="7AFCE62F" w:rsidR="00D9370D" w:rsidRPr="006B6D61" w:rsidRDefault="00D9370D" w:rsidP="00E20BD6">
      <w:pPr>
        <w:pStyle w:val="KOMnadp3"/>
      </w:pPr>
      <w:bookmarkStart w:id="1017" w:name="_Toc129868399"/>
      <w:bookmarkStart w:id="1018" w:name="_Toc130304397"/>
      <w:bookmarkStart w:id="1019" w:name="_Toc128397733"/>
      <w:bookmarkStart w:id="1020" w:name="_Toc128397866"/>
      <w:bookmarkStart w:id="1021" w:name="_Toc128398087"/>
      <w:bookmarkStart w:id="1022" w:name="_Toc128398430"/>
      <w:bookmarkStart w:id="1023" w:name="_Toc128398556"/>
      <w:bookmarkStart w:id="1024" w:name="_Toc128398769"/>
      <w:bookmarkStart w:id="1025" w:name="_Toc128400085"/>
      <w:bookmarkStart w:id="1026" w:name="_Toc128401325"/>
      <w:bookmarkStart w:id="1027" w:name="_Toc128401453"/>
      <w:bookmarkStart w:id="1028" w:name="_Toc128401940"/>
      <w:bookmarkStart w:id="1029" w:name="_Toc128400086"/>
      <w:bookmarkStart w:id="1030" w:name="_Toc162269274"/>
      <w:bookmarkEnd w:id="1017"/>
      <w:bookmarkEnd w:id="1018"/>
      <w:bookmarkEnd w:id="1019"/>
      <w:bookmarkEnd w:id="1020"/>
      <w:bookmarkEnd w:id="1021"/>
      <w:bookmarkEnd w:id="1022"/>
      <w:bookmarkEnd w:id="1023"/>
      <w:bookmarkEnd w:id="1024"/>
      <w:bookmarkEnd w:id="1025"/>
      <w:bookmarkEnd w:id="1026"/>
      <w:bookmarkEnd w:id="1027"/>
      <w:bookmarkEnd w:id="1028"/>
      <w:r w:rsidRPr="006B6D61">
        <w:lastRenderedPageBreak/>
        <w:t>Transfery do zahraničí</w:t>
      </w:r>
      <w:bookmarkEnd w:id="1029"/>
      <w:bookmarkEnd w:id="1030"/>
    </w:p>
    <w:tbl>
      <w:tblPr>
        <w:tblW w:w="0" w:type="auto"/>
        <w:tblCellMar>
          <w:left w:w="70" w:type="dxa"/>
          <w:right w:w="70" w:type="dxa"/>
        </w:tblCellMar>
        <w:tblLook w:val="04A0" w:firstRow="1" w:lastRow="0" w:firstColumn="1" w:lastColumn="0" w:noHBand="0" w:noVBand="1"/>
      </w:tblPr>
      <w:tblGrid>
        <w:gridCol w:w="185"/>
        <w:gridCol w:w="1819"/>
        <w:gridCol w:w="1201"/>
        <w:gridCol w:w="1212"/>
        <w:gridCol w:w="1224"/>
        <w:gridCol w:w="1290"/>
        <w:gridCol w:w="1149"/>
        <w:gridCol w:w="992"/>
      </w:tblGrid>
      <w:tr w:rsidR="002F1BE7" w:rsidRPr="0044012B" w14:paraId="5E3071AE" w14:textId="77777777" w:rsidTr="006B6D61">
        <w:trPr>
          <w:trHeight w:val="300"/>
        </w:trPr>
        <w:tc>
          <w:tcPr>
            <w:tcW w:w="0" w:type="auto"/>
            <w:gridSpan w:val="8"/>
            <w:tcBorders>
              <w:top w:val="nil"/>
              <w:left w:val="nil"/>
              <w:bottom w:val="nil"/>
              <w:right w:val="nil"/>
            </w:tcBorders>
            <w:shd w:val="clear" w:color="000000" w:fill="FFFFFF"/>
            <w:noWrap/>
            <w:vAlign w:val="bottom"/>
            <w:hideMark/>
          </w:tcPr>
          <w:p w14:paraId="0A4041FE" w14:textId="77777777" w:rsidR="00E827A7" w:rsidRPr="002F1BE7" w:rsidRDefault="00E827A7" w:rsidP="00E827A7">
            <w:pPr>
              <w:spacing w:after="0"/>
              <w:jc w:val="right"/>
              <w:rPr>
                <w:rFonts w:cstheme="minorHAnsi"/>
                <w:color w:val="FF0000"/>
                <w:sz w:val="20"/>
                <w:szCs w:val="20"/>
              </w:rPr>
            </w:pPr>
            <w:r w:rsidRPr="006B6D61">
              <w:rPr>
                <w:rFonts w:cstheme="minorHAnsi"/>
                <w:sz w:val="20"/>
                <w:szCs w:val="20"/>
              </w:rPr>
              <w:t>v tis. Kč</w:t>
            </w:r>
          </w:p>
        </w:tc>
      </w:tr>
      <w:tr w:rsidR="00A32897" w:rsidRPr="0044012B" w14:paraId="659A05C6" w14:textId="77777777" w:rsidTr="00EF72E1">
        <w:trPr>
          <w:trHeight w:val="372"/>
        </w:trPr>
        <w:tc>
          <w:tcPr>
            <w:tcW w:w="2004" w:type="dxa"/>
            <w:gridSpan w:val="2"/>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03861A33" w14:textId="77777777" w:rsidR="00E827A7" w:rsidRPr="006B6D61" w:rsidRDefault="00E827A7" w:rsidP="00E827A7">
            <w:pPr>
              <w:spacing w:after="0"/>
              <w:jc w:val="center"/>
              <w:rPr>
                <w:rFonts w:cstheme="minorHAnsi"/>
                <w:b/>
                <w:sz w:val="20"/>
                <w:szCs w:val="20"/>
              </w:rPr>
            </w:pPr>
            <w:r w:rsidRPr="006B6D61">
              <w:rPr>
                <w:rFonts w:cstheme="minorHAnsi"/>
                <w:b/>
                <w:sz w:val="20"/>
                <w:szCs w:val="20"/>
              </w:rPr>
              <w:t>Ukazatel</w:t>
            </w:r>
          </w:p>
        </w:tc>
        <w:tc>
          <w:tcPr>
            <w:tcW w:w="1201" w:type="dxa"/>
            <w:vMerge w:val="restart"/>
            <w:tcBorders>
              <w:top w:val="single" w:sz="4" w:space="0" w:color="000000"/>
              <w:left w:val="nil"/>
              <w:right w:val="single" w:sz="4" w:space="0" w:color="000000"/>
            </w:tcBorders>
            <w:shd w:val="clear" w:color="auto" w:fill="D9D9D9" w:themeFill="background1" w:themeFillShade="D9"/>
            <w:vAlign w:val="center"/>
          </w:tcPr>
          <w:p w14:paraId="4AA7BEEA" w14:textId="0447E11C" w:rsidR="00E827A7" w:rsidRPr="006B6D61" w:rsidRDefault="00E827A7" w:rsidP="00E827A7">
            <w:pPr>
              <w:spacing w:after="0"/>
              <w:jc w:val="center"/>
              <w:rPr>
                <w:rFonts w:cstheme="minorHAnsi"/>
                <w:b/>
                <w:sz w:val="20"/>
                <w:szCs w:val="20"/>
              </w:rPr>
            </w:pPr>
            <w:r w:rsidRPr="006B6D61">
              <w:rPr>
                <w:rFonts w:cstheme="minorHAnsi"/>
                <w:b/>
                <w:sz w:val="20"/>
                <w:szCs w:val="20"/>
              </w:rPr>
              <w:t>Skutečnost 202</w:t>
            </w:r>
            <w:r w:rsidR="005E1F4F" w:rsidRPr="006B6D61">
              <w:rPr>
                <w:rFonts w:cstheme="minorHAnsi"/>
                <w:b/>
                <w:sz w:val="20"/>
                <w:szCs w:val="20"/>
              </w:rPr>
              <w:t>2</w:t>
            </w:r>
          </w:p>
        </w:tc>
        <w:tc>
          <w:tcPr>
            <w:tcW w:w="3726" w:type="dxa"/>
            <w:gridSpan w:val="3"/>
            <w:tcBorders>
              <w:top w:val="single" w:sz="4" w:space="0" w:color="000000"/>
              <w:left w:val="nil"/>
              <w:bottom w:val="single" w:sz="4" w:space="0" w:color="000000"/>
              <w:right w:val="single" w:sz="4" w:space="0" w:color="000000"/>
            </w:tcBorders>
            <w:shd w:val="clear" w:color="auto" w:fill="D9D9D9" w:themeFill="background1" w:themeFillShade="D9"/>
            <w:vAlign w:val="center"/>
          </w:tcPr>
          <w:p w14:paraId="2053ED2D" w14:textId="5493ABA3" w:rsidR="00E827A7" w:rsidRPr="006B6D61" w:rsidRDefault="00E827A7" w:rsidP="00E827A7">
            <w:pPr>
              <w:spacing w:after="0"/>
              <w:jc w:val="center"/>
              <w:rPr>
                <w:rFonts w:cstheme="minorHAnsi"/>
                <w:b/>
                <w:sz w:val="20"/>
                <w:szCs w:val="20"/>
              </w:rPr>
            </w:pPr>
            <w:r w:rsidRPr="006B6D61">
              <w:rPr>
                <w:rFonts w:cstheme="minorHAnsi"/>
                <w:b/>
                <w:sz w:val="20"/>
                <w:szCs w:val="20"/>
              </w:rPr>
              <w:t>Rozpočet 202</w:t>
            </w:r>
            <w:r w:rsidR="005E1F4F" w:rsidRPr="006B6D61">
              <w:rPr>
                <w:rFonts w:cstheme="minorHAnsi"/>
                <w:b/>
                <w:sz w:val="20"/>
                <w:szCs w:val="20"/>
              </w:rPr>
              <w:t>3</w:t>
            </w:r>
          </w:p>
        </w:tc>
        <w:tc>
          <w:tcPr>
            <w:tcW w:w="1149" w:type="dxa"/>
            <w:vMerge w:val="restart"/>
            <w:tcBorders>
              <w:top w:val="single" w:sz="4" w:space="0" w:color="000000"/>
              <w:left w:val="nil"/>
              <w:right w:val="single" w:sz="4" w:space="0" w:color="000000"/>
            </w:tcBorders>
            <w:shd w:val="clear" w:color="auto" w:fill="D9D9D9" w:themeFill="background1" w:themeFillShade="D9"/>
            <w:vAlign w:val="center"/>
          </w:tcPr>
          <w:p w14:paraId="4EBEACD7" w14:textId="77777777" w:rsidR="00E827A7" w:rsidRPr="006B6D61" w:rsidRDefault="00E827A7" w:rsidP="00E827A7">
            <w:pPr>
              <w:spacing w:after="0"/>
              <w:jc w:val="center"/>
              <w:rPr>
                <w:rFonts w:cstheme="minorHAnsi"/>
                <w:b/>
                <w:sz w:val="20"/>
                <w:szCs w:val="20"/>
              </w:rPr>
            </w:pPr>
            <w:r w:rsidRPr="006B6D61">
              <w:rPr>
                <w:rFonts w:cstheme="minorHAnsi"/>
                <w:b/>
                <w:sz w:val="20"/>
                <w:szCs w:val="20"/>
              </w:rPr>
              <w:t>Skutečnost</w:t>
            </w:r>
          </w:p>
          <w:p w14:paraId="03F9979D" w14:textId="402C7C75" w:rsidR="00E827A7" w:rsidRPr="006B6D61" w:rsidRDefault="00E827A7" w:rsidP="00E827A7">
            <w:pPr>
              <w:spacing w:after="0"/>
              <w:jc w:val="center"/>
              <w:rPr>
                <w:rFonts w:cstheme="minorHAnsi"/>
                <w:b/>
                <w:sz w:val="20"/>
                <w:szCs w:val="20"/>
              </w:rPr>
            </w:pPr>
            <w:r w:rsidRPr="006B6D61">
              <w:rPr>
                <w:rFonts w:cstheme="minorHAnsi"/>
                <w:b/>
                <w:sz w:val="20"/>
                <w:szCs w:val="20"/>
              </w:rPr>
              <w:t>202</w:t>
            </w:r>
            <w:r w:rsidR="005E1F4F" w:rsidRPr="006B6D61">
              <w:rPr>
                <w:rFonts w:cstheme="minorHAnsi"/>
                <w:b/>
                <w:sz w:val="20"/>
                <w:szCs w:val="20"/>
              </w:rPr>
              <w:t>3</w:t>
            </w:r>
          </w:p>
        </w:tc>
        <w:tc>
          <w:tcPr>
            <w:tcW w:w="992" w:type="dxa"/>
            <w:vMerge w:val="restart"/>
            <w:tcBorders>
              <w:top w:val="single" w:sz="4" w:space="0" w:color="000000"/>
              <w:left w:val="nil"/>
              <w:right w:val="single" w:sz="4" w:space="0" w:color="000000"/>
            </w:tcBorders>
            <w:shd w:val="clear" w:color="auto" w:fill="D9D9D9" w:themeFill="background1" w:themeFillShade="D9"/>
            <w:vAlign w:val="center"/>
          </w:tcPr>
          <w:p w14:paraId="193A1DE8" w14:textId="77777777" w:rsidR="00E827A7" w:rsidRPr="006B6D61" w:rsidRDefault="00E827A7" w:rsidP="00E827A7">
            <w:pPr>
              <w:spacing w:after="0"/>
              <w:jc w:val="center"/>
              <w:rPr>
                <w:rFonts w:cstheme="minorHAnsi"/>
                <w:b/>
                <w:sz w:val="20"/>
                <w:szCs w:val="20"/>
              </w:rPr>
            </w:pPr>
            <w:r w:rsidRPr="006B6D61">
              <w:rPr>
                <w:rFonts w:cstheme="minorHAnsi"/>
                <w:b/>
                <w:sz w:val="20"/>
                <w:szCs w:val="20"/>
              </w:rPr>
              <w:t xml:space="preserve">Index </w:t>
            </w:r>
            <w:r w:rsidRPr="006B6D61">
              <w:rPr>
                <w:rFonts w:cstheme="minorHAnsi"/>
                <w:b/>
                <w:sz w:val="20"/>
                <w:szCs w:val="20"/>
              </w:rPr>
              <w:br/>
              <w:t>(v %)</w:t>
            </w:r>
          </w:p>
        </w:tc>
      </w:tr>
      <w:tr w:rsidR="00A32897" w:rsidRPr="0044012B" w14:paraId="54917CC7" w14:textId="77777777" w:rsidTr="00EF72E1">
        <w:trPr>
          <w:trHeight w:val="433"/>
        </w:trPr>
        <w:tc>
          <w:tcPr>
            <w:tcW w:w="2004" w:type="dxa"/>
            <w:gridSpan w:val="2"/>
            <w:vMerge/>
            <w:tcBorders>
              <w:left w:val="single" w:sz="4" w:space="0" w:color="auto"/>
              <w:bottom w:val="single" w:sz="4" w:space="0" w:color="auto"/>
              <w:right w:val="single" w:sz="4" w:space="0" w:color="auto"/>
            </w:tcBorders>
            <w:shd w:val="clear" w:color="000000" w:fill="FFFFFF"/>
            <w:noWrap/>
            <w:vAlign w:val="center"/>
            <w:hideMark/>
          </w:tcPr>
          <w:p w14:paraId="60DC7B7B" w14:textId="77777777" w:rsidR="00E827A7" w:rsidRPr="0077128B" w:rsidRDefault="00E827A7" w:rsidP="00E827A7">
            <w:pPr>
              <w:spacing w:after="0"/>
              <w:jc w:val="center"/>
              <w:rPr>
                <w:rFonts w:cstheme="minorHAnsi"/>
                <w:color w:val="FF0000"/>
                <w:sz w:val="20"/>
                <w:szCs w:val="20"/>
              </w:rPr>
            </w:pPr>
          </w:p>
        </w:tc>
        <w:tc>
          <w:tcPr>
            <w:tcW w:w="1201" w:type="dxa"/>
            <w:vMerge/>
            <w:tcBorders>
              <w:left w:val="nil"/>
              <w:bottom w:val="single" w:sz="4" w:space="0" w:color="000000"/>
              <w:right w:val="single" w:sz="4" w:space="0" w:color="000000"/>
            </w:tcBorders>
            <w:shd w:val="clear" w:color="auto" w:fill="auto"/>
            <w:vAlign w:val="center"/>
            <w:hideMark/>
          </w:tcPr>
          <w:p w14:paraId="057A15DF" w14:textId="77777777" w:rsidR="00E827A7" w:rsidRPr="002F1BE7" w:rsidRDefault="00E827A7" w:rsidP="00E827A7">
            <w:pPr>
              <w:spacing w:after="0"/>
              <w:jc w:val="center"/>
              <w:rPr>
                <w:rFonts w:cstheme="minorHAnsi"/>
                <w:color w:val="FF0000"/>
                <w:sz w:val="20"/>
                <w:szCs w:val="20"/>
              </w:rPr>
            </w:pPr>
          </w:p>
        </w:tc>
        <w:tc>
          <w:tcPr>
            <w:tcW w:w="1212"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37A5CCFA" w14:textId="77777777" w:rsidR="00E827A7" w:rsidRPr="006B6D61" w:rsidRDefault="00E827A7" w:rsidP="00E827A7">
            <w:pPr>
              <w:spacing w:after="0"/>
              <w:jc w:val="center"/>
              <w:rPr>
                <w:rFonts w:cstheme="minorHAnsi"/>
                <w:b/>
                <w:sz w:val="20"/>
                <w:szCs w:val="20"/>
              </w:rPr>
            </w:pPr>
            <w:r w:rsidRPr="006B6D61">
              <w:rPr>
                <w:rFonts w:cstheme="minorHAnsi"/>
                <w:b/>
                <w:sz w:val="20"/>
                <w:szCs w:val="20"/>
              </w:rPr>
              <w:t xml:space="preserve">schválený </w:t>
            </w:r>
          </w:p>
        </w:tc>
        <w:tc>
          <w:tcPr>
            <w:tcW w:w="1224"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6EB558CD" w14:textId="77777777" w:rsidR="00E827A7" w:rsidRPr="006B6D61" w:rsidRDefault="00E827A7" w:rsidP="00E827A7">
            <w:pPr>
              <w:spacing w:after="0"/>
              <w:jc w:val="center"/>
              <w:rPr>
                <w:rFonts w:cstheme="minorHAnsi"/>
                <w:b/>
                <w:sz w:val="20"/>
                <w:szCs w:val="20"/>
              </w:rPr>
            </w:pPr>
            <w:r w:rsidRPr="006B6D61">
              <w:rPr>
                <w:rFonts w:cstheme="minorHAnsi"/>
                <w:b/>
                <w:sz w:val="20"/>
                <w:szCs w:val="20"/>
              </w:rPr>
              <w:t>po změnách</w:t>
            </w:r>
          </w:p>
        </w:tc>
        <w:tc>
          <w:tcPr>
            <w:tcW w:w="1290"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3E1CA357" w14:textId="77777777" w:rsidR="00E827A7" w:rsidRPr="006B6D61" w:rsidRDefault="00E827A7" w:rsidP="00E827A7">
            <w:pPr>
              <w:spacing w:after="0"/>
              <w:jc w:val="center"/>
              <w:rPr>
                <w:rFonts w:cstheme="minorHAnsi"/>
                <w:b/>
                <w:sz w:val="20"/>
                <w:szCs w:val="20"/>
              </w:rPr>
            </w:pPr>
            <w:r w:rsidRPr="006B6D61">
              <w:rPr>
                <w:rFonts w:cstheme="minorHAnsi"/>
                <w:b/>
                <w:sz w:val="20"/>
                <w:szCs w:val="20"/>
              </w:rPr>
              <w:t>konečný</w:t>
            </w:r>
          </w:p>
        </w:tc>
        <w:tc>
          <w:tcPr>
            <w:tcW w:w="1149" w:type="dxa"/>
            <w:vMerge/>
            <w:tcBorders>
              <w:left w:val="nil"/>
              <w:bottom w:val="single" w:sz="4" w:space="0" w:color="000000"/>
              <w:right w:val="single" w:sz="4" w:space="0" w:color="000000"/>
            </w:tcBorders>
            <w:shd w:val="clear" w:color="auto" w:fill="auto"/>
            <w:vAlign w:val="center"/>
            <w:hideMark/>
          </w:tcPr>
          <w:p w14:paraId="6BB3059D" w14:textId="77777777" w:rsidR="00E827A7" w:rsidRPr="002F1BE7" w:rsidRDefault="00E827A7" w:rsidP="00E827A7">
            <w:pPr>
              <w:spacing w:after="0"/>
              <w:jc w:val="center"/>
              <w:rPr>
                <w:rFonts w:cstheme="minorHAnsi"/>
                <w:color w:val="FF0000"/>
                <w:sz w:val="20"/>
                <w:szCs w:val="20"/>
              </w:rPr>
            </w:pPr>
          </w:p>
        </w:tc>
        <w:tc>
          <w:tcPr>
            <w:tcW w:w="992" w:type="dxa"/>
            <w:vMerge/>
            <w:tcBorders>
              <w:left w:val="nil"/>
              <w:bottom w:val="single" w:sz="4" w:space="0" w:color="000000"/>
              <w:right w:val="single" w:sz="4" w:space="0" w:color="000000"/>
            </w:tcBorders>
            <w:shd w:val="clear" w:color="auto" w:fill="auto"/>
            <w:vAlign w:val="center"/>
            <w:hideMark/>
          </w:tcPr>
          <w:p w14:paraId="4DEB3D0A" w14:textId="77777777" w:rsidR="00E827A7" w:rsidRPr="002F1BE7" w:rsidRDefault="00E827A7" w:rsidP="00E827A7">
            <w:pPr>
              <w:spacing w:after="0"/>
              <w:jc w:val="center"/>
              <w:rPr>
                <w:rFonts w:cstheme="minorHAnsi"/>
                <w:color w:val="FF0000"/>
                <w:sz w:val="20"/>
                <w:szCs w:val="20"/>
              </w:rPr>
            </w:pPr>
          </w:p>
        </w:tc>
      </w:tr>
      <w:tr w:rsidR="002F1BE7" w:rsidRPr="0044012B" w14:paraId="7386F4CA" w14:textId="77777777" w:rsidTr="006B6D61">
        <w:trPr>
          <w:trHeight w:val="300"/>
        </w:trPr>
        <w:tc>
          <w:tcPr>
            <w:tcW w:w="200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CB775" w14:textId="77777777" w:rsidR="00E827A7" w:rsidRPr="006B6D61" w:rsidRDefault="00E827A7" w:rsidP="00E827A7">
            <w:pPr>
              <w:spacing w:after="0"/>
              <w:jc w:val="center"/>
              <w:rPr>
                <w:rFonts w:cstheme="minorHAnsi"/>
                <w:sz w:val="20"/>
                <w:szCs w:val="20"/>
              </w:rPr>
            </w:pPr>
            <w:r w:rsidRPr="006B6D61">
              <w:rPr>
                <w:rFonts w:cstheme="minorHAnsi"/>
                <w:sz w:val="20"/>
                <w:szCs w:val="20"/>
              </w:rPr>
              <w:t>a</w:t>
            </w:r>
          </w:p>
        </w:tc>
        <w:tc>
          <w:tcPr>
            <w:tcW w:w="1201" w:type="dxa"/>
            <w:tcBorders>
              <w:top w:val="nil"/>
              <w:left w:val="nil"/>
              <w:bottom w:val="single" w:sz="4" w:space="0" w:color="auto"/>
              <w:right w:val="single" w:sz="4" w:space="0" w:color="auto"/>
            </w:tcBorders>
            <w:shd w:val="clear" w:color="auto" w:fill="auto"/>
            <w:noWrap/>
            <w:vAlign w:val="center"/>
            <w:hideMark/>
          </w:tcPr>
          <w:p w14:paraId="21C6E331" w14:textId="77777777" w:rsidR="00E827A7" w:rsidRPr="006B6D61" w:rsidRDefault="00E827A7" w:rsidP="00E827A7">
            <w:pPr>
              <w:spacing w:after="0"/>
              <w:jc w:val="center"/>
              <w:rPr>
                <w:rFonts w:cstheme="minorHAnsi"/>
                <w:sz w:val="20"/>
                <w:szCs w:val="20"/>
              </w:rPr>
            </w:pPr>
            <w:r w:rsidRPr="006B6D61">
              <w:rPr>
                <w:rFonts w:cstheme="minorHAnsi"/>
                <w:sz w:val="20"/>
                <w:szCs w:val="20"/>
              </w:rPr>
              <w:t>1</w:t>
            </w:r>
          </w:p>
        </w:tc>
        <w:tc>
          <w:tcPr>
            <w:tcW w:w="1212" w:type="dxa"/>
            <w:tcBorders>
              <w:top w:val="nil"/>
              <w:left w:val="nil"/>
              <w:bottom w:val="single" w:sz="4" w:space="0" w:color="auto"/>
              <w:right w:val="single" w:sz="4" w:space="0" w:color="auto"/>
            </w:tcBorders>
            <w:shd w:val="clear" w:color="auto" w:fill="auto"/>
            <w:noWrap/>
            <w:vAlign w:val="center"/>
            <w:hideMark/>
          </w:tcPr>
          <w:p w14:paraId="660680A0" w14:textId="77777777" w:rsidR="00E827A7" w:rsidRPr="006B6D61" w:rsidRDefault="00E827A7" w:rsidP="00E827A7">
            <w:pPr>
              <w:spacing w:after="0"/>
              <w:jc w:val="center"/>
              <w:rPr>
                <w:rFonts w:cstheme="minorHAnsi"/>
                <w:sz w:val="20"/>
                <w:szCs w:val="20"/>
              </w:rPr>
            </w:pPr>
            <w:r w:rsidRPr="006B6D61">
              <w:rPr>
                <w:rFonts w:cstheme="minorHAnsi"/>
                <w:sz w:val="20"/>
                <w:szCs w:val="20"/>
              </w:rPr>
              <w:t>2</w:t>
            </w:r>
          </w:p>
        </w:tc>
        <w:tc>
          <w:tcPr>
            <w:tcW w:w="1224" w:type="dxa"/>
            <w:tcBorders>
              <w:top w:val="nil"/>
              <w:left w:val="nil"/>
              <w:bottom w:val="single" w:sz="4" w:space="0" w:color="auto"/>
              <w:right w:val="single" w:sz="4" w:space="0" w:color="auto"/>
            </w:tcBorders>
            <w:shd w:val="clear" w:color="auto" w:fill="auto"/>
            <w:noWrap/>
            <w:vAlign w:val="center"/>
            <w:hideMark/>
          </w:tcPr>
          <w:p w14:paraId="22817250" w14:textId="77777777" w:rsidR="00E827A7" w:rsidRPr="006B6D61" w:rsidRDefault="00E827A7" w:rsidP="00E827A7">
            <w:pPr>
              <w:spacing w:after="0"/>
              <w:jc w:val="center"/>
              <w:rPr>
                <w:rFonts w:cstheme="minorHAnsi"/>
                <w:sz w:val="20"/>
                <w:szCs w:val="20"/>
              </w:rPr>
            </w:pPr>
            <w:r w:rsidRPr="006B6D61">
              <w:rPr>
                <w:rFonts w:cstheme="minorHAnsi"/>
                <w:sz w:val="20"/>
                <w:szCs w:val="20"/>
              </w:rPr>
              <w:t>3</w:t>
            </w:r>
          </w:p>
        </w:tc>
        <w:tc>
          <w:tcPr>
            <w:tcW w:w="1290" w:type="dxa"/>
            <w:tcBorders>
              <w:top w:val="nil"/>
              <w:left w:val="nil"/>
              <w:bottom w:val="single" w:sz="4" w:space="0" w:color="auto"/>
              <w:right w:val="single" w:sz="4" w:space="0" w:color="auto"/>
            </w:tcBorders>
            <w:shd w:val="clear" w:color="auto" w:fill="auto"/>
            <w:noWrap/>
            <w:vAlign w:val="center"/>
            <w:hideMark/>
          </w:tcPr>
          <w:p w14:paraId="5B0B2806" w14:textId="77777777" w:rsidR="00E827A7" w:rsidRPr="006B6D61" w:rsidRDefault="00E827A7" w:rsidP="00E827A7">
            <w:pPr>
              <w:spacing w:after="0"/>
              <w:jc w:val="center"/>
              <w:rPr>
                <w:rFonts w:cstheme="minorHAnsi"/>
                <w:sz w:val="20"/>
                <w:szCs w:val="20"/>
              </w:rPr>
            </w:pPr>
            <w:r w:rsidRPr="006B6D61">
              <w:rPr>
                <w:rFonts w:cstheme="minorHAnsi"/>
                <w:sz w:val="20"/>
                <w:szCs w:val="20"/>
              </w:rPr>
              <w:t>4</w:t>
            </w:r>
          </w:p>
        </w:tc>
        <w:tc>
          <w:tcPr>
            <w:tcW w:w="1149" w:type="dxa"/>
            <w:tcBorders>
              <w:top w:val="nil"/>
              <w:left w:val="nil"/>
              <w:bottom w:val="single" w:sz="4" w:space="0" w:color="auto"/>
              <w:right w:val="single" w:sz="4" w:space="0" w:color="auto"/>
            </w:tcBorders>
            <w:shd w:val="clear" w:color="auto" w:fill="auto"/>
            <w:noWrap/>
            <w:vAlign w:val="center"/>
            <w:hideMark/>
          </w:tcPr>
          <w:p w14:paraId="560B5A86" w14:textId="77777777" w:rsidR="00E827A7" w:rsidRPr="006B6D61" w:rsidRDefault="00E827A7" w:rsidP="00E827A7">
            <w:pPr>
              <w:spacing w:after="0"/>
              <w:jc w:val="center"/>
              <w:rPr>
                <w:rFonts w:cstheme="minorHAnsi"/>
                <w:sz w:val="20"/>
                <w:szCs w:val="20"/>
              </w:rPr>
            </w:pPr>
            <w:r w:rsidRPr="006B6D61">
              <w:rPr>
                <w:rFonts w:cstheme="minorHAnsi"/>
                <w:sz w:val="20"/>
                <w:szCs w:val="20"/>
              </w:rPr>
              <w:t>5</w:t>
            </w:r>
          </w:p>
        </w:tc>
        <w:tc>
          <w:tcPr>
            <w:tcW w:w="992" w:type="dxa"/>
            <w:tcBorders>
              <w:top w:val="nil"/>
              <w:left w:val="nil"/>
              <w:bottom w:val="single" w:sz="4" w:space="0" w:color="auto"/>
              <w:right w:val="single" w:sz="4" w:space="0" w:color="auto"/>
            </w:tcBorders>
            <w:shd w:val="clear" w:color="auto" w:fill="auto"/>
            <w:noWrap/>
            <w:vAlign w:val="center"/>
            <w:hideMark/>
          </w:tcPr>
          <w:p w14:paraId="0C9CB98C" w14:textId="77777777" w:rsidR="00E827A7" w:rsidRPr="006B6D61" w:rsidRDefault="00E827A7" w:rsidP="00E827A7">
            <w:pPr>
              <w:spacing w:after="0"/>
              <w:jc w:val="center"/>
              <w:rPr>
                <w:rFonts w:cstheme="minorHAnsi"/>
                <w:sz w:val="20"/>
                <w:szCs w:val="20"/>
              </w:rPr>
            </w:pPr>
            <w:r w:rsidRPr="006B6D61">
              <w:rPr>
                <w:rFonts w:cstheme="minorHAnsi"/>
                <w:sz w:val="20"/>
                <w:szCs w:val="20"/>
              </w:rPr>
              <w:t>5/1</w:t>
            </w:r>
          </w:p>
        </w:tc>
      </w:tr>
      <w:tr w:rsidR="002B781F" w:rsidRPr="0044012B" w14:paraId="5B0F8DF0" w14:textId="77777777" w:rsidTr="006B6D61">
        <w:trPr>
          <w:trHeight w:val="300"/>
        </w:trPr>
        <w:tc>
          <w:tcPr>
            <w:tcW w:w="2004" w:type="dxa"/>
            <w:gridSpan w:val="2"/>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tcPr>
          <w:p w14:paraId="67E4AE6E" w14:textId="5AD41ADE" w:rsidR="006B0E7D" w:rsidRPr="006B6D61" w:rsidRDefault="00777E27" w:rsidP="00E827A7">
            <w:pPr>
              <w:spacing w:after="0"/>
              <w:rPr>
                <w:rFonts w:cstheme="minorHAnsi"/>
                <w:b/>
                <w:sz w:val="20"/>
                <w:szCs w:val="20"/>
              </w:rPr>
            </w:pPr>
            <w:r w:rsidRPr="006B6D61">
              <w:rPr>
                <w:rFonts w:cstheme="minorHAnsi"/>
                <w:b/>
                <w:sz w:val="20"/>
                <w:szCs w:val="20"/>
              </w:rPr>
              <w:t>Transfer celkem</w:t>
            </w:r>
          </w:p>
        </w:tc>
        <w:tc>
          <w:tcPr>
            <w:tcW w:w="1201" w:type="dxa"/>
            <w:tcBorders>
              <w:top w:val="nil"/>
              <w:left w:val="nil"/>
              <w:bottom w:val="single" w:sz="4" w:space="0" w:color="auto"/>
              <w:right w:val="single" w:sz="4" w:space="0" w:color="auto"/>
            </w:tcBorders>
            <w:shd w:val="clear" w:color="auto" w:fill="D9D9D9" w:themeFill="background1" w:themeFillShade="D9"/>
            <w:noWrap/>
            <w:vAlign w:val="center"/>
          </w:tcPr>
          <w:p w14:paraId="4B0492EB" w14:textId="05AF7218" w:rsidR="006B0E7D" w:rsidRPr="006B6D61" w:rsidRDefault="00C3479E" w:rsidP="00E827A7">
            <w:pPr>
              <w:spacing w:after="0"/>
              <w:jc w:val="right"/>
              <w:rPr>
                <w:rFonts w:cstheme="minorHAnsi"/>
                <w:b/>
                <w:sz w:val="20"/>
                <w:szCs w:val="20"/>
              </w:rPr>
            </w:pPr>
            <w:r w:rsidRPr="006B6D61">
              <w:rPr>
                <w:rFonts w:cstheme="minorHAnsi"/>
                <w:b/>
                <w:bCs/>
                <w:sz w:val="20"/>
                <w:szCs w:val="20"/>
              </w:rPr>
              <w:t>1 192 706</w:t>
            </w:r>
          </w:p>
        </w:tc>
        <w:tc>
          <w:tcPr>
            <w:tcW w:w="1212" w:type="dxa"/>
            <w:tcBorders>
              <w:top w:val="nil"/>
              <w:left w:val="nil"/>
              <w:bottom w:val="single" w:sz="4" w:space="0" w:color="auto"/>
              <w:right w:val="single" w:sz="4" w:space="0" w:color="auto"/>
            </w:tcBorders>
            <w:shd w:val="clear" w:color="auto" w:fill="D9D9D9" w:themeFill="background1" w:themeFillShade="D9"/>
            <w:noWrap/>
            <w:vAlign w:val="center"/>
          </w:tcPr>
          <w:p w14:paraId="09851CDD" w14:textId="36B8B12D" w:rsidR="006B0E7D" w:rsidRPr="006B6D61" w:rsidRDefault="00C3479E" w:rsidP="00E827A7">
            <w:pPr>
              <w:spacing w:after="0"/>
              <w:jc w:val="right"/>
              <w:rPr>
                <w:rFonts w:cstheme="minorHAnsi"/>
                <w:b/>
                <w:sz w:val="20"/>
                <w:szCs w:val="20"/>
              </w:rPr>
            </w:pPr>
            <w:r w:rsidRPr="006B6D61">
              <w:rPr>
                <w:rFonts w:cstheme="minorHAnsi"/>
                <w:b/>
                <w:bCs/>
                <w:sz w:val="20"/>
                <w:szCs w:val="20"/>
              </w:rPr>
              <w:t>1 224 981</w:t>
            </w:r>
          </w:p>
        </w:tc>
        <w:tc>
          <w:tcPr>
            <w:tcW w:w="1224" w:type="dxa"/>
            <w:tcBorders>
              <w:top w:val="nil"/>
              <w:left w:val="nil"/>
              <w:bottom w:val="single" w:sz="4" w:space="0" w:color="auto"/>
              <w:right w:val="single" w:sz="4" w:space="0" w:color="auto"/>
            </w:tcBorders>
            <w:shd w:val="clear" w:color="auto" w:fill="D9D9D9" w:themeFill="background1" w:themeFillShade="D9"/>
            <w:noWrap/>
            <w:vAlign w:val="center"/>
          </w:tcPr>
          <w:p w14:paraId="52B0F571" w14:textId="6671D680" w:rsidR="006B0E7D" w:rsidRPr="006B6D61" w:rsidRDefault="00C3479E" w:rsidP="00E827A7">
            <w:pPr>
              <w:spacing w:after="0"/>
              <w:jc w:val="right"/>
              <w:rPr>
                <w:rFonts w:cstheme="minorHAnsi"/>
                <w:b/>
                <w:sz w:val="20"/>
                <w:szCs w:val="20"/>
              </w:rPr>
            </w:pPr>
            <w:r w:rsidRPr="006B6D61">
              <w:rPr>
                <w:rFonts w:cstheme="minorHAnsi"/>
                <w:b/>
                <w:bCs/>
                <w:sz w:val="20"/>
                <w:szCs w:val="20"/>
              </w:rPr>
              <w:t>1 197 456</w:t>
            </w:r>
          </w:p>
        </w:tc>
        <w:tc>
          <w:tcPr>
            <w:tcW w:w="1290" w:type="dxa"/>
            <w:tcBorders>
              <w:top w:val="nil"/>
              <w:left w:val="nil"/>
              <w:bottom w:val="single" w:sz="4" w:space="0" w:color="auto"/>
              <w:right w:val="single" w:sz="4" w:space="0" w:color="auto"/>
            </w:tcBorders>
            <w:shd w:val="clear" w:color="auto" w:fill="D9D9D9" w:themeFill="background1" w:themeFillShade="D9"/>
            <w:noWrap/>
            <w:vAlign w:val="center"/>
          </w:tcPr>
          <w:p w14:paraId="69C4E1DD" w14:textId="7196CDCB" w:rsidR="006B0E7D" w:rsidRPr="002F1BE7" w:rsidRDefault="006B0E7D" w:rsidP="00E827A7">
            <w:pPr>
              <w:spacing w:after="0"/>
              <w:jc w:val="right"/>
              <w:rPr>
                <w:rFonts w:cstheme="minorHAnsi"/>
                <w:b/>
                <w:color w:val="FF0000"/>
                <w:sz w:val="20"/>
                <w:szCs w:val="20"/>
              </w:rPr>
            </w:pPr>
            <w:r w:rsidRPr="006B6D61">
              <w:rPr>
                <w:rFonts w:cstheme="minorHAnsi"/>
                <w:b/>
                <w:sz w:val="20"/>
                <w:szCs w:val="20"/>
              </w:rPr>
              <w:t>1</w:t>
            </w:r>
            <w:r w:rsidR="00BE76F3" w:rsidRPr="006B6D61">
              <w:rPr>
                <w:rFonts w:cstheme="minorHAnsi"/>
                <w:b/>
                <w:bCs/>
                <w:sz w:val="20"/>
                <w:szCs w:val="20"/>
              </w:rPr>
              <w:t> </w:t>
            </w:r>
            <w:r w:rsidRPr="006B6D61">
              <w:rPr>
                <w:rFonts w:cstheme="minorHAnsi"/>
                <w:b/>
                <w:bCs/>
                <w:sz w:val="20"/>
                <w:szCs w:val="20"/>
              </w:rPr>
              <w:t>2</w:t>
            </w:r>
            <w:r w:rsidR="00BE76F3" w:rsidRPr="006B6D61">
              <w:rPr>
                <w:rFonts w:cstheme="minorHAnsi"/>
                <w:b/>
                <w:bCs/>
                <w:sz w:val="20"/>
                <w:szCs w:val="20"/>
              </w:rPr>
              <w:t>50 940</w:t>
            </w:r>
          </w:p>
        </w:tc>
        <w:tc>
          <w:tcPr>
            <w:tcW w:w="1149" w:type="dxa"/>
            <w:tcBorders>
              <w:top w:val="nil"/>
              <w:left w:val="nil"/>
              <w:bottom w:val="single" w:sz="4" w:space="0" w:color="auto"/>
              <w:right w:val="single" w:sz="4" w:space="0" w:color="auto"/>
            </w:tcBorders>
            <w:shd w:val="clear" w:color="auto" w:fill="D9D9D9" w:themeFill="background1" w:themeFillShade="D9"/>
            <w:noWrap/>
            <w:vAlign w:val="center"/>
          </w:tcPr>
          <w:p w14:paraId="4119D81E" w14:textId="4D392B88" w:rsidR="006B0E7D" w:rsidRPr="002F1BE7" w:rsidRDefault="006B0E7D" w:rsidP="00E827A7">
            <w:pPr>
              <w:spacing w:after="0"/>
              <w:jc w:val="right"/>
              <w:rPr>
                <w:rFonts w:cstheme="minorHAnsi"/>
                <w:b/>
                <w:color w:val="FF0000"/>
                <w:sz w:val="20"/>
                <w:szCs w:val="20"/>
              </w:rPr>
            </w:pPr>
            <w:r w:rsidRPr="006B6D61">
              <w:rPr>
                <w:rFonts w:cstheme="minorHAnsi"/>
                <w:b/>
                <w:sz w:val="20"/>
                <w:szCs w:val="20"/>
              </w:rPr>
              <w:t>1</w:t>
            </w:r>
            <w:r w:rsidR="00E96805" w:rsidRPr="006B6D61">
              <w:rPr>
                <w:rFonts w:cstheme="minorHAnsi"/>
                <w:b/>
                <w:bCs/>
                <w:sz w:val="20"/>
                <w:szCs w:val="20"/>
              </w:rPr>
              <w:t> </w:t>
            </w:r>
            <w:r w:rsidRPr="006B6D61">
              <w:rPr>
                <w:rFonts w:cstheme="minorHAnsi"/>
                <w:b/>
                <w:bCs/>
                <w:sz w:val="20"/>
                <w:szCs w:val="20"/>
              </w:rPr>
              <w:t>1</w:t>
            </w:r>
            <w:r w:rsidR="00E96805" w:rsidRPr="006B6D61">
              <w:rPr>
                <w:rFonts w:cstheme="minorHAnsi"/>
                <w:b/>
                <w:bCs/>
                <w:sz w:val="20"/>
                <w:szCs w:val="20"/>
              </w:rPr>
              <w:t>89 399</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14:paraId="1784C1E8" w14:textId="2547CF4F" w:rsidR="006B0E7D" w:rsidRPr="0077128B" w:rsidRDefault="00E96805" w:rsidP="00E827A7">
            <w:pPr>
              <w:spacing w:after="0"/>
              <w:jc w:val="right"/>
              <w:rPr>
                <w:rFonts w:cstheme="minorHAnsi"/>
                <w:b/>
                <w:bCs/>
                <w:color w:val="FF0000"/>
                <w:sz w:val="20"/>
                <w:szCs w:val="20"/>
              </w:rPr>
            </w:pPr>
            <w:r w:rsidRPr="006B6D61">
              <w:rPr>
                <w:rFonts w:cstheme="minorHAnsi"/>
                <w:b/>
                <w:bCs/>
                <w:sz w:val="20"/>
                <w:szCs w:val="20"/>
              </w:rPr>
              <w:t>99,7</w:t>
            </w:r>
          </w:p>
        </w:tc>
      </w:tr>
      <w:tr w:rsidR="002F1BE7" w:rsidRPr="0044012B" w14:paraId="00383490" w14:textId="77777777" w:rsidTr="006B6D61">
        <w:trPr>
          <w:trHeight w:val="300"/>
        </w:trPr>
        <w:tc>
          <w:tcPr>
            <w:tcW w:w="2004"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69EDC9" w14:textId="3E975597" w:rsidR="00E827A7" w:rsidRPr="006B6D61" w:rsidRDefault="00E827A7" w:rsidP="00E827A7">
            <w:pPr>
              <w:spacing w:after="0"/>
              <w:rPr>
                <w:rFonts w:cstheme="minorHAnsi"/>
                <w:b/>
                <w:sz w:val="20"/>
                <w:szCs w:val="20"/>
              </w:rPr>
            </w:pPr>
            <w:r w:rsidRPr="006B6D61">
              <w:rPr>
                <w:rFonts w:cstheme="minorHAnsi"/>
                <w:b/>
                <w:sz w:val="20"/>
                <w:szCs w:val="20"/>
              </w:rPr>
              <w:t>Neinvestiční transfery do zahraničí</w:t>
            </w:r>
          </w:p>
        </w:tc>
        <w:tc>
          <w:tcPr>
            <w:tcW w:w="1201" w:type="dxa"/>
            <w:tcBorders>
              <w:top w:val="nil"/>
              <w:left w:val="nil"/>
              <w:bottom w:val="single" w:sz="4" w:space="0" w:color="auto"/>
              <w:right w:val="single" w:sz="4" w:space="0" w:color="auto"/>
            </w:tcBorders>
            <w:shd w:val="clear" w:color="auto" w:fill="auto"/>
            <w:noWrap/>
            <w:vAlign w:val="center"/>
            <w:hideMark/>
          </w:tcPr>
          <w:p w14:paraId="49D3E9FF" w14:textId="4EE8C771" w:rsidR="00E827A7" w:rsidRPr="006B6D61" w:rsidRDefault="0094673C" w:rsidP="00E827A7">
            <w:pPr>
              <w:spacing w:after="0"/>
              <w:jc w:val="right"/>
              <w:rPr>
                <w:rFonts w:cstheme="minorHAnsi"/>
                <w:b/>
                <w:sz w:val="20"/>
                <w:szCs w:val="20"/>
              </w:rPr>
            </w:pPr>
            <w:r w:rsidRPr="006B6D61">
              <w:rPr>
                <w:rFonts w:cstheme="minorHAnsi"/>
                <w:b/>
                <w:bCs/>
                <w:sz w:val="20"/>
                <w:szCs w:val="20"/>
              </w:rPr>
              <w:t>1 192 706</w:t>
            </w:r>
          </w:p>
        </w:tc>
        <w:tc>
          <w:tcPr>
            <w:tcW w:w="1212" w:type="dxa"/>
            <w:tcBorders>
              <w:top w:val="nil"/>
              <w:left w:val="nil"/>
              <w:bottom w:val="single" w:sz="4" w:space="0" w:color="auto"/>
              <w:right w:val="single" w:sz="4" w:space="0" w:color="auto"/>
            </w:tcBorders>
            <w:shd w:val="clear" w:color="auto" w:fill="auto"/>
            <w:noWrap/>
            <w:vAlign w:val="center"/>
            <w:hideMark/>
          </w:tcPr>
          <w:p w14:paraId="61C4BB65" w14:textId="5338074D" w:rsidR="00E827A7" w:rsidRPr="006B6D61" w:rsidRDefault="0094673C" w:rsidP="00E827A7">
            <w:pPr>
              <w:spacing w:after="0"/>
              <w:jc w:val="right"/>
              <w:rPr>
                <w:rFonts w:cstheme="minorHAnsi"/>
                <w:b/>
                <w:sz w:val="20"/>
                <w:szCs w:val="20"/>
              </w:rPr>
            </w:pPr>
            <w:r w:rsidRPr="006B6D61">
              <w:rPr>
                <w:rFonts w:cstheme="minorHAnsi"/>
                <w:b/>
                <w:bCs/>
                <w:sz w:val="20"/>
                <w:szCs w:val="20"/>
              </w:rPr>
              <w:t>1 224 981</w:t>
            </w:r>
          </w:p>
        </w:tc>
        <w:tc>
          <w:tcPr>
            <w:tcW w:w="1224" w:type="dxa"/>
            <w:tcBorders>
              <w:top w:val="nil"/>
              <w:left w:val="nil"/>
              <w:bottom w:val="single" w:sz="4" w:space="0" w:color="auto"/>
              <w:right w:val="single" w:sz="4" w:space="0" w:color="auto"/>
            </w:tcBorders>
            <w:shd w:val="clear" w:color="auto" w:fill="auto"/>
            <w:noWrap/>
            <w:vAlign w:val="center"/>
            <w:hideMark/>
          </w:tcPr>
          <w:p w14:paraId="5355F0C6" w14:textId="277CF93B" w:rsidR="00E827A7" w:rsidRPr="006B6D61" w:rsidRDefault="0094673C" w:rsidP="00E827A7">
            <w:pPr>
              <w:spacing w:after="0"/>
              <w:jc w:val="right"/>
              <w:rPr>
                <w:rFonts w:cstheme="minorHAnsi"/>
                <w:b/>
                <w:sz w:val="20"/>
                <w:szCs w:val="20"/>
              </w:rPr>
            </w:pPr>
            <w:r w:rsidRPr="006B6D61">
              <w:rPr>
                <w:rFonts w:cstheme="minorHAnsi"/>
                <w:b/>
                <w:bCs/>
                <w:sz w:val="20"/>
                <w:szCs w:val="20"/>
              </w:rPr>
              <w:t>1 197 456</w:t>
            </w:r>
          </w:p>
        </w:tc>
        <w:tc>
          <w:tcPr>
            <w:tcW w:w="1290" w:type="dxa"/>
            <w:tcBorders>
              <w:top w:val="nil"/>
              <w:left w:val="nil"/>
              <w:bottom w:val="single" w:sz="4" w:space="0" w:color="auto"/>
              <w:right w:val="single" w:sz="4" w:space="0" w:color="auto"/>
            </w:tcBorders>
            <w:shd w:val="clear" w:color="auto" w:fill="auto"/>
            <w:noWrap/>
            <w:vAlign w:val="center"/>
            <w:hideMark/>
          </w:tcPr>
          <w:p w14:paraId="2302C907" w14:textId="00720143" w:rsidR="00E827A7" w:rsidRPr="006B6D61" w:rsidRDefault="004678A2" w:rsidP="00E827A7">
            <w:pPr>
              <w:spacing w:after="0"/>
              <w:jc w:val="right"/>
              <w:rPr>
                <w:rFonts w:cstheme="minorHAnsi"/>
                <w:b/>
                <w:sz w:val="20"/>
                <w:szCs w:val="20"/>
              </w:rPr>
            </w:pPr>
            <w:r>
              <w:rPr>
                <w:rFonts w:cstheme="minorHAnsi"/>
                <w:b/>
                <w:bCs/>
                <w:sz w:val="20"/>
                <w:szCs w:val="20"/>
              </w:rPr>
              <w:t>1 250 940</w:t>
            </w:r>
          </w:p>
        </w:tc>
        <w:tc>
          <w:tcPr>
            <w:tcW w:w="1149" w:type="dxa"/>
            <w:tcBorders>
              <w:top w:val="nil"/>
              <w:left w:val="nil"/>
              <w:bottom w:val="single" w:sz="4" w:space="0" w:color="auto"/>
              <w:right w:val="single" w:sz="4" w:space="0" w:color="auto"/>
            </w:tcBorders>
            <w:shd w:val="clear" w:color="auto" w:fill="auto"/>
            <w:noWrap/>
            <w:vAlign w:val="center"/>
            <w:hideMark/>
          </w:tcPr>
          <w:p w14:paraId="3CE6D701" w14:textId="30A71CFD" w:rsidR="00E827A7" w:rsidRPr="006B6D61" w:rsidRDefault="00D143C4" w:rsidP="00E827A7">
            <w:pPr>
              <w:spacing w:after="0"/>
              <w:jc w:val="right"/>
              <w:rPr>
                <w:rFonts w:cstheme="minorHAnsi"/>
                <w:b/>
                <w:sz w:val="20"/>
                <w:szCs w:val="20"/>
              </w:rPr>
            </w:pPr>
            <w:r w:rsidRPr="006B6D61">
              <w:rPr>
                <w:rFonts w:cstheme="minorHAnsi"/>
                <w:b/>
                <w:bCs/>
                <w:sz w:val="20"/>
                <w:szCs w:val="20"/>
              </w:rPr>
              <w:t>1 189 399</w:t>
            </w:r>
          </w:p>
        </w:tc>
        <w:tc>
          <w:tcPr>
            <w:tcW w:w="992" w:type="dxa"/>
            <w:tcBorders>
              <w:top w:val="nil"/>
              <w:left w:val="nil"/>
              <w:bottom w:val="single" w:sz="4" w:space="0" w:color="auto"/>
              <w:right w:val="single" w:sz="4" w:space="0" w:color="auto"/>
            </w:tcBorders>
            <w:shd w:val="clear" w:color="auto" w:fill="auto"/>
            <w:noWrap/>
            <w:vAlign w:val="center"/>
            <w:hideMark/>
          </w:tcPr>
          <w:p w14:paraId="7ED30372" w14:textId="7CBDF24C" w:rsidR="00E827A7" w:rsidRPr="0077128B" w:rsidRDefault="00A169A4" w:rsidP="00E827A7">
            <w:pPr>
              <w:spacing w:after="0"/>
              <w:jc w:val="right"/>
              <w:rPr>
                <w:rFonts w:cstheme="minorHAnsi"/>
                <w:b/>
                <w:color w:val="FF0000"/>
                <w:sz w:val="20"/>
                <w:szCs w:val="20"/>
              </w:rPr>
            </w:pPr>
            <w:r w:rsidRPr="006B6D61">
              <w:rPr>
                <w:rFonts w:cstheme="minorHAnsi"/>
                <w:b/>
                <w:bCs/>
                <w:sz w:val="20"/>
                <w:szCs w:val="20"/>
              </w:rPr>
              <w:t>99</w:t>
            </w:r>
            <w:r w:rsidR="00CB6EC5" w:rsidRPr="006B6D61">
              <w:rPr>
                <w:rFonts w:cstheme="minorHAnsi"/>
                <w:b/>
                <w:bCs/>
                <w:sz w:val="20"/>
                <w:szCs w:val="20"/>
              </w:rPr>
              <w:t>,7</w:t>
            </w:r>
          </w:p>
        </w:tc>
      </w:tr>
      <w:tr w:rsidR="002F1BE7" w:rsidRPr="0044012B" w14:paraId="718AC6DA" w14:textId="77777777" w:rsidTr="006B6D61">
        <w:trPr>
          <w:trHeight w:val="300"/>
        </w:trPr>
        <w:tc>
          <w:tcPr>
            <w:tcW w:w="2004"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7452D71" w14:textId="77777777" w:rsidR="00E827A7" w:rsidRPr="006B6D61" w:rsidRDefault="00E827A7" w:rsidP="00E827A7">
            <w:pPr>
              <w:spacing w:after="0"/>
              <w:rPr>
                <w:rFonts w:cstheme="minorHAnsi"/>
                <w:sz w:val="20"/>
                <w:szCs w:val="20"/>
              </w:rPr>
            </w:pPr>
            <w:r w:rsidRPr="006B6D61">
              <w:rPr>
                <w:rFonts w:cstheme="minorHAnsi"/>
                <w:sz w:val="20"/>
                <w:szCs w:val="20"/>
              </w:rPr>
              <w:t>v tom:</w:t>
            </w:r>
          </w:p>
        </w:tc>
        <w:tc>
          <w:tcPr>
            <w:tcW w:w="1201" w:type="dxa"/>
            <w:tcBorders>
              <w:top w:val="nil"/>
              <w:left w:val="nil"/>
              <w:bottom w:val="single" w:sz="4" w:space="0" w:color="auto"/>
              <w:right w:val="single" w:sz="4" w:space="0" w:color="auto"/>
            </w:tcBorders>
            <w:shd w:val="clear" w:color="auto" w:fill="auto"/>
            <w:noWrap/>
            <w:vAlign w:val="center"/>
            <w:hideMark/>
          </w:tcPr>
          <w:p w14:paraId="03ECF337" w14:textId="77777777" w:rsidR="00E827A7" w:rsidRPr="002F1BE7" w:rsidRDefault="00E827A7" w:rsidP="00BA4E5A">
            <w:pPr>
              <w:spacing w:after="0"/>
              <w:jc w:val="right"/>
              <w:rPr>
                <w:rFonts w:cstheme="minorHAnsi"/>
                <w:color w:val="FF0000"/>
                <w:sz w:val="20"/>
                <w:szCs w:val="20"/>
              </w:rPr>
            </w:pPr>
            <w:r w:rsidRPr="002F1BE7">
              <w:rPr>
                <w:rFonts w:cstheme="minorHAnsi"/>
                <w:color w:val="FF0000"/>
                <w:sz w:val="20"/>
                <w:szCs w:val="20"/>
              </w:rPr>
              <w:t> </w:t>
            </w:r>
          </w:p>
        </w:tc>
        <w:tc>
          <w:tcPr>
            <w:tcW w:w="1212" w:type="dxa"/>
            <w:tcBorders>
              <w:top w:val="nil"/>
              <w:left w:val="nil"/>
              <w:bottom w:val="single" w:sz="4" w:space="0" w:color="auto"/>
              <w:right w:val="single" w:sz="4" w:space="0" w:color="auto"/>
            </w:tcBorders>
            <w:shd w:val="clear" w:color="auto" w:fill="auto"/>
            <w:noWrap/>
            <w:vAlign w:val="center"/>
            <w:hideMark/>
          </w:tcPr>
          <w:p w14:paraId="343B3873" w14:textId="77777777" w:rsidR="00E827A7" w:rsidRPr="002F1BE7" w:rsidRDefault="00E827A7" w:rsidP="00BA4E5A">
            <w:pPr>
              <w:spacing w:after="0"/>
              <w:jc w:val="right"/>
              <w:rPr>
                <w:rFonts w:cstheme="minorHAnsi"/>
                <w:color w:val="FF0000"/>
                <w:sz w:val="20"/>
                <w:szCs w:val="20"/>
              </w:rPr>
            </w:pPr>
            <w:r w:rsidRPr="002F1BE7">
              <w:rPr>
                <w:rFonts w:cstheme="minorHAnsi"/>
                <w:color w:val="FF0000"/>
                <w:sz w:val="20"/>
                <w:szCs w:val="20"/>
              </w:rPr>
              <w:t> </w:t>
            </w:r>
          </w:p>
        </w:tc>
        <w:tc>
          <w:tcPr>
            <w:tcW w:w="1224" w:type="dxa"/>
            <w:tcBorders>
              <w:top w:val="nil"/>
              <w:left w:val="nil"/>
              <w:bottom w:val="single" w:sz="4" w:space="0" w:color="auto"/>
              <w:right w:val="single" w:sz="4" w:space="0" w:color="auto"/>
            </w:tcBorders>
            <w:shd w:val="clear" w:color="auto" w:fill="auto"/>
            <w:noWrap/>
            <w:vAlign w:val="center"/>
            <w:hideMark/>
          </w:tcPr>
          <w:p w14:paraId="5EF15631" w14:textId="77777777" w:rsidR="00E827A7" w:rsidRPr="002F1BE7" w:rsidRDefault="00E827A7" w:rsidP="00BA4E5A">
            <w:pPr>
              <w:spacing w:after="0"/>
              <w:jc w:val="right"/>
              <w:rPr>
                <w:rFonts w:cstheme="minorHAnsi"/>
                <w:color w:val="FF0000"/>
                <w:sz w:val="20"/>
                <w:szCs w:val="20"/>
              </w:rPr>
            </w:pPr>
            <w:r w:rsidRPr="002F1BE7">
              <w:rPr>
                <w:rFonts w:cstheme="minorHAnsi"/>
                <w:color w:val="FF0000"/>
                <w:sz w:val="20"/>
                <w:szCs w:val="20"/>
              </w:rPr>
              <w:t> </w:t>
            </w:r>
          </w:p>
        </w:tc>
        <w:tc>
          <w:tcPr>
            <w:tcW w:w="1290" w:type="dxa"/>
            <w:tcBorders>
              <w:top w:val="nil"/>
              <w:left w:val="nil"/>
              <w:bottom w:val="single" w:sz="4" w:space="0" w:color="auto"/>
              <w:right w:val="single" w:sz="4" w:space="0" w:color="auto"/>
            </w:tcBorders>
            <w:shd w:val="clear" w:color="auto" w:fill="auto"/>
            <w:noWrap/>
            <w:vAlign w:val="center"/>
            <w:hideMark/>
          </w:tcPr>
          <w:p w14:paraId="6B847482" w14:textId="77777777" w:rsidR="00E827A7" w:rsidRPr="002F1BE7" w:rsidRDefault="00E827A7" w:rsidP="00BA4E5A">
            <w:pPr>
              <w:spacing w:after="0"/>
              <w:jc w:val="right"/>
              <w:rPr>
                <w:rFonts w:cstheme="minorHAnsi"/>
                <w:color w:val="FF0000"/>
                <w:sz w:val="20"/>
                <w:szCs w:val="20"/>
              </w:rPr>
            </w:pPr>
            <w:r w:rsidRPr="002F1BE7">
              <w:rPr>
                <w:rFonts w:cstheme="minorHAnsi"/>
                <w:color w:val="FF0000"/>
                <w:sz w:val="20"/>
                <w:szCs w:val="20"/>
              </w:rPr>
              <w:t> </w:t>
            </w:r>
          </w:p>
        </w:tc>
        <w:tc>
          <w:tcPr>
            <w:tcW w:w="1149" w:type="dxa"/>
            <w:tcBorders>
              <w:top w:val="nil"/>
              <w:left w:val="nil"/>
              <w:bottom w:val="single" w:sz="4" w:space="0" w:color="auto"/>
              <w:right w:val="single" w:sz="4" w:space="0" w:color="auto"/>
            </w:tcBorders>
            <w:shd w:val="clear" w:color="auto" w:fill="auto"/>
            <w:noWrap/>
            <w:vAlign w:val="center"/>
            <w:hideMark/>
          </w:tcPr>
          <w:p w14:paraId="53768FD8" w14:textId="77777777" w:rsidR="00E827A7" w:rsidRPr="002F1BE7" w:rsidRDefault="00E827A7" w:rsidP="00E827A7">
            <w:pPr>
              <w:spacing w:after="0"/>
              <w:jc w:val="right"/>
              <w:rPr>
                <w:rFonts w:cstheme="minorHAnsi"/>
                <w:color w:val="FF0000"/>
                <w:sz w:val="20"/>
                <w:szCs w:val="20"/>
              </w:rPr>
            </w:pPr>
            <w:r w:rsidRPr="002F1BE7">
              <w:rPr>
                <w:rFonts w:cstheme="minorHAnsi"/>
                <w:color w:val="FF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06792B9C" w14:textId="77777777" w:rsidR="00E827A7" w:rsidRPr="002F1BE7" w:rsidRDefault="00E827A7" w:rsidP="00E827A7">
            <w:pPr>
              <w:spacing w:after="0"/>
              <w:jc w:val="right"/>
              <w:rPr>
                <w:rFonts w:cstheme="minorHAnsi"/>
                <w:color w:val="FF0000"/>
                <w:sz w:val="20"/>
                <w:szCs w:val="20"/>
              </w:rPr>
            </w:pPr>
            <w:r w:rsidRPr="002F1BE7">
              <w:rPr>
                <w:rFonts w:cstheme="minorHAnsi"/>
                <w:color w:val="FF0000"/>
                <w:sz w:val="20"/>
                <w:szCs w:val="20"/>
              </w:rPr>
              <w:t> </w:t>
            </w:r>
          </w:p>
        </w:tc>
      </w:tr>
      <w:tr w:rsidR="002F1BE7" w:rsidRPr="0044012B" w14:paraId="1B4BDC58" w14:textId="77777777" w:rsidTr="006B6D61">
        <w:trPr>
          <w:trHeight w:val="300"/>
        </w:trPr>
        <w:tc>
          <w:tcPr>
            <w:tcW w:w="0" w:type="auto"/>
            <w:tcBorders>
              <w:top w:val="nil"/>
              <w:left w:val="single" w:sz="4" w:space="0" w:color="auto"/>
              <w:bottom w:val="single" w:sz="4" w:space="0" w:color="auto"/>
              <w:right w:val="nil"/>
            </w:tcBorders>
            <w:shd w:val="clear" w:color="auto" w:fill="auto"/>
            <w:noWrap/>
            <w:vAlign w:val="center"/>
            <w:hideMark/>
          </w:tcPr>
          <w:p w14:paraId="73FB8876" w14:textId="77777777" w:rsidR="00E827A7" w:rsidRPr="0077128B" w:rsidRDefault="00E827A7" w:rsidP="00E827A7">
            <w:pPr>
              <w:spacing w:after="0"/>
              <w:rPr>
                <w:rFonts w:cstheme="minorHAnsi"/>
                <w:color w:val="FF0000"/>
                <w:sz w:val="20"/>
                <w:szCs w:val="20"/>
              </w:rPr>
            </w:pPr>
            <w:r w:rsidRPr="0077128B">
              <w:rPr>
                <w:rFonts w:cstheme="minorHAnsi"/>
                <w:color w:val="FF0000"/>
                <w:sz w:val="20"/>
                <w:szCs w:val="20"/>
              </w:rPr>
              <w:t> </w:t>
            </w:r>
          </w:p>
        </w:tc>
        <w:tc>
          <w:tcPr>
            <w:tcW w:w="1819" w:type="dxa"/>
            <w:tcBorders>
              <w:top w:val="nil"/>
              <w:left w:val="nil"/>
              <w:bottom w:val="single" w:sz="4" w:space="0" w:color="auto"/>
              <w:right w:val="single" w:sz="4" w:space="0" w:color="auto"/>
            </w:tcBorders>
            <w:shd w:val="clear" w:color="auto" w:fill="auto"/>
            <w:noWrap/>
            <w:vAlign w:val="center"/>
            <w:hideMark/>
          </w:tcPr>
          <w:p w14:paraId="13AF0D08" w14:textId="50DF8B35" w:rsidR="00E827A7" w:rsidRPr="006B6D61" w:rsidRDefault="00E827A7" w:rsidP="00E827A7">
            <w:pPr>
              <w:spacing w:after="0"/>
              <w:rPr>
                <w:rFonts w:cstheme="minorHAnsi"/>
                <w:sz w:val="20"/>
                <w:szCs w:val="20"/>
              </w:rPr>
            </w:pPr>
            <w:r w:rsidRPr="006B6D61">
              <w:rPr>
                <w:rFonts w:cstheme="minorHAnsi"/>
                <w:sz w:val="20"/>
                <w:szCs w:val="20"/>
              </w:rPr>
              <w:t xml:space="preserve">Neinvestiční transfery </w:t>
            </w:r>
            <w:proofErr w:type="spellStart"/>
            <w:r w:rsidRPr="006B6D61">
              <w:rPr>
                <w:rFonts w:cstheme="minorHAnsi"/>
                <w:sz w:val="20"/>
                <w:szCs w:val="20"/>
              </w:rPr>
              <w:t>mezinár</w:t>
            </w:r>
            <w:proofErr w:type="spellEnd"/>
            <w:r w:rsidRPr="006B6D61">
              <w:rPr>
                <w:rFonts w:cstheme="minorHAnsi"/>
                <w:sz w:val="20"/>
                <w:szCs w:val="20"/>
              </w:rPr>
              <w:t xml:space="preserve">. vládním </w:t>
            </w:r>
            <w:proofErr w:type="spellStart"/>
            <w:r w:rsidRPr="006B6D61">
              <w:rPr>
                <w:rFonts w:cstheme="minorHAnsi"/>
                <w:sz w:val="20"/>
                <w:szCs w:val="20"/>
              </w:rPr>
              <w:t>org</w:t>
            </w:r>
            <w:proofErr w:type="spellEnd"/>
            <w:r w:rsidRPr="006B6D61">
              <w:rPr>
                <w:rFonts w:cstheme="minorHAnsi"/>
                <w:sz w:val="20"/>
                <w:szCs w:val="20"/>
              </w:rPr>
              <w:t>.</w:t>
            </w:r>
          </w:p>
        </w:tc>
        <w:tc>
          <w:tcPr>
            <w:tcW w:w="1201" w:type="dxa"/>
            <w:tcBorders>
              <w:top w:val="nil"/>
              <w:left w:val="nil"/>
              <w:bottom w:val="single" w:sz="4" w:space="0" w:color="auto"/>
              <w:right w:val="single" w:sz="4" w:space="0" w:color="auto"/>
            </w:tcBorders>
            <w:shd w:val="clear" w:color="auto" w:fill="auto"/>
            <w:noWrap/>
            <w:vAlign w:val="center"/>
          </w:tcPr>
          <w:p w14:paraId="3D93B09E" w14:textId="1E055BB7" w:rsidR="00E827A7" w:rsidRPr="006B6D61" w:rsidRDefault="00CB6EC5" w:rsidP="00E827A7">
            <w:pPr>
              <w:spacing w:after="0"/>
              <w:jc w:val="right"/>
              <w:rPr>
                <w:rFonts w:cstheme="minorHAnsi"/>
                <w:sz w:val="20"/>
                <w:szCs w:val="20"/>
              </w:rPr>
            </w:pPr>
            <w:r w:rsidRPr="006B6D61">
              <w:rPr>
                <w:rFonts w:cstheme="minorHAnsi"/>
                <w:sz w:val="20"/>
                <w:szCs w:val="20"/>
              </w:rPr>
              <w:t>1 170 779</w:t>
            </w:r>
          </w:p>
        </w:tc>
        <w:tc>
          <w:tcPr>
            <w:tcW w:w="1212" w:type="dxa"/>
            <w:tcBorders>
              <w:top w:val="nil"/>
              <w:left w:val="nil"/>
              <w:bottom w:val="single" w:sz="4" w:space="0" w:color="auto"/>
              <w:right w:val="single" w:sz="4" w:space="0" w:color="auto"/>
            </w:tcBorders>
            <w:shd w:val="clear" w:color="auto" w:fill="auto"/>
            <w:noWrap/>
            <w:vAlign w:val="center"/>
            <w:hideMark/>
          </w:tcPr>
          <w:p w14:paraId="65EB6687" w14:textId="4563BE9A" w:rsidR="00E827A7" w:rsidRPr="006B6D61" w:rsidRDefault="00E827A7" w:rsidP="00E827A7">
            <w:pPr>
              <w:spacing w:after="0"/>
              <w:jc w:val="right"/>
              <w:rPr>
                <w:rFonts w:cstheme="minorHAnsi"/>
                <w:sz w:val="20"/>
                <w:szCs w:val="20"/>
              </w:rPr>
            </w:pPr>
            <w:r w:rsidRPr="006B6D61">
              <w:rPr>
                <w:rFonts w:cstheme="minorHAnsi"/>
                <w:sz w:val="20"/>
                <w:szCs w:val="20"/>
              </w:rPr>
              <w:t>1 205 000</w:t>
            </w:r>
          </w:p>
        </w:tc>
        <w:tc>
          <w:tcPr>
            <w:tcW w:w="1224" w:type="dxa"/>
            <w:tcBorders>
              <w:top w:val="nil"/>
              <w:left w:val="nil"/>
              <w:bottom w:val="single" w:sz="4" w:space="0" w:color="auto"/>
              <w:right w:val="single" w:sz="4" w:space="0" w:color="auto"/>
            </w:tcBorders>
            <w:shd w:val="clear" w:color="auto" w:fill="auto"/>
            <w:noWrap/>
            <w:vAlign w:val="center"/>
            <w:hideMark/>
          </w:tcPr>
          <w:p w14:paraId="12C92DAD" w14:textId="4E9C2E5B" w:rsidR="00E827A7" w:rsidRPr="006B6D61" w:rsidRDefault="00F94759" w:rsidP="00E827A7">
            <w:pPr>
              <w:spacing w:after="0"/>
              <w:jc w:val="right"/>
              <w:rPr>
                <w:rFonts w:cstheme="minorHAnsi"/>
                <w:sz w:val="20"/>
                <w:szCs w:val="20"/>
              </w:rPr>
            </w:pPr>
            <w:r w:rsidRPr="006B6D61">
              <w:rPr>
                <w:rFonts w:cstheme="minorHAnsi"/>
                <w:sz w:val="20"/>
                <w:szCs w:val="20"/>
              </w:rPr>
              <w:t>1 177 841</w:t>
            </w:r>
          </w:p>
        </w:tc>
        <w:tc>
          <w:tcPr>
            <w:tcW w:w="1290" w:type="dxa"/>
            <w:tcBorders>
              <w:top w:val="nil"/>
              <w:left w:val="nil"/>
              <w:bottom w:val="single" w:sz="4" w:space="0" w:color="auto"/>
              <w:right w:val="single" w:sz="4" w:space="0" w:color="auto"/>
            </w:tcBorders>
            <w:shd w:val="clear" w:color="auto" w:fill="auto"/>
            <w:noWrap/>
            <w:vAlign w:val="center"/>
            <w:hideMark/>
          </w:tcPr>
          <w:p w14:paraId="4AE9F726" w14:textId="3CB7FD1D" w:rsidR="00E827A7" w:rsidRPr="006B6D61" w:rsidRDefault="00363E33" w:rsidP="00E827A7">
            <w:pPr>
              <w:spacing w:after="0"/>
              <w:jc w:val="right"/>
              <w:rPr>
                <w:rFonts w:cstheme="minorHAnsi"/>
                <w:sz w:val="20"/>
                <w:szCs w:val="20"/>
              </w:rPr>
            </w:pPr>
            <w:r w:rsidRPr="006B6D61">
              <w:rPr>
                <w:rFonts w:cstheme="minorHAnsi"/>
                <w:sz w:val="20"/>
                <w:szCs w:val="20"/>
              </w:rPr>
              <w:t>1</w:t>
            </w:r>
            <w:r w:rsidR="00CA3138" w:rsidRPr="006B6D61">
              <w:rPr>
                <w:rFonts w:cstheme="minorHAnsi"/>
                <w:sz w:val="20"/>
                <w:szCs w:val="20"/>
              </w:rPr>
              <w:t> 227 841</w:t>
            </w:r>
          </w:p>
        </w:tc>
        <w:tc>
          <w:tcPr>
            <w:tcW w:w="1149" w:type="dxa"/>
            <w:tcBorders>
              <w:top w:val="nil"/>
              <w:left w:val="nil"/>
              <w:bottom w:val="single" w:sz="4" w:space="0" w:color="auto"/>
              <w:right w:val="single" w:sz="4" w:space="0" w:color="auto"/>
            </w:tcBorders>
            <w:shd w:val="clear" w:color="auto" w:fill="auto"/>
            <w:noWrap/>
            <w:vAlign w:val="center"/>
            <w:hideMark/>
          </w:tcPr>
          <w:p w14:paraId="0CBB5A94" w14:textId="79760CC3" w:rsidR="00E827A7" w:rsidRPr="006B6D61" w:rsidRDefault="004E1B25" w:rsidP="00E827A7">
            <w:pPr>
              <w:spacing w:after="0"/>
              <w:jc w:val="right"/>
              <w:rPr>
                <w:rFonts w:cstheme="minorHAnsi"/>
                <w:sz w:val="20"/>
                <w:szCs w:val="20"/>
              </w:rPr>
            </w:pPr>
            <w:r w:rsidRPr="006B6D61">
              <w:rPr>
                <w:rFonts w:cstheme="minorHAnsi"/>
                <w:sz w:val="20"/>
                <w:szCs w:val="20"/>
              </w:rPr>
              <w:t>1 171 466</w:t>
            </w:r>
          </w:p>
        </w:tc>
        <w:tc>
          <w:tcPr>
            <w:tcW w:w="992" w:type="dxa"/>
            <w:tcBorders>
              <w:top w:val="nil"/>
              <w:left w:val="nil"/>
              <w:bottom w:val="single" w:sz="4" w:space="0" w:color="auto"/>
              <w:right w:val="single" w:sz="4" w:space="0" w:color="auto"/>
            </w:tcBorders>
            <w:shd w:val="clear" w:color="auto" w:fill="auto"/>
            <w:noWrap/>
            <w:vAlign w:val="center"/>
            <w:hideMark/>
          </w:tcPr>
          <w:p w14:paraId="0A8E9737" w14:textId="40D47CC4" w:rsidR="00E827A7" w:rsidRPr="006B6D61" w:rsidRDefault="005D661E" w:rsidP="00E827A7">
            <w:pPr>
              <w:spacing w:after="0"/>
              <w:jc w:val="right"/>
              <w:rPr>
                <w:rFonts w:cstheme="minorHAnsi"/>
                <w:sz w:val="20"/>
                <w:szCs w:val="20"/>
              </w:rPr>
            </w:pPr>
            <w:r w:rsidRPr="006B6D61">
              <w:rPr>
                <w:rFonts w:cstheme="minorHAnsi"/>
                <w:sz w:val="20"/>
                <w:szCs w:val="20"/>
              </w:rPr>
              <w:t>100,1</w:t>
            </w:r>
          </w:p>
        </w:tc>
      </w:tr>
      <w:tr w:rsidR="002F1BE7" w:rsidRPr="0044012B" w14:paraId="5199607B" w14:textId="77777777" w:rsidTr="006B6D61">
        <w:trPr>
          <w:trHeight w:val="300"/>
        </w:trPr>
        <w:tc>
          <w:tcPr>
            <w:tcW w:w="0" w:type="auto"/>
            <w:tcBorders>
              <w:top w:val="nil"/>
              <w:left w:val="single" w:sz="4" w:space="0" w:color="auto"/>
              <w:bottom w:val="single" w:sz="4" w:space="0" w:color="auto"/>
              <w:right w:val="nil"/>
            </w:tcBorders>
            <w:shd w:val="clear" w:color="auto" w:fill="auto"/>
            <w:noWrap/>
            <w:vAlign w:val="center"/>
            <w:hideMark/>
          </w:tcPr>
          <w:p w14:paraId="4850DAC2" w14:textId="77777777" w:rsidR="00E827A7" w:rsidRPr="0077128B" w:rsidRDefault="00E827A7" w:rsidP="00E827A7">
            <w:pPr>
              <w:spacing w:after="0"/>
              <w:rPr>
                <w:rFonts w:cstheme="minorHAnsi"/>
                <w:color w:val="FF0000"/>
                <w:sz w:val="20"/>
                <w:szCs w:val="20"/>
              </w:rPr>
            </w:pPr>
            <w:r w:rsidRPr="0077128B">
              <w:rPr>
                <w:rFonts w:cstheme="minorHAnsi"/>
                <w:color w:val="FF0000"/>
                <w:sz w:val="20"/>
                <w:szCs w:val="20"/>
              </w:rPr>
              <w:t> </w:t>
            </w:r>
          </w:p>
        </w:tc>
        <w:tc>
          <w:tcPr>
            <w:tcW w:w="1819" w:type="dxa"/>
            <w:tcBorders>
              <w:top w:val="nil"/>
              <w:left w:val="nil"/>
              <w:bottom w:val="single" w:sz="4" w:space="0" w:color="auto"/>
              <w:right w:val="single" w:sz="4" w:space="0" w:color="auto"/>
            </w:tcBorders>
            <w:shd w:val="clear" w:color="auto" w:fill="auto"/>
            <w:noWrap/>
            <w:vAlign w:val="center"/>
            <w:hideMark/>
          </w:tcPr>
          <w:p w14:paraId="60E5268E" w14:textId="0416A52B" w:rsidR="00E827A7" w:rsidRPr="006B6D61" w:rsidRDefault="00E827A7" w:rsidP="00E827A7">
            <w:pPr>
              <w:spacing w:after="0"/>
              <w:rPr>
                <w:rFonts w:cstheme="minorHAnsi"/>
                <w:sz w:val="20"/>
                <w:szCs w:val="20"/>
              </w:rPr>
            </w:pPr>
            <w:r w:rsidRPr="006B6D61">
              <w:rPr>
                <w:rFonts w:cstheme="minorHAnsi"/>
                <w:sz w:val="20"/>
                <w:szCs w:val="20"/>
              </w:rPr>
              <w:t>Ostatní neinvestiční transfery do zahraničí</w:t>
            </w:r>
          </w:p>
        </w:tc>
        <w:tc>
          <w:tcPr>
            <w:tcW w:w="1201" w:type="dxa"/>
            <w:tcBorders>
              <w:top w:val="nil"/>
              <w:left w:val="nil"/>
              <w:bottom w:val="single" w:sz="4" w:space="0" w:color="auto"/>
              <w:right w:val="single" w:sz="4" w:space="0" w:color="auto"/>
            </w:tcBorders>
            <w:shd w:val="clear" w:color="auto" w:fill="auto"/>
            <w:noWrap/>
            <w:vAlign w:val="center"/>
            <w:hideMark/>
          </w:tcPr>
          <w:p w14:paraId="52050CDF" w14:textId="32C342A5" w:rsidR="00E827A7" w:rsidRPr="006B6D61" w:rsidRDefault="00CB6EC5" w:rsidP="00E827A7">
            <w:pPr>
              <w:spacing w:after="0"/>
              <w:jc w:val="right"/>
              <w:rPr>
                <w:rFonts w:cstheme="minorHAnsi"/>
                <w:sz w:val="20"/>
                <w:szCs w:val="20"/>
              </w:rPr>
            </w:pPr>
            <w:r w:rsidRPr="006B6D61">
              <w:rPr>
                <w:rFonts w:cstheme="minorHAnsi"/>
                <w:sz w:val="20"/>
                <w:szCs w:val="20"/>
              </w:rPr>
              <w:t>6 475</w:t>
            </w:r>
          </w:p>
        </w:tc>
        <w:tc>
          <w:tcPr>
            <w:tcW w:w="1212" w:type="dxa"/>
            <w:tcBorders>
              <w:top w:val="nil"/>
              <w:left w:val="nil"/>
              <w:bottom w:val="single" w:sz="4" w:space="0" w:color="auto"/>
              <w:right w:val="single" w:sz="4" w:space="0" w:color="auto"/>
            </w:tcBorders>
            <w:shd w:val="clear" w:color="auto" w:fill="auto"/>
            <w:noWrap/>
            <w:vAlign w:val="center"/>
            <w:hideMark/>
          </w:tcPr>
          <w:p w14:paraId="26CBA772" w14:textId="07E08CCF" w:rsidR="00E827A7" w:rsidRPr="006B6D61" w:rsidRDefault="00543477" w:rsidP="00E827A7">
            <w:pPr>
              <w:spacing w:after="0"/>
              <w:jc w:val="right"/>
              <w:rPr>
                <w:rFonts w:cstheme="minorHAnsi"/>
                <w:sz w:val="20"/>
                <w:szCs w:val="20"/>
              </w:rPr>
            </w:pPr>
            <w:r w:rsidRPr="006B6D61">
              <w:rPr>
                <w:rFonts w:cstheme="minorHAnsi"/>
                <w:sz w:val="20"/>
                <w:szCs w:val="20"/>
              </w:rPr>
              <w:t>275</w:t>
            </w:r>
          </w:p>
        </w:tc>
        <w:tc>
          <w:tcPr>
            <w:tcW w:w="1224" w:type="dxa"/>
            <w:tcBorders>
              <w:top w:val="nil"/>
              <w:left w:val="nil"/>
              <w:bottom w:val="single" w:sz="4" w:space="0" w:color="auto"/>
              <w:right w:val="single" w:sz="4" w:space="0" w:color="auto"/>
            </w:tcBorders>
            <w:shd w:val="clear" w:color="auto" w:fill="auto"/>
            <w:noWrap/>
            <w:vAlign w:val="center"/>
            <w:hideMark/>
          </w:tcPr>
          <w:p w14:paraId="6DE3917C" w14:textId="4C86A502" w:rsidR="00E827A7" w:rsidRPr="006B6D61" w:rsidRDefault="00F94759" w:rsidP="00E827A7">
            <w:pPr>
              <w:spacing w:after="0"/>
              <w:jc w:val="right"/>
              <w:rPr>
                <w:rFonts w:cstheme="minorHAnsi"/>
                <w:sz w:val="20"/>
                <w:szCs w:val="20"/>
              </w:rPr>
            </w:pPr>
            <w:r w:rsidRPr="006B6D61">
              <w:rPr>
                <w:rFonts w:cstheme="minorHAnsi"/>
                <w:sz w:val="20"/>
                <w:szCs w:val="20"/>
              </w:rPr>
              <w:t>289</w:t>
            </w:r>
          </w:p>
        </w:tc>
        <w:tc>
          <w:tcPr>
            <w:tcW w:w="1290" w:type="dxa"/>
            <w:tcBorders>
              <w:top w:val="nil"/>
              <w:left w:val="nil"/>
              <w:bottom w:val="single" w:sz="4" w:space="0" w:color="auto"/>
              <w:right w:val="single" w:sz="4" w:space="0" w:color="auto"/>
            </w:tcBorders>
            <w:shd w:val="clear" w:color="auto" w:fill="auto"/>
            <w:noWrap/>
            <w:vAlign w:val="center"/>
            <w:hideMark/>
          </w:tcPr>
          <w:p w14:paraId="4E51306A" w14:textId="64752653" w:rsidR="00E827A7" w:rsidRPr="006B6D61" w:rsidRDefault="00CA3138" w:rsidP="00E827A7">
            <w:pPr>
              <w:spacing w:after="0"/>
              <w:jc w:val="right"/>
              <w:rPr>
                <w:rFonts w:cstheme="minorHAnsi"/>
                <w:sz w:val="20"/>
                <w:szCs w:val="20"/>
              </w:rPr>
            </w:pPr>
            <w:r w:rsidRPr="006B6D61">
              <w:rPr>
                <w:rFonts w:cstheme="minorHAnsi"/>
                <w:sz w:val="20"/>
                <w:szCs w:val="20"/>
              </w:rPr>
              <w:t>3 773</w:t>
            </w:r>
          </w:p>
        </w:tc>
        <w:tc>
          <w:tcPr>
            <w:tcW w:w="1149" w:type="dxa"/>
            <w:tcBorders>
              <w:top w:val="nil"/>
              <w:left w:val="nil"/>
              <w:bottom w:val="single" w:sz="4" w:space="0" w:color="auto"/>
              <w:right w:val="single" w:sz="4" w:space="0" w:color="auto"/>
            </w:tcBorders>
            <w:shd w:val="clear" w:color="auto" w:fill="auto"/>
            <w:noWrap/>
            <w:vAlign w:val="center"/>
            <w:hideMark/>
          </w:tcPr>
          <w:p w14:paraId="1BBB41C7" w14:textId="7D4C2DDE" w:rsidR="00E827A7" w:rsidRPr="006B6D61" w:rsidRDefault="004E1B25" w:rsidP="00E827A7">
            <w:pPr>
              <w:spacing w:after="0"/>
              <w:jc w:val="right"/>
              <w:rPr>
                <w:rFonts w:cstheme="minorHAnsi"/>
                <w:sz w:val="20"/>
                <w:szCs w:val="20"/>
              </w:rPr>
            </w:pPr>
            <w:r w:rsidRPr="006B6D61">
              <w:rPr>
                <w:rFonts w:cstheme="minorHAnsi"/>
                <w:sz w:val="20"/>
                <w:szCs w:val="20"/>
              </w:rPr>
              <w:t>3 484</w:t>
            </w:r>
            <w:r w:rsidR="00E827A7" w:rsidRPr="006B6D61">
              <w:rPr>
                <w:rFonts w:cstheme="minorHAnsi"/>
                <w:sz w:val="20"/>
                <w:szCs w:val="20"/>
              </w:rPr>
              <w:t xml:space="preserve"> </w:t>
            </w:r>
          </w:p>
        </w:tc>
        <w:tc>
          <w:tcPr>
            <w:tcW w:w="992" w:type="dxa"/>
            <w:tcBorders>
              <w:top w:val="nil"/>
              <w:left w:val="nil"/>
              <w:bottom w:val="single" w:sz="4" w:space="0" w:color="auto"/>
              <w:right w:val="single" w:sz="4" w:space="0" w:color="auto"/>
            </w:tcBorders>
            <w:shd w:val="clear" w:color="auto" w:fill="auto"/>
            <w:noWrap/>
            <w:vAlign w:val="center"/>
            <w:hideMark/>
          </w:tcPr>
          <w:p w14:paraId="79D73F03" w14:textId="6E88972E" w:rsidR="00E827A7" w:rsidRPr="006B6D61" w:rsidRDefault="00513E24" w:rsidP="00E827A7">
            <w:pPr>
              <w:spacing w:after="0"/>
              <w:jc w:val="right"/>
              <w:rPr>
                <w:rFonts w:cstheme="minorHAnsi"/>
                <w:sz w:val="20"/>
                <w:szCs w:val="20"/>
              </w:rPr>
            </w:pPr>
            <w:r w:rsidRPr="006B6D61">
              <w:rPr>
                <w:rFonts w:cstheme="minorHAnsi"/>
                <w:sz w:val="20"/>
                <w:szCs w:val="20"/>
              </w:rPr>
              <w:t>53,8</w:t>
            </w:r>
          </w:p>
        </w:tc>
      </w:tr>
      <w:tr w:rsidR="002F1BE7" w:rsidRPr="0044012B" w14:paraId="5A2695B2" w14:textId="77777777" w:rsidTr="006B6D61">
        <w:trPr>
          <w:trHeight w:val="300"/>
        </w:trPr>
        <w:tc>
          <w:tcPr>
            <w:tcW w:w="0" w:type="auto"/>
            <w:tcBorders>
              <w:top w:val="nil"/>
              <w:left w:val="single" w:sz="4" w:space="0" w:color="auto"/>
              <w:bottom w:val="single" w:sz="4" w:space="0" w:color="auto"/>
              <w:right w:val="nil"/>
            </w:tcBorders>
            <w:shd w:val="clear" w:color="auto" w:fill="auto"/>
            <w:noWrap/>
            <w:vAlign w:val="center"/>
            <w:hideMark/>
          </w:tcPr>
          <w:p w14:paraId="04173B69" w14:textId="77777777" w:rsidR="00E827A7" w:rsidRPr="0077128B" w:rsidRDefault="00E827A7" w:rsidP="00E827A7">
            <w:pPr>
              <w:spacing w:after="0"/>
              <w:rPr>
                <w:rFonts w:cstheme="minorHAnsi"/>
                <w:color w:val="FF0000"/>
                <w:sz w:val="20"/>
                <w:szCs w:val="20"/>
              </w:rPr>
            </w:pPr>
            <w:r w:rsidRPr="0077128B">
              <w:rPr>
                <w:rFonts w:cstheme="minorHAnsi"/>
                <w:color w:val="FF0000"/>
                <w:sz w:val="20"/>
                <w:szCs w:val="20"/>
              </w:rPr>
              <w:t> </w:t>
            </w:r>
          </w:p>
        </w:tc>
        <w:tc>
          <w:tcPr>
            <w:tcW w:w="1819" w:type="dxa"/>
            <w:tcBorders>
              <w:top w:val="nil"/>
              <w:left w:val="nil"/>
              <w:bottom w:val="single" w:sz="4" w:space="0" w:color="auto"/>
              <w:right w:val="single" w:sz="4" w:space="0" w:color="auto"/>
            </w:tcBorders>
            <w:shd w:val="clear" w:color="auto" w:fill="auto"/>
            <w:noWrap/>
            <w:vAlign w:val="center"/>
            <w:hideMark/>
          </w:tcPr>
          <w:p w14:paraId="0A4ECDC4" w14:textId="4367E19D" w:rsidR="00E827A7" w:rsidRPr="006B6D61" w:rsidRDefault="00E827A7" w:rsidP="00E827A7">
            <w:pPr>
              <w:spacing w:after="0"/>
              <w:rPr>
                <w:rFonts w:cstheme="minorHAnsi"/>
                <w:sz w:val="20"/>
                <w:szCs w:val="20"/>
              </w:rPr>
            </w:pPr>
            <w:r w:rsidRPr="006B6D61">
              <w:rPr>
                <w:rFonts w:cstheme="minorHAnsi"/>
                <w:sz w:val="20"/>
                <w:szCs w:val="20"/>
              </w:rPr>
              <w:t xml:space="preserve">Členské </w:t>
            </w:r>
            <w:proofErr w:type="spellStart"/>
            <w:r w:rsidRPr="006B6D61">
              <w:rPr>
                <w:rFonts w:cstheme="minorHAnsi"/>
                <w:sz w:val="20"/>
                <w:szCs w:val="20"/>
              </w:rPr>
              <w:t>přísp</w:t>
            </w:r>
            <w:proofErr w:type="spellEnd"/>
            <w:r w:rsidRPr="006B6D61">
              <w:rPr>
                <w:rFonts w:cstheme="minorHAnsi"/>
                <w:sz w:val="20"/>
                <w:szCs w:val="20"/>
              </w:rPr>
              <w:t xml:space="preserve">. </w:t>
            </w:r>
            <w:proofErr w:type="spellStart"/>
            <w:r w:rsidRPr="006B6D61">
              <w:rPr>
                <w:rFonts w:cstheme="minorHAnsi"/>
                <w:sz w:val="20"/>
                <w:szCs w:val="20"/>
              </w:rPr>
              <w:t>mezinár</w:t>
            </w:r>
            <w:proofErr w:type="spellEnd"/>
            <w:r w:rsidRPr="006B6D61">
              <w:rPr>
                <w:rFonts w:cstheme="minorHAnsi"/>
                <w:sz w:val="20"/>
                <w:szCs w:val="20"/>
              </w:rPr>
              <w:t xml:space="preserve">. vládním </w:t>
            </w:r>
            <w:proofErr w:type="spellStart"/>
            <w:r w:rsidRPr="006B6D61">
              <w:rPr>
                <w:rFonts w:cstheme="minorHAnsi"/>
                <w:sz w:val="20"/>
                <w:szCs w:val="20"/>
              </w:rPr>
              <w:t>org</w:t>
            </w:r>
            <w:proofErr w:type="spellEnd"/>
            <w:r w:rsidRPr="006B6D61">
              <w:rPr>
                <w:rFonts w:cstheme="minorHAnsi"/>
                <w:sz w:val="20"/>
                <w:szCs w:val="20"/>
              </w:rPr>
              <w:t>.</w:t>
            </w:r>
          </w:p>
        </w:tc>
        <w:tc>
          <w:tcPr>
            <w:tcW w:w="1201" w:type="dxa"/>
            <w:tcBorders>
              <w:top w:val="nil"/>
              <w:left w:val="nil"/>
              <w:bottom w:val="single" w:sz="4" w:space="0" w:color="auto"/>
              <w:right w:val="single" w:sz="4" w:space="0" w:color="auto"/>
            </w:tcBorders>
            <w:shd w:val="clear" w:color="auto" w:fill="auto"/>
            <w:noWrap/>
            <w:vAlign w:val="center"/>
            <w:hideMark/>
          </w:tcPr>
          <w:p w14:paraId="0C388889" w14:textId="091CB188" w:rsidR="00E827A7" w:rsidRPr="006B6D61" w:rsidRDefault="00CB6EC5">
            <w:pPr>
              <w:spacing w:after="0"/>
              <w:jc w:val="right"/>
              <w:rPr>
                <w:rFonts w:cstheme="minorHAnsi"/>
                <w:sz w:val="20"/>
                <w:szCs w:val="20"/>
              </w:rPr>
            </w:pPr>
            <w:r w:rsidRPr="006B6D61">
              <w:rPr>
                <w:rFonts w:cstheme="minorHAnsi"/>
                <w:sz w:val="20"/>
                <w:szCs w:val="20"/>
              </w:rPr>
              <w:t>14 926</w:t>
            </w:r>
          </w:p>
        </w:tc>
        <w:tc>
          <w:tcPr>
            <w:tcW w:w="1212" w:type="dxa"/>
            <w:tcBorders>
              <w:top w:val="nil"/>
              <w:left w:val="nil"/>
              <w:bottom w:val="single" w:sz="4" w:space="0" w:color="auto"/>
              <w:right w:val="single" w:sz="4" w:space="0" w:color="auto"/>
            </w:tcBorders>
            <w:shd w:val="clear" w:color="auto" w:fill="auto"/>
            <w:noWrap/>
            <w:vAlign w:val="center"/>
            <w:hideMark/>
          </w:tcPr>
          <w:p w14:paraId="6FDAA950" w14:textId="2CD35E96" w:rsidR="00E827A7" w:rsidRPr="006B6D61" w:rsidRDefault="00363E33" w:rsidP="00E827A7">
            <w:pPr>
              <w:spacing w:after="0"/>
              <w:jc w:val="right"/>
              <w:rPr>
                <w:rFonts w:cstheme="minorHAnsi"/>
                <w:sz w:val="20"/>
                <w:szCs w:val="20"/>
              </w:rPr>
            </w:pPr>
            <w:r w:rsidRPr="006B6D61">
              <w:rPr>
                <w:rFonts w:cstheme="minorHAnsi"/>
                <w:sz w:val="20"/>
                <w:szCs w:val="20"/>
              </w:rPr>
              <w:t xml:space="preserve">18 </w:t>
            </w:r>
            <w:r w:rsidR="00996C72" w:rsidRPr="006B6D61">
              <w:rPr>
                <w:rFonts w:cstheme="minorHAnsi"/>
                <w:sz w:val="20"/>
                <w:szCs w:val="20"/>
              </w:rPr>
              <w:t>684</w:t>
            </w:r>
          </w:p>
        </w:tc>
        <w:tc>
          <w:tcPr>
            <w:tcW w:w="1224" w:type="dxa"/>
            <w:tcBorders>
              <w:top w:val="nil"/>
              <w:left w:val="nil"/>
              <w:bottom w:val="single" w:sz="4" w:space="0" w:color="auto"/>
              <w:right w:val="single" w:sz="4" w:space="0" w:color="auto"/>
            </w:tcBorders>
            <w:shd w:val="clear" w:color="auto" w:fill="auto"/>
            <w:noWrap/>
            <w:vAlign w:val="center"/>
            <w:hideMark/>
          </w:tcPr>
          <w:p w14:paraId="329E4F16" w14:textId="43E07277" w:rsidR="00E827A7" w:rsidRPr="006B6D61" w:rsidRDefault="00F94759" w:rsidP="00E827A7">
            <w:pPr>
              <w:spacing w:after="0"/>
              <w:jc w:val="right"/>
              <w:rPr>
                <w:rFonts w:cstheme="minorHAnsi"/>
                <w:sz w:val="20"/>
                <w:szCs w:val="20"/>
              </w:rPr>
            </w:pPr>
            <w:r w:rsidRPr="006B6D61">
              <w:rPr>
                <w:rFonts w:cstheme="minorHAnsi"/>
                <w:sz w:val="20"/>
                <w:szCs w:val="20"/>
              </w:rPr>
              <w:t>18 345</w:t>
            </w:r>
          </w:p>
        </w:tc>
        <w:tc>
          <w:tcPr>
            <w:tcW w:w="1290" w:type="dxa"/>
            <w:tcBorders>
              <w:top w:val="nil"/>
              <w:left w:val="nil"/>
              <w:bottom w:val="single" w:sz="4" w:space="0" w:color="auto"/>
              <w:right w:val="single" w:sz="4" w:space="0" w:color="auto"/>
            </w:tcBorders>
            <w:shd w:val="clear" w:color="auto" w:fill="auto"/>
            <w:noWrap/>
            <w:vAlign w:val="center"/>
            <w:hideMark/>
          </w:tcPr>
          <w:p w14:paraId="7E4CBD8E" w14:textId="14940E22" w:rsidR="00E827A7" w:rsidRPr="002F1BE7" w:rsidRDefault="005D2932" w:rsidP="00E827A7">
            <w:pPr>
              <w:spacing w:after="0"/>
              <w:jc w:val="right"/>
              <w:rPr>
                <w:rFonts w:cstheme="minorHAnsi"/>
                <w:color w:val="FF0000"/>
                <w:sz w:val="20"/>
                <w:szCs w:val="20"/>
              </w:rPr>
            </w:pPr>
            <w:r w:rsidRPr="006B6D61">
              <w:rPr>
                <w:rFonts w:cstheme="minorHAnsi"/>
                <w:sz w:val="20"/>
                <w:szCs w:val="20"/>
              </w:rPr>
              <w:t>18 345</w:t>
            </w:r>
          </w:p>
        </w:tc>
        <w:tc>
          <w:tcPr>
            <w:tcW w:w="1149" w:type="dxa"/>
            <w:tcBorders>
              <w:top w:val="nil"/>
              <w:left w:val="nil"/>
              <w:bottom w:val="single" w:sz="4" w:space="0" w:color="auto"/>
              <w:right w:val="single" w:sz="4" w:space="0" w:color="auto"/>
            </w:tcBorders>
            <w:shd w:val="clear" w:color="auto" w:fill="auto"/>
            <w:noWrap/>
            <w:vAlign w:val="center"/>
            <w:hideMark/>
          </w:tcPr>
          <w:p w14:paraId="6110E420" w14:textId="0EEEEC19" w:rsidR="00E827A7" w:rsidRPr="006B6D61" w:rsidRDefault="004E1B25" w:rsidP="00E827A7">
            <w:pPr>
              <w:spacing w:after="0"/>
              <w:jc w:val="right"/>
              <w:rPr>
                <w:rFonts w:cstheme="minorHAnsi"/>
                <w:sz w:val="20"/>
                <w:szCs w:val="20"/>
              </w:rPr>
            </w:pPr>
            <w:r w:rsidRPr="006B6D61">
              <w:rPr>
                <w:rFonts w:cstheme="minorHAnsi"/>
                <w:sz w:val="20"/>
                <w:szCs w:val="20"/>
              </w:rPr>
              <w:t>13 710</w:t>
            </w:r>
          </w:p>
        </w:tc>
        <w:tc>
          <w:tcPr>
            <w:tcW w:w="992" w:type="dxa"/>
            <w:tcBorders>
              <w:top w:val="nil"/>
              <w:left w:val="nil"/>
              <w:bottom w:val="single" w:sz="4" w:space="0" w:color="auto"/>
              <w:right w:val="single" w:sz="4" w:space="0" w:color="auto"/>
            </w:tcBorders>
            <w:shd w:val="clear" w:color="auto" w:fill="auto"/>
            <w:noWrap/>
            <w:vAlign w:val="center"/>
            <w:hideMark/>
          </w:tcPr>
          <w:p w14:paraId="600C7D0F" w14:textId="7EE421F7" w:rsidR="00E827A7" w:rsidRPr="006B6D61" w:rsidRDefault="00513E24" w:rsidP="00E827A7">
            <w:pPr>
              <w:spacing w:after="0"/>
              <w:jc w:val="right"/>
              <w:rPr>
                <w:rFonts w:cstheme="minorHAnsi"/>
                <w:sz w:val="20"/>
                <w:szCs w:val="20"/>
              </w:rPr>
            </w:pPr>
            <w:r w:rsidRPr="006B6D61">
              <w:rPr>
                <w:rFonts w:cstheme="minorHAnsi"/>
                <w:sz w:val="20"/>
                <w:szCs w:val="20"/>
              </w:rPr>
              <w:t>91,9</w:t>
            </w:r>
          </w:p>
        </w:tc>
      </w:tr>
      <w:tr w:rsidR="002F1BE7" w:rsidRPr="0044012B" w14:paraId="2258A1D0" w14:textId="77777777" w:rsidTr="006B6D61">
        <w:trPr>
          <w:trHeight w:val="300"/>
        </w:trPr>
        <w:tc>
          <w:tcPr>
            <w:tcW w:w="0" w:type="auto"/>
            <w:tcBorders>
              <w:top w:val="nil"/>
              <w:left w:val="single" w:sz="4" w:space="0" w:color="auto"/>
              <w:bottom w:val="single" w:sz="4" w:space="0" w:color="auto"/>
              <w:right w:val="nil"/>
            </w:tcBorders>
            <w:shd w:val="clear" w:color="auto" w:fill="auto"/>
            <w:noWrap/>
            <w:vAlign w:val="center"/>
            <w:hideMark/>
          </w:tcPr>
          <w:p w14:paraId="1549A110" w14:textId="77777777" w:rsidR="00E827A7" w:rsidRPr="0077128B" w:rsidRDefault="00E827A7" w:rsidP="00E827A7">
            <w:pPr>
              <w:spacing w:after="0"/>
              <w:rPr>
                <w:rFonts w:cstheme="minorHAnsi"/>
                <w:color w:val="FF0000"/>
                <w:sz w:val="20"/>
                <w:szCs w:val="20"/>
              </w:rPr>
            </w:pPr>
            <w:r w:rsidRPr="0077128B">
              <w:rPr>
                <w:rFonts w:cstheme="minorHAnsi"/>
                <w:color w:val="FF0000"/>
                <w:sz w:val="20"/>
                <w:szCs w:val="20"/>
              </w:rPr>
              <w:t> </w:t>
            </w:r>
          </w:p>
        </w:tc>
        <w:tc>
          <w:tcPr>
            <w:tcW w:w="1819" w:type="dxa"/>
            <w:tcBorders>
              <w:top w:val="nil"/>
              <w:left w:val="nil"/>
              <w:bottom w:val="single" w:sz="4" w:space="0" w:color="auto"/>
              <w:right w:val="single" w:sz="4" w:space="0" w:color="auto"/>
            </w:tcBorders>
            <w:shd w:val="clear" w:color="auto" w:fill="auto"/>
            <w:vAlign w:val="center"/>
            <w:hideMark/>
          </w:tcPr>
          <w:p w14:paraId="44B49CA8" w14:textId="2E232BA6" w:rsidR="00E827A7" w:rsidRPr="006B6D61" w:rsidRDefault="00E827A7" w:rsidP="00E827A7">
            <w:pPr>
              <w:spacing w:after="0"/>
              <w:rPr>
                <w:rFonts w:cstheme="minorHAnsi"/>
                <w:sz w:val="20"/>
                <w:szCs w:val="20"/>
              </w:rPr>
            </w:pPr>
            <w:r w:rsidRPr="006B6D61">
              <w:rPr>
                <w:rFonts w:cstheme="minorHAnsi"/>
                <w:sz w:val="20"/>
                <w:szCs w:val="20"/>
              </w:rPr>
              <w:t xml:space="preserve">Členské </w:t>
            </w:r>
            <w:proofErr w:type="spellStart"/>
            <w:r w:rsidRPr="006B6D61">
              <w:rPr>
                <w:rFonts w:cstheme="minorHAnsi"/>
                <w:sz w:val="20"/>
                <w:szCs w:val="20"/>
              </w:rPr>
              <w:t>přísp</w:t>
            </w:r>
            <w:proofErr w:type="spellEnd"/>
            <w:r w:rsidRPr="006B6D61">
              <w:rPr>
                <w:rFonts w:cstheme="minorHAnsi"/>
                <w:sz w:val="20"/>
                <w:szCs w:val="20"/>
              </w:rPr>
              <w:t xml:space="preserve">. </w:t>
            </w:r>
            <w:proofErr w:type="spellStart"/>
            <w:r w:rsidRPr="006B6D61">
              <w:rPr>
                <w:rFonts w:cstheme="minorHAnsi"/>
                <w:sz w:val="20"/>
                <w:szCs w:val="20"/>
              </w:rPr>
              <w:t>mezinár</w:t>
            </w:r>
            <w:proofErr w:type="spellEnd"/>
            <w:r w:rsidRPr="006B6D61">
              <w:rPr>
                <w:rFonts w:cstheme="minorHAnsi"/>
                <w:sz w:val="20"/>
                <w:szCs w:val="20"/>
              </w:rPr>
              <w:t xml:space="preserve">. nevládním </w:t>
            </w:r>
            <w:proofErr w:type="spellStart"/>
            <w:r w:rsidRPr="006B6D61">
              <w:rPr>
                <w:rFonts w:cstheme="minorHAnsi"/>
                <w:sz w:val="20"/>
                <w:szCs w:val="20"/>
              </w:rPr>
              <w:t>org</w:t>
            </w:r>
            <w:proofErr w:type="spellEnd"/>
            <w:r w:rsidRPr="006B6D61">
              <w:rPr>
                <w:rFonts w:cstheme="minorHAnsi"/>
                <w:sz w:val="20"/>
                <w:szCs w:val="20"/>
              </w:rPr>
              <w:t>.</w:t>
            </w:r>
          </w:p>
        </w:tc>
        <w:tc>
          <w:tcPr>
            <w:tcW w:w="1201" w:type="dxa"/>
            <w:tcBorders>
              <w:top w:val="nil"/>
              <w:left w:val="nil"/>
              <w:bottom w:val="single" w:sz="4" w:space="0" w:color="auto"/>
              <w:right w:val="single" w:sz="4" w:space="0" w:color="auto"/>
            </w:tcBorders>
            <w:shd w:val="clear" w:color="auto" w:fill="auto"/>
            <w:noWrap/>
            <w:vAlign w:val="center"/>
            <w:hideMark/>
          </w:tcPr>
          <w:p w14:paraId="5FEABB8F" w14:textId="10F80B5A" w:rsidR="00E827A7" w:rsidRPr="006B6D61" w:rsidRDefault="00CB6EC5" w:rsidP="00E827A7">
            <w:pPr>
              <w:spacing w:after="0"/>
              <w:jc w:val="right"/>
              <w:rPr>
                <w:rFonts w:cstheme="minorHAnsi"/>
                <w:sz w:val="20"/>
                <w:szCs w:val="20"/>
              </w:rPr>
            </w:pPr>
            <w:r w:rsidRPr="006B6D61">
              <w:rPr>
                <w:rFonts w:cstheme="minorHAnsi"/>
                <w:sz w:val="20"/>
                <w:szCs w:val="20"/>
              </w:rPr>
              <w:t>525</w:t>
            </w:r>
          </w:p>
        </w:tc>
        <w:tc>
          <w:tcPr>
            <w:tcW w:w="1212" w:type="dxa"/>
            <w:tcBorders>
              <w:top w:val="nil"/>
              <w:left w:val="nil"/>
              <w:bottom w:val="single" w:sz="4" w:space="0" w:color="auto"/>
              <w:right w:val="single" w:sz="4" w:space="0" w:color="auto"/>
            </w:tcBorders>
            <w:shd w:val="clear" w:color="auto" w:fill="auto"/>
            <w:noWrap/>
            <w:vAlign w:val="center"/>
            <w:hideMark/>
          </w:tcPr>
          <w:p w14:paraId="4B2A57AE" w14:textId="16D830AC" w:rsidR="00E827A7" w:rsidRPr="006B6D61" w:rsidRDefault="00543477" w:rsidP="00E827A7">
            <w:pPr>
              <w:spacing w:after="0"/>
              <w:jc w:val="right"/>
              <w:rPr>
                <w:rFonts w:cstheme="minorHAnsi"/>
                <w:sz w:val="20"/>
                <w:szCs w:val="20"/>
              </w:rPr>
            </w:pPr>
            <w:r w:rsidRPr="006B6D61">
              <w:rPr>
                <w:rFonts w:cstheme="minorHAnsi"/>
                <w:sz w:val="20"/>
                <w:szCs w:val="20"/>
              </w:rPr>
              <w:t>1 022</w:t>
            </w:r>
          </w:p>
        </w:tc>
        <w:tc>
          <w:tcPr>
            <w:tcW w:w="1224" w:type="dxa"/>
            <w:tcBorders>
              <w:top w:val="nil"/>
              <w:left w:val="nil"/>
              <w:bottom w:val="single" w:sz="4" w:space="0" w:color="auto"/>
              <w:right w:val="single" w:sz="4" w:space="0" w:color="auto"/>
            </w:tcBorders>
            <w:shd w:val="clear" w:color="auto" w:fill="auto"/>
            <w:noWrap/>
            <w:vAlign w:val="center"/>
            <w:hideMark/>
          </w:tcPr>
          <w:p w14:paraId="32729C48" w14:textId="7ECFFA11" w:rsidR="00E827A7" w:rsidRPr="006B6D61" w:rsidRDefault="00F94759" w:rsidP="00E827A7">
            <w:pPr>
              <w:spacing w:after="0"/>
              <w:jc w:val="right"/>
              <w:rPr>
                <w:rFonts w:cstheme="minorHAnsi"/>
                <w:sz w:val="20"/>
                <w:szCs w:val="20"/>
              </w:rPr>
            </w:pPr>
            <w:r w:rsidRPr="006B6D61">
              <w:rPr>
                <w:rFonts w:cstheme="minorHAnsi"/>
                <w:sz w:val="20"/>
                <w:szCs w:val="20"/>
              </w:rPr>
              <w:t>982</w:t>
            </w:r>
          </w:p>
        </w:tc>
        <w:tc>
          <w:tcPr>
            <w:tcW w:w="1290" w:type="dxa"/>
            <w:tcBorders>
              <w:top w:val="nil"/>
              <w:left w:val="nil"/>
              <w:bottom w:val="single" w:sz="4" w:space="0" w:color="auto"/>
              <w:right w:val="single" w:sz="4" w:space="0" w:color="auto"/>
            </w:tcBorders>
            <w:shd w:val="clear" w:color="auto" w:fill="auto"/>
            <w:noWrap/>
            <w:vAlign w:val="center"/>
            <w:hideMark/>
          </w:tcPr>
          <w:p w14:paraId="71E24979" w14:textId="607ACB97" w:rsidR="00E827A7" w:rsidRPr="002F1BE7" w:rsidRDefault="005D2932" w:rsidP="00E827A7">
            <w:pPr>
              <w:spacing w:after="0"/>
              <w:jc w:val="right"/>
              <w:rPr>
                <w:rFonts w:cstheme="minorHAnsi"/>
                <w:color w:val="FF0000"/>
                <w:sz w:val="20"/>
                <w:szCs w:val="20"/>
              </w:rPr>
            </w:pPr>
            <w:r w:rsidRPr="006B6D61">
              <w:rPr>
                <w:rFonts w:cstheme="minorHAnsi"/>
                <w:sz w:val="20"/>
                <w:szCs w:val="20"/>
              </w:rPr>
              <w:t>982</w:t>
            </w:r>
          </w:p>
        </w:tc>
        <w:tc>
          <w:tcPr>
            <w:tcW w:w="1149" w:type="dxa"/>
            <w:tcBorders>
              <w:top w:val="nil"/>
              <w:left w:val="nil"/>
              <w:bottom w:val="single" w:sz="4" w:space="0" w:color="auto"/>
              <w:right w:val="single" w:sz="4" w:space="0" w:color="auto"/>
            </w:tcBorders>
            <w:shd w:val="clear" w:color="auto" w:fill="auto"/>
            <w:noWrap/>
            <w:vAlign w:val="center"/>
            <w:hideMark/>
          </w:tcPr>
          <w:p w14:paraId="1129A690" w14:textId="61E138DE" w:rsidR="00E827A7" w:rsidRPr="006B6D61" w:rsidRDefault="004E1B25" w:rsidP="00E827A7">
            <w:pPr>
              <w:spacing w:after="0"/>
              <w:jc w:val="right"/>
              <w:rPr>
                <w:rFonts w:cstheme="minorHAnsi"/>
                <w:sz w:val="20"/>
                <w:szCs w:val="20"/>
              </w:rPr>
            </w:pPr>
            <w:r w:rsidRPr="006B6D61">
              <w:rPr>
                <w:rFonts w:cstheme="minorHAnsi"/>
                <w:sz w:val="20"/>
                <w:szCs w:val="20"/>
              </w:rPr>
              <w:t>739</w:t>
            </w:r>
          </w:p>
        </w:tc>
        <w:tc>
          <w:tcPr>
            <w:tcW w:w="992" w:type="dxa"/>
            <w:tcBorders>
              <w:top w:val="nil"/>
              <w:left w:val="nil"/>
              <w:bottom w:val="single" w:sz="4" w:space="0" w:color="auto"/>
              <w:right w:val="single" w:sz="4" w:space="0" w:color="auto"/>
            </w:tcBorders>
            <w:shd w:val="clear" w:color="auto" w:fill="auto"/>
            <w:noWrap/>
            <w:vAlign w:val="center"/>
            <w:hideMark/>
          </w:tcPr>
          <w:p w14:paraId="05E7A2AE" w14:textId="184F94C3" w:rsidR="00E827A7" w:rsidRPr="006B6D61" w:rsidRDefault="00513E24" w:rsidP="00E827A7">
            <w:pPr>
              <w:spacing w:after="0"/>
              <w:jc w:val="right"/>
              <w:rPr>
                <w:rFonts w:cstheme="minorHAnsi"/>
                <w:sz w:val="20"/>
                <w:szCs w:val="20"/>
              </w:rPr>
            </w:pPr>
            <w:r w:rsidRPr="006B6D61">
              <w:rPr>
                <w:rFonts w:cstheme="minorHAnsi"/>
                <w:sz w:val="20"/>
                <w:szCs w:val="20"/>
              </w:rPr>
              <w:t>140,8</w:t>
            </w:r>
          </w:p>
        </w:tc>
      </w:tr>
      <w:tr w:rsidR="002F1BE7" w:rsidRPr="0044012B" w14:paraId="484125B1" w14:textId="77777777" w:rsidTr="006B6D61">
        <w:trPr>
          <w:trHeight w:val="420"/>
        </w:trPr>
        <w:tc>
          <w:tcPr>
            <w:tcW w:w="2004" w:type="dxa"/>
            <w:gridSpan w:val="2"/>
            <w:tcBorders>
              <w:top w:val="nil"/>
              <w:left w:val="single" w:sz="4" w:space="0" w:color="auto"/>
              <w:bottom w:val="single" w:sz="4" w:space="0" w:color="auto"/>
              <w:right w:val="single" w:sz="4" w:space="0" w:color="auto"/>
            </w:tcBorders>
            <w:shd w:val="clear" w:color="auto" w:fill="auto"/>
            <w:noWrap/>
            <w:vAlign w:val="center"/>
            <w:hideMark/>
          </w:tcPr>
          <w:p w14:paraId="057CDB6D" w14:textId="327E8B0E" w:rsidR="00E827A7" w:rsidRPr="006B6D61" w:rsidRDefault="00E827A7" w:rsidP="00E827A7">
            <w:pPr>
              <w:spacing w:after="0"/>
              <w:rPr>
                <w:rFonts w:cstheme="minorHAnsi"/>
                <w:b/>
                <w:sz w:val="20"/>
                <w:szCs w:val="20"/>
              </w:rPr>
            </w:pPr>
            <w:r w:rsidRPr="006B6D61">
              <w:rPr>
                <w:rFonts w:cstheme="minorHAnsi"/>
                <w:b/>
                <w:sz w:val="20"/>
                <w:szCs w:val="20"/>
              </w:rPr>
              <w:t>Investiční transfery do zahraničí</w:t>
            </w:r>
          </w:p>
        </w:tc>
        <w:tc>
          <w:tcPr>
            <w:tcW w:w="1201" w:type="dxa"/>
            <w:tcBorders>
              <w:top w:val="nil"/>
              <w:left w:val="nil"/>
              <w:bottom w:val="single" w:sz="4" w:space="0" w:color="auto"/>
              <w:right w:val="single" w:sz="4" w:space="0" w:color="auto"/>
            </w:tcBorders>
            <w:shd w:val="clear" w:color="auto" w:fill="auto"/>
            <w:noWrap/>
            <w:vAlign w:val="center"/>
            <w:hideMark/>
          </w:tcPr>
          <w:p w14:paraId="21FA9215" w14:textId="6B7CC5B3" w:rsidR="00E827A7" w:rsidRPr="006B6D61" w:rsidRDefault="00E827A7" w:rsidP="00E827A7">
            <w:pPr>
              <w:spacing w:after="0"/>
              <w:jc w:val="right"/>
              <w:rPr>
                <w:rFonts w:cstheme="minorHAnsi"/>
                <w:b/>
                <w:sz w:val="20"/>
                <w:szCs w:val="20"/>
              </w:rPr>
            </w:pPr>
            <w:r w:rsidRPr="006B6D61">
              <w:rPr>
                <w:rFonts w:cstheme="minorHAnsi"/>
                <w:b/>
                <w:sz w:val="20"/>
                <w:szCs w:val="20"/>
              </w:rPr>
              <w:t>0</w:t>
            </w:r>
          </w:p>
        </w:tc>
        <w:tc>
          <w:tcPr>
            <w:tcW w:w="1212" w:type="dxa"/>
            <w:tcBorders>
              <w:top w:val="nil"/>
              <w:left w:val="nil"/>
              <w:bottom w:val="single" w:sz="4" w:space="0" w:color="auto"/>
              <w:right w:val="single" w:sz="4" w:space="0" w:color="auto"/>
            </w:tcBorders>
            <w:shd w:val="clear" w:color="auto" w:fill="auto"/>
            <w:noWrap/>
            <w:vAlign w:val="center"/>
            <w:hideMark/>
          </w:tcPr>
          <w:p w14:paraId="24C2ECEC" w14:textId="77777777" w:rsidR="00E827A7" w:rsidRPr="006B6D61" w:rsidRDefault="00E827A7" w:rsidP="00E827A7">
            <w:pPr>
              <w:spacing w:after="0"/>
              <w:jc w:val="right"/>
              <w:rPr>
                <w:rFonts w:cstheme="minorHAnsi"/>
                <w:b/>
                <w:sz w:val="20"/>
                <w:szCs w:val="20"/>
              </w:rPr>
            </w:pPr>
            <w:r w:rsidRPr="006B6D61">
              <w:rPr>
                <w:rFonts w:cstheme="minorHAnsi"/>
                <w:b/>
                <w:sz w:val="20"/>
                <w:szCs w:val="20"/>
              </w:rPr>
              <w:t>0</w:t>
            </w:r>
          </w:p>
        </w:tc>
        <w:tc>
          <w:tcPr>
            <w:tcW w:w="1224" w:type="dxa"/>
            <w:tcBorders>
              <w:top w:val="nil"/>
              <w:left w:val="nil"/>
              <w:bottom w:val="single" w:sz="4" w:space="0" w:color="auto"/>
              <w:right w:val="single" w:sz="4" w:space="0" w:color="auto"/>
            </w:tcBorders>
            <w:shd w:val="clear" w:color="auto" w:fill="auto"/>
            <w:noWrap/>
            <w:vAlign w:val="center"/>
            <w:hideMark/>
          </w:tcPr>
          <w:p w14:paraId="6507E389" w14:textId="77777777" w:rsidR="00E827A7" w:rsidRPr="006B6D61" w:rsidRDefault="00E827A7" w:rsidP="00E827A7">
            <w:pPr>
              <w:spacing w:after="0"/>
              <w:jc w:val="right"/>
              <w:rPr>
                <w:rFonts w:cstheme="minorHAnsi"/>
                <w:b/>
                <w:sz w:val="20"/>
                <w:szCs w:val="20"/>
              </w:rPr>
            </w:pPr>
            <w:r w:rsidRPr="006B6D61">
              <w:rPr>
                <w:rFonts w:cstheme="minorHAnsi"/>
                <w:b/>
                <w:sz w:val="20"/>
                <w:szCs w:val="20"/>
              </w:rPr>
              <w:t>0</w:t>
            </w:r>
          </w:p>
        </w:tc>
        <w:tc>
          <w:tcPr>
            <w:tcW w:w="1290" w:type="dxa"/>
            <w:tcBorders>
              <w:top w:val="nil"/>
              <w:left w:val="nil"/>
              <w:bottom w:val="single" w:sz="4" w:space="0" w:color="auto"/>
              <w:right w:val="single" w:sz="4" w:space="0" w:color="auto"/>
            </w:tcBorders>
            <w:shd w:val="clear" w:color="auto" w:fill="auto"/>
            <w:noWrap/>
            <w:vAlign w:val="center"/>
            <w:hideMark/>
          </w:tcPr>
          <w:p w14:paraId="7AB0FBBF" w14:textId="77777777" w:rsidR="00E827A7" w:rsidRPr="006B6D61" w:rsidRDefault="00E827A7" w:rsidP="00E827A7">
            <w:pPr>
              <w:spacing w:after="0"/>
              <w:jc w:val="right"/>
              <w:rPr>
                <w:rFonts w:cstheme="minorHAnsi"/>
                <w:b/>
                <w:sz w:val="20"/>
                <w:szCs w:val="20"/>
              </w:rPr>
            </w:pPr>
            <w:r w:rsidRPr="006B6D61">
              <w:rPr>
                <w:rFonts w:cstheme="minorHAnsi"/>
                <w:b/>
                <w:sz w:val="20"/>
                <w:szCs w:val="20"/>
              </w:rPr>
              <w:t>0</w:t>
            </w:r>
          </w:p>
        </w:tc>
        <w:tc>
          <w:tcPr>
            <w:tcW w:w="1149" w:type="dxa"/>
            <w:tcBorders>
              <w:top w:val="nil"/>
              <w:left w:val="nil"/>
              <w:bottom w:val="single" w:sz="4" w:space="0" w:color="auto"/>
              <w:right w:val="single" w:sz="4" w:space="0" w:color="auto"/>
            </w:tcBorders>
            <w:shd w:val="clear" w:color="auto" w:fill="auto"/>
            <w:noWrap/>
            <w:vAlign w:val="center"/>
            <w:hideMark/>
          </w:tcPr>
          <w:p w14:paraId="72B6CDB0" w14:textId="6068A880" w:rsidR="00E827A7" w:rsidRPr="006B6D61" w:rsidRDefault="00363E33" w:rsidP="00E827A7">
            <w:pPr>
              <w:spacing w:after="0"/>
              <w:jc w:val="right"/>
              <w:rPr>
                <w:rFonts w:cstheme="minorHAnsi"/>
                <w:b/>
                <w:sz w:val="20"/>
                <w:szCs w:val="20"/>
              </w:rPr>
            </w:pPr>
            <w:r w:rsidRPr="006B6D61">
              <w:rPr>
                <w:rFonts w:cstheme="minorHAnsi"/>
                <w:b/>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9FDCA27" w14:textId="4F303BBB" w:rsidR="00E827A7" w:rsidRPr="006B6D61" w:rsidRDefault="00363E33" w:rsidP="00E827A7">
            <w:pPr>
              <w:spacing w:after="0"/>
              <w:jc w:val="right"/>
              <w:rPr>
                <w:rFonts w:cstheme="minorHAnsi"/>
                <w:b/>
                <w:sz w:val="20"/>
                <w:szCs w:val="20"/>
              </w:rPr>
            </w:pPr>
            <w:r w:rsidRPr="006B6D61">
              <w:rPr>
                <w:rFonts w:cstheme="minorHAnsi"/>
                <w:b/>
                <w:sz w:val="20"/>
                <w:szCs w:val="20"/>
              </w:rPr>
              <w:t>x</w:t>
            </w:r>
          </w:p>
        </w:tc>
      </w:tr>
    </w:tbl>
    <w:p w14:paraId="3B1F8CAD" w14:textId="04A5C879" w:rsidR="00677654" w:rsidRPr="006B6D61" w:rsidRDefault="00677654" w:rsidP="008A0E44">
      <w:pPr>
        <w:pStyle w:val="KOMnadp4"/>
      </w:pPr>
      <w:r w:rsidRPr="006B6D61">
        <w:t>Neinvestiční transfery do zahraničí</w:t>
      </w:r>
    </w:p>
    <w:p w14:paraId="67087F74" w14:textId="5A5E7414" w:rsidR="007A16B7" w:rsidRPr="002F1BE7" w:rsidRDefault="007A16B7" w:rsidP="003F0A7C">
      <w:pPr>
        <w:pStyle w:val="KOMtext"/>
        <w:rPr>
          <w:color w:val="FF0000"/>
        </w:rPr>
      </w:pPr>
      <w:r w:rsidRPr="006B6D61">
        <w:t xml:space="preserve">Schválený rozpočet 1 224 </w:t>
      </w:r>
      <w:r w:rsidR="00705A8D" w:rsidRPr="006B6D61">
        <w:t>981</w:t>
      </w:r>
      <w:r w:rsidRPr="006B6D61">
        <w:t xml:space="preserve"> tis. Kč byl v roce 202</w:t>
      </w:r>
      <w:r w:rsidR="006950DB" w:rsidRPr="006B6D61">
        <w:t>3</w:t>
      </w:r>
      <w:r w:rsidRPr="006B6D61">
        <w:t xml:space="preserve"> </w:t>
      </w:r>
      <w:r w:rsidR="00AC390C">
        <w:t>po zapojení nároků</w:t>
      </w:r>
      <w:r>
        <w:t xml:space="preserve"> </w:t>
      </w:r>
      <w:r w:rsidRPr="006B6D61">
        <w:t xml:space="preserve">upraven </w:t>
      </w:r>
      <w:r w:rsidR="00AC390C">
        <w:br/>
      </w:r>
      <w:r w:rsidRPr="006B6D61">
        <w:t>na 1</w:t>
      </w:r>
      <w:r w:rsidR="00AC390C">
        <w:t> 250 940</w:t>
      </w:r>
      <w:r w:rsidRPr="006B6D61">
        <w:t xml:space="preserve"> tis. Kč, tj. </w:t>
      </w:r>
      <w:r w:rsidR="00DF2EFD">
        <w:t>navýšení</w:t>
      </w:r>
      <w:r w:rsidRPr="006B6D61">
        <w:t xml:space="preserve"> o </w:t>
      </w:r>
      <w:r w:rsidR="00E310CB" w:rsidRPr="006B6D61">
        <w:t>2</w:t>
      </w:r>
      <w:r w:rsidR="00BC60A1">
        <w:t xml:space="preserve">5 959 </w:t>
      </w:r>
      <w:r w:rsidRPr="006B6D61">
        <w:t xml:space="preserve">tis. Kč. Finanční prostředky byly čerpány ve výši </w:t>
      </w:r>
      <w:r w:rsidR="00AC390C">
        <w:br/>
      </w:r>
      <w:r w:rsidRPr="006B6D61">
        <w:t>1</w:t>
      </w:r>
      <w:r w:rsidR="00E510F5" w:rsidRPr="006B6D61">
        <w:t> </w:t>
      </w:r>
      <w:r w:rsidRPr="006B6D61">
        <w:t>1</w:t>
      </w:r>
      <w:r w:rsidR="00E510F5" w:rsidRPr="006B6D61">
        <w:t>89 399</w:t>
      </w:r>
      <w:r w:rsidRPr="006B6D61">
        <w:t xml:space="preserve"> tis. Kč, tj. čerpání ve výši </w:t>
      </w:r>
      <w:r w:rsidR="00E510F5" w:rsidRPr="006B6D61">
        <w:t>99</w:t>
      </w:r>
      <w:r w:rsidRPr="006B6D61">
        <w:t>,</w:t>
      </w:r>
      <w:r w:rsidR="000F45BB">
        <w:t>3</w:t>
      </w:r>
      <w:r w:rsidRPr="006B6D61">
        <w:t xml:space="preserve"> % upraveného rozpočtu.</w:t>
      </w:r>
    </w:p>
    <w:p w14:paraId="4B1683ED" w14:textId="6D5398F3" w:rsidR="00677654" w:rsidRPr="006B6D61" w:rsidRDefault="00677654" w:rsidP="00BA4E5A">
      <w:pPr>
        <w:pStyle w:val="KOMnadp5"/>
        <w:rPr>
          <w:color w:val="auto"/>
        </w:rPr>
      </w:pPr>
      <w:r w:rsidRPr="006B6D61">
        <w:rPr>
          <w:color w:val="auto"/>
        </w:rPr>
        <w:t>Neinvestiční transfery mezinárodním vládním organizacím</w:t>
      </w:r>
    </w:p>
    <w:p w14:paraId="39CFEC3F" w14:textId="6D7F621F" w:rsidR="00677654" w:rsidRPr="002F1BE7" w:rsidRDefault="00677654" w:rsidP="00677654">
      <w:pPr>
        <w:pStyle w:val="KOMtext"/>
        <w:rPr>
          <w:color w:val="FF0000"/>
        </w:rPr>
      </w:pPr>
      <w:r w:rsidRPr="006B6D61">
        <w:t xml:space="preserve">Schválený rozpočet </w:t>
      </w:r>
      <w:r w:rsidR="00F23422" w:rsidRPr="006B6D61">
        <w:t>1 205 000</w:t>
      </w:r>
      <w:r w:rsidRPr="006B6D61">
        <w:t xml:space="preserve"> tis. Kč byl v roce </w:t>
      </w:r>
      <w:r w:rsidR="00F23422" w:rsidRPr="006B6D61">
        <w:t>202</w:t>
      </w:r>
      <w:r w:rsidR="00EA2955" w:rsidRPr="006B6D61">
        <w:t>3</w:t>
      </w:r>
      <w:r w:rsidRPr="006B6D61">
        <w:t xml:space="preserve"> </w:t>
      </w:r>
      <w:r w:rsidR="00BC60A1">
        <w:t>po zapojení nároků</w:t>
      </w:r>
      <w:r>
        <w:t xml:space="preserve"> </w:t>
      </w:r>
      <w:r w:rsidRPr="006B6D61">
        <w:t xml:space="preserve">upraven </w:t>
      </w:r>
      <w:r w:rsidR="009255C2">
        <w:br/>
      </w:r>
      <w:r w:rsidRPr="006B6D61">
        <w:t xml:space="preserve">na </w:t>
      </w:r>
      <w:r>
        <w:t>1</w:t>
      </w:r>
      <w:r w:rsidR="007850AF">
        <w:t> </w:t>
      </w:r>
      <w:r w:rsidR="009255C2">
        <w:t>227 841</w:t>
      </w:r>
      <w:r w:rsidRPr="006B6D61">
        <w:t xml:space="preserve"> tis. Kč, tj. </w:t>
      </w:r>
      <w:r w:rsidR="00C97D06">
        <w:t>navýšení</w:t>
      </w:r>
      <w:r w:rsidR="007850AF" w:rsidRPr="006B6D61">
        <w:t xml:space="preserve"> o </w:t>
      </w:r>
      <w:r w:rsidR="006C355A" w:rsidRPr="006B6D61">
        <w:t>2</w:t>
      </w:r>
      <w:r w:rsidR="00C97D06">
        <w:t>2 841</w:t>
      </w:r>
      <w:r w:rsidRPr="006B6D61">
        <w:t xml:space="preserve"> tis. Kč. Finanční prostředky byly čerpány ve výši </w:t>
      </w:r>
      <w:r w:rsidR="009255C2">
        <w:br/>
      </w:r>
      <w:r w:rsidR="007850AF" w:rsidRPr="006B6D61">
        <w:t>1</w:t>
      </w:r>
      <w:r w:rsidR="00655DA6" w:rsidRPr="006B6D61">
        <w:t> </w:t>
      </w:r>
      <w:r w:rsidR="007850AF" w:rsidRPr="006B6D61">
        <w:t>17</w:t>
      </w:r>
      <w:r w:rsidR="00655DA6" w:rsidRPr="006B6D61">
        <w:t>1 466</w:t>
      </w:r>
      <w:r w:rsidRPr="006B6D61">
        <w:t xml:space="preserve"> tis. Kč, tj. čerpání ve výši 9</w:t>
      </w:r>
      <w:r w:rsidR="007850AF" w:rsidRPr="006B6D61">
        <w:t>9,</w:t>
      </w:r>
      <w:r w:rsidR="008F0849" w:rsidRPr="006B6D61">
        <w:t>5</w:t>
      </w:r>
      <w:r w:rsidRPr="006B6D61">
        <w:t xml:space="preserve"> % upraveného rozpočtu.</w:t>
      </w:r>
    </w:p>
    <w:p w14:paraId="78A6FBDC" w14:textId="3146CB46" w:rsidR="00677654" w:rsidRPr="002F1BE7" w:rsidRDefault="00677654" w:rsidP="00677654">
      <w:pPr>
        <w:pStyle w:val="KOMtext"/>
        <w:rPr>
          <w:color w:val="FF0000"/>
        </w:rPr>
      </w:pPr>
      <w:r w:rsidRPr="006B6D61">
        <w:t xml:space="preserve">Tyto výdaje obsahují </w:t>
      </w:r>
      <w:r w:rsidR="00E94832" w:rsidRPr="006B6D61">
        <w:t xml:space="preserve">především </w:t>
      </w:r>
      <w:r w:rsidRPr="006B6D61">
        <w:t xml:space="preserve">příspěvky spojené s Rámcovým projektem k implementaci podpory, který je nástrojem k naplnění Národního kosmického plánu </w:t>
      </w:r>
      <w:proofErr w:type="gramStart"/>
      <w:r w:rsidRPr="006B6D61">
        <w:t>2020 -2025</w:t>
      </w:r>
      <w:proofErr w:type="gramEnd"/>
      <w:r w:rsidRPr="006B6D61">
        <w:t xml:space="preserve"> a mezi jehož hlavní cíle patří např. zvýšení spolupráce mezi akademickou sférou a průmyslem, zvýšení celkové viditelnosti ČR atd., ve výši </w:t>
      </w:r>
      <w:r w:rsidR="00E94832" w:rsidRPr="006B6D61">
        <w:t>3</w:t>
      </w:r>
      <w:r w:rsidR="00690DA7" w:rsidRPr="006B6D61">
        <w:t>42 795</w:t>
      </w:r>
      <w:r w:rsidRPr="006B6D61">
        <w:t xml:space="preserve"> tis. Kč a výdaje na financování volitelných programů ESA blízkých průmyslovým cílům, kde patří např. družicová telekomunikace, pozorování Země, nosné rakety atd., ve výši </w:t>
      </w:r>
      <w:r w:rsidR="00690DA7" w:rsidRPr="006B6D61">
        <w:t>828 672</w:t>
      </w:r>
      <w:r w:rsidRPr="006B6D61">
        <w:t xml:space="preserve"> tis. Kč.</w:t>
      </w:r>
    </w:p>
    <w:p w14:paraId="391911FF" w14:textId="77777777" w:rsidR="00677654" w:rsidRPr="006B6D61" w:rsidRDefault="00677654" w:rsidP="00BA4E5A">
      <w:pPr>
        <w:pStyle w:val="KOMnadp5"/>
        <w:rPr>
          <w:color w:val="auto"/>
        </w:rPr>
      </w:pPr>
      <w:r w:rsidRPr="006B6D61">
        <w:rPr>
          <w:color w:val="auto"/>
        </w:rPr>
        <w:lastRenderedPageBreak/>
        <w:t>Ostatní neinvestiční transfery do zahraničí</w:t>
      </w:r>
    </w:p>
    <w:p w14:paraId="11D42CD8" w14:textId="3B49EAC8" w:rsidR="00677654" w:rsidRPr="002F1BE7" w:rsidRDefault="00677654" w:rsidP="00677654">
      <w:pPr>
        <w:pStyle w:val="KOMtext"/>
        <w:rPr>
          <w:color w:val="FF0000"/>
        </w:rPr>
      </w:pPr>
      <w:r w:rsidRPr="006B6D61">
        <w:t>Schválený rozpočet 2</w:t>
      </w:r>
      <w:r w:rsidR="006A5267" w:rsidRPr="006B6D61">
        <w:t>75</w:t>
      </w:r>
      <w:r w:rsidRPr="006B6D61">
        <w:t xml:space="preserve"> tis. Kč </w:t>
      </w:r>
      <w:r w:rsidR="007601A8" w:rsidRPr="006B6D61">
        <w:t xml:space="preserve">byl po zapojení nároků upraven na částku </w:t>
      </w:r>
      <w:r w:rsidR="001C5A07" w:rsidRPr="006B6D61">
        <w:t>3 773</w:t>
      </w:r>
      <w:r w:rsidR="007601A8" w:rsidRPr="006B6D61">
        <w:t xml:space="preserve"> tis. Kč, </w:t>
      </w:r>
      <w:r w:rsidR="0003282F">
        <w:br/>
      </w:r>
      <w:r w:rsidR="007601A8" w:rsidRPr="006B6D61">
        <w:t xml:space="preserve">tj. navýšení o </w:t>
      </w:r>
      <w:r w:rsidR="00DC1322" w:rsidRPr="006B6D61">
        <w:t>3 498</w:t>
      </w:r>
      <w:r w:rsidR="007601A8" w:rsidRPr="006B6D61">
        <w:t xml:space="preserve"> tis. Kč. Finanční prostředky byly čerpány </w:t>
      </w:r>
      <w:r w:rsidRPr="006B6D61">
        <w:t xml:space="preserve">ve výši </w:t>
      </w:r>
      <w:r w:rsidR="00DC1322" w:rsidRPr="006B6D61">
        <w:t>3 484</w:t>
      </w:r>
      <w:r w:rsidRPr="006B6D61">
        <w:t xml:space="preserve"> tis. Kč, tj. čerpání </w:t>
      </w:r>
      <w:r w:rsidR="0003282F">
        <w:br/>
      </w:r>
      <w:r w:rsidRPr="006B6D61">
        <w:t>ve výši</w:t>
      </w:r>
      <w:r w:rsidR="007601A8" w:rsidRPr="006B6D61">
        <w:t xml:space="preserve"> </w:t>
      </w:r>
      <w:r w:rsidR="00C942E6" w:rsidRPr="006B6D61">
        <w:t>1 205,5</w:t>
      </w:r>
      <w:r w:rsidRPr="006B6D61">
        <w:t xml:space="preserve"> % upraveného rozpočtu.</w:t>
      </w:r>
      <w:r w:rsidR="007162B0" w:rsidRPr="006B6D61">
        <w:t xml:space="preserve"> Navýšení prostředků je způsobeno čerpáním prostředků v rámci ROCET viz kapitola 3.7.</w:t>
      </w:r>
      <w:r w:rsidR="00D60F02">
        <w:t>5</w:t>
      </w:r>
      <w:r w:rsidR="007162B0" w:rsidRPr="006B6D61">
        <w:t xml:space="preserve"> </w:t>
      </w:r>
      <w:r w:rsidR="00FA2D75" w:rsidRPr="006B6D61">
        <w:t>T</w:t>
      </w:r>
      <w:r w:rsidR="007162B0" w:rsidRPr="006B6D61">
        <w:t>ransfery podnikatelským subjektům.</w:t>
      </w:r>
    </w:p>
    <w:p w14:paraId="13C91FB5" w14:textId="77777777" w:rsidR="00677654" w:rsidRPr="006B6D61" w:rsidRDefault="00677654" w:rsidP="00BA4E5A">
      <w:pPr>
        <w:pStyle w:val="KOMnadp5"/>
        <w:rPr>
          <w:color w:val="auto"/>
        </w:rPr>
      </w:pPr>
      <w:r w:rsidRPr="006B6D61">
        <w:rPr>
          <w:color w:val="auto"/>
        </w:rPr>
        <w:t>Členské příspěvky mezinárodním vládním organizacím</w:t>
      </w:r>
    </w:p>
    <w:p w14:paraId="56DDF736" w14:textId="7498195A" w:rsidR="00FC583C" w:rsidRPr="002F1BE7" w:rsidRDefault="00677654" w:rsidP="00677654">
      <w:pPr>
        <w:pStyle w:val="KOMtext"/>
        <w:rPr>
          <w:color w:val="FF0000"/>
        </w:rPr>
      </w:pPr>
      <w:r w:rsidRPr="006B6D61">
        <w:t xml:space="preserve">Schválený rozpočet </w:t>
      </w:r>
      <w:r w:rsidR="007601A8" w:rsidRPr="006B6D61">
        <w:t xml:space="preserve">18 </w:t>
      </w:r>
      <w:r w:rsidR="006C089A" w:rsidRPr="006B6D61">
        <w:t>684</w:t>
      </w:r>
      <w:r w:rsidRPr="006B6D61">
        <w:t xml:space="preserve"> tis. Kč byl v průběhu roku </w:t>
      </w:r>
      <w:r w:rsidR="00FC583C" w:rsidRPr="006B6D61">
        <w:t>upraven na částku 1</w:t>
      </w:r>
      <w:r w:rsidR="002D0C78" w:rsidRPr="006B6D61">
        <w:t>8 345</w:t>
      </w:r>
      <w:r w:rsidR="00FC583C" w:rsidRPr="006B6D61">
        <w:t xml:space="preserve"> tis. Kč, </w:t>
      </w:r>
      <w:r w:rsidR="0003282F">
        <w:br/>
      </w:r>
      <w:r w:rsidR="00FC583C" w:rsidRPr="006B6D61">
        <w:t xml:space="preserve">tj. </w:t>
      </w:r>
      <w:r w:rsidR="00D27CE8" w:rsidRPr="006B6D61">
        <w:t>snížen</w:t>
      </w:r>
      <w:r w:rsidR="009833E2" w:rsidRPr="006B6D61">
        <w:t>í</w:t>
      </w:r>
      <w:r w:rsidR="00FC583C" w:rsidRPr="006B6D61">
        <w:t xml:space="preserve"> o </w:t>
      </w:r>
      <w:r w:rsidR="008D773A">
        <w:t>339</w:t>
      </w:r>
      <w:r w:rsidR="00FC583C" w:rsidRPr="0077128B">
        <w:rPr>
          <w:color w:val="FF0000"/>
        </w:rPr>
        <w:t xml:space="preserve"> </w:t>
      </w:r>
      <w:r w:rsidR="00FC583C" w:rsidRPr="006B6D61">
        <w:t>tis. Kč. Finanční prostředky byly čerpány ve výši 1</w:t>
      </w:r>
      <w:r w:rsidR="007551C8" w:rsidRPr="006B6D61">
        <w:t>3 710</w:t>
      </w:r>
      <w:r w:rsidR="00FC583C" w:rsidRPr="006B6D61">
        <w:t xml:space="preserve"> tis. Kč, tj. čerpání ve výši 7</w:t>
      </w:r>
      <w:r w:rsidR="00D212CF" w:rsidRPr="006B6D61">
        <w:t>4,</w:t>
      </w:r>
      <w:r w:rsidR="00FC583C" w:rsidRPr="006B6D61">
        <w:t>7 % upraveného rozpočtu.</w:t>
      </w:r>
    </w:p>
    <w:p w14:paraId="06BA31F9" w14:textId="77777777" w:rsidR="00677654" w:rsidRPr="006B6D61" w:rsidRDefault="00677654" w:rsidP="00BA4E5A">
      <w:pPr>
        <w:pStyle w:val="KOMnadp5"/>
        <w:rPr>
          <w:color w:val="auto"/>
        </w:rPr>
      </w:pPr>
      <w:r w:rsidRPr="006B6D61">
        <w:rPr>
          <w:color w:val="auto"/>
        </w:rPr>
        <w:t>Členské příspěvky mezinárodním nevládním organizacím</w:t>
      </w:r>
    </w:p>
    <w:p w14:paraId="301BD162" w14:textId="7A32C1CD" w:rsidR="00677654" w:rsidRPr="002F1BE7" w:rsidRDefault="00677654" w:rsidP="00677654">
      <w:pPr>
        <w:pStyle w:val="KOMtext"/>
        <w:rPr>
          <w:color w:val="FF0000"/>
        </w:rPr>
      </w:pPr>
      <w:r w:rsidRPr="006B6D61">
        <w:t xml:space="preserve">Schválený rozpočet </w:t>
      </w:r>
      <w:r w:rsidR="00E548C8" w:rsidRPr="006B6D61">
        <w:t>1 022</w:t>
      </w:r>
      <w:r w:rsidRPr="006B6D61">
        <w:t xml:space="preserve"> tis. Kč byl v průběhu roku </w:t>
      </w:r>
      <w:r w:rsidR="00881CC1" w:rsidRPr="006B6D61">
        <w:t>202</w:t>
      </w:r>
      <w:r w:rsidR="00E548C8" w:rsidRPr="006B6D61">
        <w:t>3</w:t>
      </w:r>
      <w:r w:rsidRPr="006B6D61">
        <w:t xml:space="preserve"> upraven na</w:t>
      </w:r>
      <w:r w:rsidR="00881CC1" w:rsidRPr="006B6D61">
        <w:t xml:space="preserve"> </w:t>
      </w:r>
      <w:r w:rsidR="004C7561" w:rsidRPr="006B6D61">
        <w:t>982</w:t>
      </w:r>
      <w:r w:rsidRPr="006B6D61">
        <w:t xml:space="preserve"> tis. Kč, </w:t>
      </w:r>
      <w:r w:rsidRPr="0077128B">
        <w:rPr>
          <w:color w:val="FF0000"/>
        </w:rPr>
        <w:br/>
      </w:r>
      <w:r w:rsidRPr="006B6D61">
        <w:t xml:space="preserve">tj. </w:t>
      </w:r>
      <w:r w:rsidR="004C7561" w:rsidRPr="006B6D61">
        <w:t>snížení</w:t>
      </w:r>
      <w:r w:rsidRPr="006B6D61">
        <w:t xml:space="preserve"> o </w:t>
      </w:r>
      <w:r w:rsidR="004C7561" w:rsidRPr="006B6D61">
        <w:t>40</w:t>
      </w:r>
      <w:r w:rsidRPr="006B6D61">
        <w:t xml:space="preserve"> tis. Kč. Čerpáno bylo </w:t>
      </w:r>
      <w:r w:rsidR="003A0DC4" w:rsidRPr="006B6D61">
        <w:t>739</w:t>
      </w:r>
      <w:r w:rsidRPr="006B6D61">
        <w:t xml:space="preserve"> tis. Kč, tj. plnění </w:t>
      </w:r>
      <w:r w:rsidR="003A0DC4" w:rsidRPr="006B6D61">
        <w:t>75,3</w:t>
      </w:r>
      <w:r w:rsidRPr="006B6D61">
        <w:t xml:space="preserve"> % upraveného rozpočtu. </w:t>
      </w:r>
    </w:p>
    <w:p w14:paraId="531789EA" w14:textId="06A28079" w:rsidR="00E827A7" w:rsidRPr="002F1BE7" w:rsidRDefault="00677654" w:rsidP="003F0A7C">
      <w:pPr>
        <w:pStyle w:val="KOMtext"/>
        <w:rPr>
          <w:color w:val="FF0000"/>
        </w:rPr>
      </w:pPr>
      <w:r w:rsidRPr="006B6D61">
        <w:t xml:space="preserve">V rámci výše uvedených rozpočtových položek byl příspěvek v roce </w:t>
      </w:r>
      <w:r w:rsidR="00304D8E" w:rsidRPr="006B6D61">
        <w:t>202</w:t>
      </w:r>
      <w:r w:rsidR="004B6F4B" w:rsidRPr="006B6D61">
        <w:t>3</w:t>
      </w:r>
      <w:r w:rsidRPr="006B6D61">
        <w:t xml:space="preserve"> čerpán celkem </w:t>
      </w:r>
      <w:r w:rsidRPr="006B6D61">
        <w:br/>
      </w:r>
      <w:r w:rsidR="00AF6792" w:rsidRPr="006B6D61">
        <w:t>21</w:t>
      </w:r>
      <w:r w:rsidRPr="006B6D61">
        <w:t xml:space="preserve"> organizacemi, přehled podle jednotlivých titulů je uveden v příloze č. </w:t>
      </w:r>
      <w:r w:rsidR="00D60F02">
        <w:t>3</w:t>
      </w:r>
      <w:r w:rsidRPr="006B6D61">
        <w:t>.</w:t>
      </w:r>
    </w:p>
    <w:p w14:paraId="414FAB47" w14:textId="1CF8FEE0" w:rsidR="007601A8" w:rsidRPr="006B6D61" w:rsidRDefault="007601A8" w:rsidP="008A0E44">
      <w:pPr>
        <w:pStyle w:val="KOMnadp4"/>
      </w:pPr>
      <w:r w:rsidRPr="006B6D61">
        <w:t>Investiční transfery do zahraničí</w:t>
      </w:r>
    </w:p>
    <w:p w14:paraId="54C1241A" w14:textId="51278433" w:rsidR="007601A8" w:rsidRPr="006B6D61" w:rsidRDefault="007601A8" w:rsidP="003F0A7C">
      <w:pPr>
        <w:pStyle w:val="KOMtext"/>
      </w:pPr>
      <w:r w:rsidRPr="006B6D61">
        <w:t>Investiční transfery do zahraničí nebyly pro rok 202</w:t>
      </w:r>
      <w:r w:rsidR="004B6F4B" w:rsidRPr="006B6D61">
        <w:t>3</w:t>
      </w:r>
      <w:r w:rsidRPr="006B6D61">
        <w:t xml:space="preserve"> rozpočtovány</w:t>
      </w:r>
      <w:r w:rsidR="00FA2D75" w:rsidRPr="006B6D61">
        <w:t xml:space="preserve"> ani čerpány.</w:t>
      </w:r>
    </w:p>
    <w:p w14:paraId="760C99A1" w14:textId="77777777" w:rsidR="00432533" w:rsidRPr="0077128B" w:rsidRDefault="00432533" w:rsidP="003F0A7C">
      <w:pPr>
        <w:pStyle w:val="KOMtext"/>
        <w:rPr>
          <w:color w:val="FF0000"/>
        </w:rPr>
      </w:pPr>
    </w:p>
    <w:p w14:paraId="77099552" w14:textId="77777777" w:rsidR="00D9370D" w:rsidRPr="006B6D61" w:rsidRDefault="00D9370D" w:rsidP="00E20BD6">
      <w:pPr>
        <w:pStyle w:val="KOMnadp3"/>
      </w:pPr>
      <w:bookmarkStart w:id="1031" w:name="_Toc128400087"/>
      <w:bookmarkStart w:id="1032" w:name="_Toc162269275"/>
      <w:r w:rsidRPr="006B6D61">
        <w:lastRenderedPageBreak/>
        <w:t>Transfery podnikatelským subjektům</w:t>
      </w:r>
      <w:bookmarkEnd w:id="1031"/>
      <w:bookmarkEnd w:id="1032"/>
    </w:p>
    <w:tbl>
      <w:tblPr>
        <w:tblW w:w="10065" w:type="dxa"/>
        <w:tblCellMar>
          <w:left w:w="70" w:type="dxa"/>
          <w:right w:w="70" w:type="dxa"/>
        </w:tblCellMar>
        <w:tblLook w:val="04A0" w:firstRow="1" w:lastRow="0" w:firstColumn="1" w:lastColumn="0" w:noHBand="0" w:noVBand="1"/>
      </w:tblPr>
      <w:tblGrid>
        <w:gridCol w:w="3119"/>
        <w:gridCol w:w="1148"/>
        <w:gridCol w:w="1275"/>
        <w:gridCol w:w="1276"/>
        <w:gridCol w:w="1104"/>
        <w:gridCol w:w="1148"/>
        <w:gridCol w:w="995"/>
      </w:tblGrid>
      <w:tr w:rsidR="009F4E55" w:rsidRPr="006A755F" w14:paraId="4BF0AB33" w14:textId="77777777" w:rsidTr="002F4E6D">
        <w:trPr>
          <w:trHeight w:val="293"/>
          <w:tblHeader/>
        </w:trPr>
        <w:tc>
          <w:tcPr>
            <w:tcW w:w="10065" w:type="dxa"/>
            <w:gridSpan w:val="7"/>
            <w:tcBorders>
              <w:top w:val="nil"/>
              <w:left w:val="nil"/>
              <w:bottom w:val="nil"/>
              <w:right w:val="nil"/>
            </w:tcBorders>
            <w:shd w:val="clear" w:color="000000" w:fill="FFFFFF"/>
          </w:tcPr>
          <w:p w14:paraId="30AF30D2" w14:textId="77777777" w:rsidR="009F4E55" w:rsidRPr="006A755F" w:rsidRDefault="009F4E55" w:rsidP="002F4E6D">
            <w:pPr>
              <w:spacing w:after="0"/>
              <w:jc w:val="right"/>
              <w:rPr>
                <w:color w:val="000000"/>
              </w:rPr>
            </w:pPr>
            <w:r w:rsidRPr="006A755F">
              <w:rPr>
                <w:color w:val="000000"/>
              </w:rPr>
              <w:t>tis. Kč</w:t>
            </w:r>
          </w:p>
        </w:tc>
      </w:tr>
      <w:tr w:rsidR="009F4E55" w:rsidRPr="006A755F" w14:paraId="3FB46E7B" w14:textId="77777777" w:rsidTr="002F4E6D">
        <w:trPr>
          <w:trHeight w:val="417"/>
          <w:tblHeader/>
        </w:trPr>
        <w:tc>
          <w:tcPr>
            <w:tcW w:w="3119" w:type="dxa"/>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6AE4A53B" w14:textId="77777777" w:rsidR="009F4E55" w:rsidRPr="006A755F" w:rsidRDefault="009F4E55" w:rsidP="002F4E6D">
            <w:pPr>
              <w:spacing w:after="0"/>
              <w:jc w:val="center"/>
              <w:rPr>
                <w:b/>
              </w:rPr>
            </w:pPr>
            <w:r w:rsidRPr="006A755F">
              <w:rPr>
                <w:b/>
              </w:rPr>
              <w:t>Ukazatel</w:t>
            </w:r>
          </w:p>
        </w:tc>
        <w:tc>
          <w:tcPr>
            <w:tcW w:w="1148" w:type="dxa"/>
            <w:vMerge w:val="restart"/>
            <w:tcBorders>
              <w:top w:val="single" w:sz="4" w:space="0" w:color="000000"/>
              <w:left w:val="nil"/>
              <w:right w:val="single" w:sz="4" w:space="0" w:color="000000"/>
            </w:tcBorders>
            <w:shd w:val="clear" w:color="auto" w:fill="D9D9D9" w:themeFill="background1" w:themeFillShade="D9"/>
            <w:vAlign w:val="center"/>
          </w:tcPr>
          <w:p w14:paraId="60A3C33D" w14:textId="77777777" w:rsidR="009F4E55" w:rsidRPr="006A755F" w:rsidRDefault="009F4E55" w:rsidP="002F4E6D">
            <w:pPr>
              <w:spacing w:after="0"/>
              <w:jc w:val="center"/>
              <w:rPr>
                <w:b/>
              </w:rPr>
            </w:pPr>
            <w:r w:rsidRPr="006A755F">
              <w:rPr>
                <w:b/>
              </w:rPr>
              <w:t>Skutečnost 202</w:t>
            </w:r>
            <w:r>
              <w:rPr>
                <w:b/>
              </w:rPr>
              <w:t>2</w:t>
            </w:r>
          </w:p>
        </w:tc>
        <w:tc>
          <w:tcPr>
            <w:tcW w:w="3655" w:type="dxa"/>
            <w:gridSpan w:val="3"/>
            <w:tcBorders>
              <w:top w:val="single" w:sz="4" w:space="0" w:color="000000"/>
              <w:left w:val="nil"/>
              <w:bottom w:val="single" w:sz="4" w:space="0" w:color="000000"/>
              <w:right w:val="single" w:sz="4" w:space="0" w:color="auto"/>
            </w:tcBorders>
            <w:shd w:val="clear" w:color="auto" w:fill="D9D9D9" w:themeFill="background1" w:themeFillShade="D9"/>
            <w:vAlign w:val="center"/>
          </w:tcPr>
          <w:p w14:paraId="0585F047" w14:textId="77777777" w:rsidR="009F4E55" w:rsidRPr="006A755F" w:rsidRDefault="009F4E55" w:rsidP="002F4E6D">
            <w:pPr>
              <w:spacing w:after="0"/>
              <w:jc w:val="center"/>
              <w:rPr>
                <w:b/>
              </w:rPr>
            </w:pPr>
            <w:r w:rsidRPr="006A755F">
              <w:rPr>
                <w:b/>
              </w:rPr>
              <w:t>Rozpočet 202</w:t>
            </w:r>
            <w:r>
              <w:rPr>
                <w:b/>
              </w:rPr>
              <w:t>3</w:t>
            </w:r>
          </w:p>
        </w:tc>
        <w:tc>
          <w:tcPr>
            <w:tcW w:w="1148" w:type="dxa"/>
            <w:vMerge w:val="restart"/>
            <w:tcBorders>
              <w:top w:val="single" w:sz="4" w:space="0" w:color="000000"/>
              <w:left w:val="single" w:sz="4" w:space="0" w:color="auto"/>
              <w:right w:val="single" w:sz="4" w:space="0" w:color="000000"/>
            </w:tcBorders>
            <w:shd w:val="clear" w:color="auto" w:fill="D9D9D9" w:themeFill="background1" w:themeFillShade="D9"/>
            <w:vAlign w:val="center"/>
          </w:tcPr>
          <w:p w14:paraId="7E5F8398" w14:textId="77777777" w:rsidR="009F4E55" w:rsidRPr="006A755F" w:rsidRDefault="009F4E55" w:rsidP="002F4E6D">
            <w:pPr>
              <w:spacing w:after="0"/>
              <w:jc w:val="center"/>
              <w:rPr>
                <w:b/>
              </w:rPr>
            </w:pPr>
            <w:r w:rsidRPr="006A755F">
              <w:rPr>
                <w:b/>
              </w:rPr>
              <w:t>Skutečnost 202</w:t>
            </w:r>
            <w:r>
              <w:rPr>
                <w:b/>
              </w:rPr>
              <w:t>3</w:t>
            </w:r>
          </w:p>
        </w:tc>
        <w:tc>
          <w:tcPr>
            <w:tcW w:w="995" w:type="dxa"/>
            <w:vMerge w:val="restart"/>
            <w:tcBorders>
              <w:top w:val="single" w:sz="4" w:space="0" w:color="000000"/>
              <w:left w:val="nil"/>
              <w:right w:val="single" w:sz="4" w:space="0" w:color="000000"/>
            </w:tcBorders>
            <w:shd w:val="clear" w:color="auto" w:fill="D9D9D9" w:themeFill="background1" w:themeFillShade="D9"/>
            <w:vAlign w:val="center"/>
          </w:tcPr>
          <w:p w14:paraId="31485A14" w14:textId="77777777" w:rsidR="009F4E55" w:rsidRPr="006A755F" w:rsidRDefault="009F4E55" w:rsidP="002F4E6D">
            <w:pPr>
              <w:spacing w:after="0"/>
              <w:jc w:val="center"/>
              <w:rPr>
                <w:b/>
              </w:rPr>
            </w:pPr>
            <w:r w:rsidRPr="006A755F">
              <w:rPr>
                <w:b/>
              </w:rPr>
              <w:t xml:space="preserve">Index </w:t>
            </w:r>
            <w:r w:rsidRPr="006A755F">
              <w:rPr>
                <w:b/>
              </w:rPr>
              <w:br/>
              <w:t>(v %)</w:t>
            </w:r>
          </w:p>
        </w:tc>
      </w:tr>
      <w:tr w:rsidR="009F4E55" w:rsidRPr="006A755F" w14:paraId="1AB921A3" w14:textId="77777777" w:rsidTr="002F4E6D">
        <w:trPr>
          <w:trHeight w:val="283"/>
          <w:tblHeader/>
        </w:trPr>
        <w:tc>
          <w:tcPr>
            <w:tcW w:w="3119" w:type="dxa"/>
            <w:vMerge/>
            <w:tcBorders>
              <w:left w:val="single" w:sz="4" w:space="0" w:color="auto"/>
              <w:bottom w:val="single" w:sz="4" w:space="0" w:color="auto"/>
              <w:right w:val="single" w:sz="4" w:space="0" w:color="auto"/>
            </w:tcBorders>
            <w:shd w:val="clear" w:color="000000" w:fill="FFFFFF"/>
            <w:noWrap/>
            <w:vAlign w:val="center"/>
            <w:hideMark/>
          </w:tcPr>
          <w:p w14:paraId="07FF4DE3" w14:textId="77777777" w:rsidR="009F4E55" w:rsidRPr="006A755F" w:rsidRDefault="009F4E55" w:rsidP="002F4E6D">
            <w:pPr>
              <w:jc w:val="center"/>
              <w:rPr>
                <w:color w:val="FF0000"/>
              </w:rPr>
            </w:pPr>
          </w:p>
        </w:tc>
        <w:tc>
          <w:tcPr>
            <w:tcW w:w="1148" w:type="dxa"/>
            <w:vMerge/>
            <w:tcBorders>
              <w:left w:val="nil"/>
              <w:bottom w:val="single" w:sz="4" w:space="0" w:color="000000"/>
              <w:right w:val="single" w:sz="4" w:space="0" w:color="000000"/>
            </w:tcBorders>
            <w:shd w:val="clear" w:color="auto" w:fill="auto"/>
            <w:vAlign w:val="center"/>
            <w:hideMark/>
          </w:tcPr>
          <w:p w14:paraId="685BB1D6" w14:textId="77777777" w:rsidR="009F4E55" w:rsidRPr="006A755F" w:rsidRDefault="009F4E55" w:rsidP="002F4E6D">
            <w:pPr>
              <w:jc w:val="center"/>
            </w:pPr>
          </w:p>
        </w:tc>
        <w:tc>
          <w:tcPr>
            <w:tcW w:w="1275"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20C25DAC" w14:textId="77777777" w:rsidR="009F4E55" w:rsidRPr="006A755F" w:rsidRDefault="009F4E55" w:rsidP="002F4E6D">
            <w:pPr>
              <w:jc w:val="center"/>
              <w:rPr>
                <w:b/>
              </w:rPr>
            </w:pPr>
            <w:r w:rsidRPr="006A755F">
              <w:rPr>
                <w:b/>
              </w:rPr>
              <w:t>schválený</w:t>
            </w:r>
          </w:p>
        </w:tc>
        <w:tc>
          <w:tcPr>
            <w:tcW w:w="1276"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5B905DC8" w14:textId="77777777" w:rsidR="009F4E55" w:rsidRPr="006A755F" w:rsidRDefault="009F4E55" w:rsidP="002F4E6D">
            <w:pPr>
              <w:jc w:val="center"/>
              <w:rPr>
                <w:b/>
              </w:rPr>
            </w:pPr>
            <w:r w:rsidRPr="006A755F">
              <w:rPr>
                <w:b/>
              </w:rPr>
              <w:t>po změnách</w:t>
            </w:r>
          </w:p>
        </w:tc>
        <w:tc>
          <w:tcPr>
            <w:tcW w:w="1104" w:type="dxa"/>
            <w:tcBorders>
              <w:top w:val="single" w:sz="4" w:space="0" w:color="000000"/>
              <w:left w:val="nil"/>
              <w:bottom w:val="single" w:sz="4" w:space="0" w:color="000000"/>
              <w:right w:val="single" w:sz="4" w:space="0" w:color="auto"/>
            </w:tcBorders>
            <w:shd w:val="clear" w:color="auto" w:fill="D9D9D9" w:themeFill="background1" w:themeFillShade="D9"/>
            <w:vAlign w:val="center"/>
          </w:tcPr>
          <w:p w14:paraId="4C6ABABD" w14:textId="77777777" w:rsidR="009F4E55" w:rsidRPr="006A755F" w:rsidRDefault="009F4E55" w:rsidP="002F4E6D">
            <w:pPr>
              <w:jc w:val="center"/>
              <w:rPr>
                <w:b/>
              </w:rPr>
            </w:pPr>
            <w:r w:rsidRPr="006A755F">
              <w:rPr>
                <w:b/>
              </w:rPr>
              <w:t>konečný</w:t>
            </w:r>
          </w:p>
        </w:tc>
        <w:tc>
          <w:tcPr>
            <w:tcW w:w="1148" w:type="dxa"/>
            <w:vMerge/>
            <w:tcBorders>
              <w:left w:val="single" w:sz="4" w:space="0" w:color="auto"/>
              <w:bottom w:val="single" w:sz="4" w:space="0" w:color="000000"/>
              <w:right w:val="single" w:sz="4" w:space="0" w:color="000000"/>
            </w:tcBorders>
            <w:shd w:val="clear" w:color="auto" w:fill="auto"/>
            <w:vAlign w:val="center"/>
            <w:hideMark/>
          </w:tcPr>
          <w:p w14:paraId="358AD2E1" w14:textId="77777777" w:rsidR="009F4E55" w:rsidRPr="006A755F" w:rsidRDefault="009F4E55" w:rsidP="002F4E6D">
            <w:pPr>
              <w:jc w:val="center"/>
            </w:pPr>
          </w:p>
        </w:tc>
        <w:tc>
          <w:tcPr>
            <w:tcW w:w="995" w:type="dxa"/>
            <w:vMerge/>
            <w:tcBorders>
              <w:left w:val="nil"/>
              <w:bottom w:val="single" w:sz="4" w:space="0" w:color="000000"/>
              <w:right w:val="single" w:sz="4" w:space="0" w:color="000000"/>
            </w:tcBorders>
            <w:shd w:val="clear" w:color="auto" w:fill="auto"/>
            <w:vAlign w:val="center"/>
            <w:hideMark/>
          </w:tcPr>
          <w:p w14:paraId="29C8E2FF" w14:textId="77777777" w:rsidR="009F4E55" w:rsidRPr="006A755F" w:rsidRDefault="009F4E55" w:rsidP="002F4E6D">
            <w:pPr>
              <w:jc w:val="center"/>
            </w:pPr>
          </w:p>
        </w:tc>
      </w:tr>
      <w:tr w:rsidR="009F4E55" w:rsidRPr="006A755F" w14:paraId="47ED7F02" w14:textId="77777777" w:rsidTr="002F4E6D">
        <w:trPr>
          <w:trHeight w:val="305"/>
          <w:tblHeader/>
        </w:trPr>
        <w:tc>
          <w:tcPr>
            <w:tcW w:w="3119" w:type="dxa"/>
            <w:tcBorders>
              <w:top w:val="single" w:sz="4" w:space="0" w:color="auto"/>
              <w:left w:val="single" w:sz="4" w:space="0" w:color="auto"/>
              <w:bottom w:val="single" w:sz="4" w:space="0" w:color="auto"/>
              <w:right w:val="single" w:sz="4" w:space="0" w:color="auto"/>
            </w:tcBorders>
            <w:shd w:val="clear" w:color="000000" w:fill="FFFFFF"/>
            <w:noWrap/>
          </w:tcPr>
          <w:p w14:paraId="4B4C2B41" w14:textId="77777777" w:rsidR="009F4E55" w:rsidRPr="006A755F" w:rsidRDefault="009F4E55" w:rsidP="002F4E6D">
            <w:pPr>
              <w:spacing w:after="0"/>
              <w:jc w:val="center"/>
            </w:pPr>
            <w:r w:rsidRPr="006A755F">
              <w:t>a</w:t>
            </w:r>
          </w:p>
        </w:tc>
        <w:tc>
          <w:tcPr>
            <w:tcW w:w="1148" w:type="dxa"/>
            <w:tcBorders>
              <w:top w:val="single" w:sz="4" w:space="0" w:color="000000"/>
              <w:left w:val="nil"/>
              <w:bottom w:val="single" w:sz="4" w:space="0" w:color="000000"/>
              <w:right w:val="single" w:sz="4" w:space="0" w:color="000000"/>
            </w:tcBorders>
            <w:shd w:val="clear" w:color="auto" w:fill="auto"/>
          </w:tcPr>
          <w:p w14:paraId="44242991" w14:textId="77777777" w:rsidR="009F4E55" w:rsidRPr="006A755F" w:rsidRDefault="009F4E55" w:rsidP="002F4E6D">
            <w:pPr>
              <w:spacing w:after="0"/>
              <w:jc w:val="center"/>
            </w:pPr>
            <w:r w:rsidRPr="006A755F">
              <w:t>1</w:t>
            </w:r>
          </w:p>
        </w:tc>
        <w:tc>
          <w:tcPr>
            <w:tcW w:w="1275" w:type="dxa"/>
            <w:tcBorders>
              <w:top w:val="single" w:sz="4" w:space="0" w:color="000000"/>
              <w:left w:val="nil"/>
              <w:bottom w:val="single" w:sz="4" w:space="0" w:color="000000"/>
              <w:right w:val="single" w:sz="4" w:space="0" w:color="000000"/>
            </w:tcBorders>
            <w:shd w:val="clear" w:color="auto" w:fill="auto"/>
          </w:tcPr>
          <w:p w14:paraId="3A5B680F" w14:textId="77777777" w:rsidR="009F4E55" w:rsidRPr="006A755F" w:rsidRDefault="009F4E55" w:rsidP="002F4E6D">
            <w:pPr>
              <w:spacing w:after="0"/>
              <w:jc w:val="center"/>
            </w:pPr>
            <w:r w:rsidRPr="006A755F">
              <w:t>2</w:t>
            </w:r>
          </w:p>
        </w:tc>
        <w:tc>
          <w:tcPr>
            <w:tcW w:w="1276" w:type="dxa"/>
            <w:tcBorders>
              <w:top w:val="single" w:sz="4" w:space="0" w:color="000000"/>
              <w:left w:val="nil"/>
              <w:bottom w:val="single" w:sz="4" w:space="0" w:color="000000"/>
              <w:right w:val="single" w:sz="4" w:space="0" w:color="000000"/>
            </w:tcBorders>
            <w:shd w:val="clear" w:color="auto" w:fill="auto"/>
          </w:tcPr>
          <w:p w14:paraId="5FB3CCC2" w14:textId="77777777" w:rsidR="009F4E55" w:rsidRPr="006A755F" w:rsidRDefault="009F4E55" w:rsidP="002F4E6D">
            <w:pPr>
              <w:spacing w:after="0"/>
              <w:jc w:val="center"/>
            </w:pPr>
            <w:r w:rsidRPr="006A755F">
              <w:t>3</w:t>
            </w:r>
          </w:p>
        </w:tc>
        <w:tc>
          <w:tcPr>
            <w:tcW w:w="1104" w:type="dxa"/>
            <w:tcBorders>
              <w:top w:val="single" w:sz="4" w:space="0" w:color="000000"/>
              <w:left w:val="nil"/>
              <w:bottom w:val="single" w:sz="4" w:space="0" w:color="000000"/>
              <w:right w:val="single" w:sz="4" w:space="0" w:color="auto"/>
            </w:tcBorders>
          </w:tcPr>
          <w:p w14:paraId="0FC308FE" w14:textId="77777777" w:rsidR="009F4E55" w:rsidRPr="006A755F" w:rsidRDefault="009F4E55" w:rsidP="002F4E6D">
            <w:pPr>
              <w:spacing w:after="0"/>
              <w:jc w:val="center"/>
            </w:pPr>
            <w:r w:rsidRPr="006A755F">
              <w:t>4</w:t>
            </w:r>
          </w:p>
        </w:tc>
        <w:tc>
          <w:tcPr>
            <w:tcW w:w="1148" w:type="dxa"/>
            <w:tcBorders>
              <w:top w:val="single" w:sz="4" w:space="0" w:color="000000"/>
              <w:left w:val="single" w:sz="4" w:space="0" w:color="auto"/>
              <w:bottom w:val="single" w:sz="4" w:space="0" w:color="000000"/>
              <w:right w:val="single" w:sz="4" w:space="0" w:color="000000"/>
            </w:tcBorders>
            <w:shd w:val="clear" w:color="auto" w:fill="auto"/>
          </w:tcPr>
          <w:p w14:paraId="483CBBEF" w14:textId="77777777" w:rsidR="009F4E55" w:rsidRPr="006A755F" w:rsidRDefault="009F4E55" w:rsidP="002F4E6D">
            <w:pPr>
              <w:spacing w:after="0"/>
              <w:jc w:val="center"/>
            </w:pPr>
            <w:r w:rsidRPr="006A755F">
              <w:t>5</w:t>
            </w:r>
          </w:p>
        </w:tc>
        <w:tc>
          <w:tcPr>
            <w:tcW w:w="995" w:type="dxa"/>
            <w:tcBorders>
              <w:top w:val="single" w:sz="4" w:space="0" w:color="000000"/>
              <w:left w:val="nil"/>
              <w:bottom w:val="single" w:sz="4" w:space="0" w:color="000000"/>
              <w:right w:val="single" w:sz="4" w:space="0" w:color="000000"/>
            </w:tcBorders>
            <w:shd w:val="clear" w:color="auto" w:fill="auto"/>
          </w:tcPr>
          <w:p w14:paraId="5D029A7C" w14:textId="77777777" w:rsidR="009F4E55" w:rsidRPr="006A755F" w:rsidRDefault="009F4E55" w:rsidP="002F4E6D">
            <w:pPr>
              <w:spacing w:after="0"/>
              <w:jc w:val="center"/>
            </w:pPr>
            <w:r w:rsidRPr="006A755F">
              <w:t>5/1</w:t>
            </w:r>
          </w:p>
        </w:tc>
      </w:tr>
      <w:tr w:rsidR="009F4E55" w:rsidRPr="006A755F" w14:paraId="30E73031" w14:textId="77777777" w:rsidTr="002F4E6D">
        <w:trPr>
          <w:trHeight w:val="348"/>
          <w:tblHeader/>
        </w:trPr>
        <w:tc>
          <w:tcPr>
            <w:tcW w:w="3119" w:type="dxa"/>
            <w:tcBorders>
              <w:top w:val="single" w:sz="4" w:space="0" w:color="auto"/>
              <w:left w:val="single" w:sz="4" w:space="0" w:color="auto"/>
              <w:bottom w:val="nil"/>
              <w:right w:val="single" w:sz="4" w:space="0" w:color="auto"/>
            </w:tcBorders>
            <w:shd w:val="clear" w:color="auto" w:fill="D9D9D9" w:themeFill="background1" w:themeFillShade="D9"/>
            <w:vAlign w:val="center"/>
          </w:tcPr>
          <w:p w14:paraId="7D2E4225" w14:textId="77777777" w:rsidR="009F4E55" w:rsidRPr="006A755F" w:rsidRDefault="009F4E55" w:rsidP="002F4E6D">
            <w:pPr>
              <w:spacing w:after="0"/>
              <w:rPr>
                <w:rFonts w:cstheme="minorHAnsi"/>
                <w:b/>
                <w:bCs/>
                <w:sz w:val="20"/>
                <w:szCs w:val="20"/>
              </w:rPr>
            </w:pPr>
            <w:r w:rsidRPr="006A755F">
              <w:rPr>
                <w:rFonts w:cstheme="minorHAnsi"/>
                <w:b/>
                <w:bCs/>
                <w:sz w:val="20"/>
                <w:szCs w:val="20"/>
              </w:rPr>
              <w:t xml:space="preserve">Transfery celkem </w:t>
            </w:r>
            <w:r w:rsidRPr="004A12C5">
              <w:rPr>
                <w:rFonts w:cstheme="minorHAnsi"/>
                <w:bCs/>
                <w:sz w:val="20"/>
                <w:szCs w:val="20"/>
              </w:rPr>
              <w:t>(v tom:)</w:t>
            </w:r>
          </w:p>
        </w:tc>
        <w:tc>
          <w:tcPr>
            <w:tcW w:w="1148" w:type="dxa"/>
            <w:tcBorders>
              <w:top w:val="nil"/>
              <w:left w:val="nil"/>
              <w:bottom w:val="single" w:sz="4" w:space="0" w:color="auto"/>
              <w:right w:val="single" w:sz="4" w:space="0" w:color="auto"/>
            </w:tcBorders>
            <w:shd w:val="clear" w:color="auto" w:fill="D9D9D9" w:themeFill="background1" w:themeFillShade="D9"/>
            <w:noWrap/>
            <w:vAlign w:val="center"/>
          </w:tcPr>
          <w:p w14:paraId="72AC7E26" w14:textId="77777777" w:rsidR="009F4E55" w:rsidRPr="006A755F" w:rsidRDefault="009F4E55" w:rsidP="002F4E6D">
            <w:pPr>
              <w:spacing w:after="0"/>
              <w:jc w:val="right"/>
              <w:rPr>
                <w:rFonts w:cstheme="minorHAnsi"/>
                <w:b/>
                <w:bCs/>
                <w:sz w:val="20"/>
                <w:szCs w:val="20"/>
              </w:rPr>
            </w:pPr>
            <w:r w:rsidRPr="006A755F">
              <w:rPr>
                <w:rFonts w:cstheme="minorHAnsi"/>
                <w:b/>
                <w:bCs/>
                <w:sz w:val="20"/>
                <w:szCs w:val="20"/>
              </w:rPr>
              <w:t>6</w:t>
            </w:r>
            <w:r>
              <w:rPr>
                <w:rFonts w:cstheme="minorHAnsi"/>
                <w:b/>
                <w:bCs/>
                <w:sz w:val="20"/>
                <w:szCs w:val="20"/>
              </w:rPr>
              <w:t> 761 746</w:t>
            </w:r>
          </w:p>
        </w:tc>
        <w:tc>
          <w:tcPr>
            <w:tcW w:w="1275" w:type="dxa"/>
            <w:tcBorders>
              <w:top w:val="nil"/>
              <w:left w:val="nil"/>
              <w:bottom w:val="single" w:sz="4" w:space="0" w:color="auto"/>
              <w:right w:val="single" w:sz="4" w:space="0" w:color="auto"/>
            </w:tcBorders>
            <w:shd w:val="clear" w:color="auto" w:fill="D9D9D9" w:themeFill="background1" w:themeFillShade="D9"/>
            <w:noWrap/>
            <w:vAlign w:val="center"/>
          </w:tcPr>
          <w:p w14:paraId="5E70699F" w14:textId="77777777" w:rsidR="009F4E55" w:rsidRPr="006A755F" w:rsidRDefault="009F4E55" w:rsidP="002F4E6D">
            <w:pPr>
              <w:spacing w:after="0"/>
              <w:jc w:val="right"/>
              <w:rPr>
                <w:rFonts w:cstheme="minorHAnsi"/>
                <w:b/>
                <w:bCs/>
                <w:sz w:val="20"/>
                <w:szCs w:val="20"/>
              </w:rPr>
            </w:pPr>
            <w:r>
              <w:rPr>
                <w:rFonts w:cstheme="minorHAnsi"/>
                <w:b/>
                <w:bCs/>
                <w:sz w:val="20"/>
                <w:szCs w:val="20"/>
              </w:rPr>
              <w:t>8 158 565</w:t>
            </w:r>
          </w:p>
        </w:tc>
        <w:tc>
          <w:tcPr>
            <w:tcW w:w="1276" w:type="dxa"/>
            <w:tcBorders>
              <w:top w:val="nil"/>
              <w:left w:val="nil"/>
              <w:bottom w:val="single" w:sz="4" w:space="0" w:color="auto"/>
              <w:right w:val="single" w:sz="4" w:space="0" w:color="auto"/>
            </w:tcBorders>
            <w:shd w:val="clear" w:color="auto" w:fill="D9D9D9" w:themeFill="background1" w:themeFillShade="D9"/>
            <w:noWrap/>
            <w:vAlign w:val="center"/>
          </w:tcPr>
          <w:p w14:paraId="1990CF4E" w14:textId="77777777" w:rsidR="009F4E55" w:rsidRPr="006A755F" w:rsidRDefault="009F4E55" w:rsidP="002F4E6D">
            <w:pPr>
              <w:spacing w:after="0"/>
              <w:jc w:val="right"/>
              <w:rPr>
                <w:rFonts w:cstheme="minorHAnsi"/>
                <w:b/>
                <w:bCs/>
                <w:sz w:val="20"/>
                <w:szCs w:val="20"/>
              </w:rPr>
            </w:pPr>
            <w:r>
              <w:rPr>
                <w:rFonts w:cstheme="minorHAnsi"/>
                <w:b/>
                <w:bCs/>
                <w:sz w:val="20"/>
                <w:szCs w:val="20"/>
              </w:rPr>
              <w:t>7 614 801</w:t>
            </w:r>
          </w:p>
        </w:tc>
        <w:tc>
          <w:tcPr>
            <w:tcW w:w="1104" w:type="dxa"/>
            <w:tcBorders>
              <w:top w:val="nil"/>
              <w:left w:val="nil"/>
              <w:bottom w:val="single" w:sz="4" w:space="0" w:color="auto"/>
              <w:right w:val="single" w:sz="4" w:space="0" w:color="auto"/>
            </w:tcBorders>
            <w:shd w:val="clear" w:color="auto" w:fill="D9D9D9" w:themeFill="background1" w:themeFillShade="D9"/>
            <w:vAlign w:val="center"/>
          </w:tcPr>
          <w:p w14:paraId="636DB54E" w14:textId="77777777" w:rsidR="009F4E55" w:rsidRPr="006A755F" w:rsidRDefault="009F4E55" w:rsidP="002F4E6D">
            <w:pPr>
              <w:spacing w:after="0"/>
              <w:jc w:val="right"/>
              <w:rPr>
                <w:rFonts w:cstheme="minorHAnsi"/>
                <w:b/>
                <w:bCs/>
                <w:sz w:val="20"/>
                <w:szCs w:val="20"/>
              </w:rPr>
            </w:pPr>
            <w:r>
              <w:rPr>
                <w:rFonts w:cstheme="minorHAnsi"/>
                <w:b/>
                <w:bCs/>
                <w:sz w:val="20"/>
                <w:szCs w:val="20"/>
              </w:rPr>
              <w:t>8 982 868</w:t>
            </w:r>
          </w:p>
        </w:tc>
        <w:tc>
          <w:tcPr>
            <w:tcW w:w="1148" w:type="dxa"/>
            <w:tcBorders>
              <w:top w:val="nil"/>
              <w:left w:val="single" w:sz="4" w:space="0" w:color="auto"/>
              <w:bottom w:val="single" w:sz="4" w:space="0" w:color="auto"/>
              <w:right w:val="single" w:sz="4" w:space="0" w:color="auto"/>
            </w:tcBorders>
            <w:shd w:val="clear" w:color="auto" w:fill="D9D9D9" w:themeFill="background1" w:themeFillShade="D9"/>
            <w:noWrap/>
            <w:vAlign w:val="center"/>
          </w:tcPr>
          <w:p w14:paraId="02D1669A" w14:textId="77777777" w:rsidR="009F4E55" w:rsidRPr="006A755F" w:rsidRDefault="009F4E55" w:rsidP="002F4E6D">
            <w:pPr>
              <w:spacing w:after="0"/>
              <w:jc w:val="right"/>
              <w:rPr>
                <w:rFonts w:cstheme="minorHAnsi"/>
                <w:b/>
                <w:bCs/>
                <w:sz w:val="20"/>
                <w:szCs w:val="20"/>
              </w:rPr>
            </w:pPr>
            <w:r>
              <w:rPr>
                <w:rFonts w:cstheme="minorHAnsi"/>
                <w:b/>
                <w:bCs/>
                <w:sz w:val="20"/>
                <w:szCs w:val="20"/>
              </w:rPr>
              <w:t>7 440 217</w:t>
            </w:r>
          </w:p>
        </w:tc>
        <w:tc>
          <w:tcPr>
            <w:tcW w:w="995" w:type="dxa"/>
            <w:tcBorders>
              <w:top w:val="nil"/>
              <w:left w:val="nil"/>
              <w:bottom w:val="single" w:sz="4" w:space="0" w:color="auto"/>
              <w:right w:val="single" w:sz="4" w:space="0" w:color="auto"/>
            </w:tcBorders>
            <w:shd w:val="clear" w:color="auto" w:fill="D9D9D9" w:themeFill="background1" w:themeFillShade="D9"/>
            <w:noWrap/>
            <w:vAlign w:val="center"/>
          </w:tcPr>
          <w:p w14:paraId="3659DFB0" w14:textId="77777777" w:rsidR="009F4E55" w:rsidRPr="006A755F" w:rsidRDefault="009F4E55" w:rsidP="002F4E6D">
            <w:pPr>
              <w:spacing w:after="0"/>
              <w:jc w:val="right"/>
              <w:rPr>
                <w:rFonts w:cstheme="minorHAnsi"/>
                <w:b/>
                <w:bCs/>
                <w:sz w:val="20"/>
                <w:szCs w:val="20"/>
              </w:rPr>
            </w:pPr>
            <w:r w:rsidRPr="006A755F">
              <w:rPr>
                <w:rFonts w:cstheme="minorHAnsi"/>
                <w:b/>
                <w:bCs/>
                <w:sz w:val="20"/>
                <w:szCs w:val="20"/>
              </w:rPr>
              <w:t>1</w:t>
            </w:r>
            <w:r>
              <w:rPr>
                <w:rFonts w:cstheme="minorHAnsi"/>
                <w:b/>
                <w:bCs/>
                <w:sz w:val="20"/>
                <w:szCs w:val="20"/>
              </w:rPr>
              <w:t>1</w:t>
            </w:r>
            <w:r w:rsidRPr="006A755F">
              <w:rPr>
                <w:rFonts w:cstheme="minorHAnsi"/>
                <w:b/>
                <w:bCs/>
                <w:sz w:val="20"/>
                <w:szCs w:val="20"/>
              </w:rPr>
              <w:t>0,</w:t>
            </w:r>
            <w:r>
              <w:rPr>
                <w:rFonts w:cstheme="minorHAnsi"/>
                <w:b/>
                <w:bCs/>
                <w:sz w:val="20"/>
                <w:szCs w:val="20"/>
              </w:rPr>
              <w:t>0</w:t>
            </w:r>
          </w:p>
        </w:tc>
      </w:tr>
      <w:tr w:rsidR="009F4E55" w:rsidRPr="006A755F" w14:paraId="125D1758" w14:textId="77777777" w:rsidTr="002F4E6D">
        <w:trPr>
          <w:trHeight w:val="585"/>
          <w:tblHeader/>
        </w:trPr>
        <w:tc>
          <w:tcPr>
            <w:tcW w:w="3119" w:type="dxa"/>
            <w:tcBorders>
              <w:top w:val="single" w:sz="4" w:space="0" w:color="auto"/>
              <w:left w:val="single" w:sz="4" w:space="0" w:color="auto"/>
              <w:bottom w:val="nil"/>
              <w:right w:val="single" w:sz="4" w:space="0" w:color="auto"/>
            </w:tcBorders>
            <w:shd w:val="clear" w:color="000000" w:fill="FFFFFF"/>
            <w:vAlign w:val="bottom"/>
            <w:hideMark/>
          </w:tcPr>
          <w:p w14:paraId="30309CB2" w14:textId="77777777" w:rsidR="009F4E55" w:rsidRPr="006A755F" w:rsidRDefault="009F4E55" w:rsidP="002F4E6D">
            <w:pPr>
              <w:spacing w:after="0"/>
              <w:rPr>
                <w:rFonts w:cstheme="minorHAnsi"/>
                <w:b/>
                <w:bCs/>
                <w:color w:val="2F5496" w:themeColor="accent5" w:themeShade="BF"/>
                <w:sz w:val="20"/>
                <w:szCs w:val="20"/>
              </w:rPr>
            </w:pPr>
            <w:r w:rsidRPr="006A755F">
              <w:rPr>
                <w:rFonts w:cstheme="minorHAnsi"/>
                <w:b/>
                <w:bCs/>
                <w:color w:val="2F5496" w:themeColor="accent5" w:themeShade="BF"/>
                <w:sz w:val="20"/>
                <w:szCs w:val="20"/>
              </w:rPr>
              <w:t xml:space="preserve">Tituly neinvestičních transferů podnikatelským subjektům </w:t>
            </w:r>
            <w:r w:rsidRPr="006A755F">
              <w:rPr>
                <w:rFonts w:cstheme="minorHAnsi"/>
                <w:b/>
                <w:bCs/>
                <w:color w:val="2F5496" w:themeColor="accent5" w:themeShade="BF"/>
                <w:sz w:val="20"/>
                <w:szCs w:val="20"/>
              </w:rPr>
              <w:br/>
            </w:r>
            <w:r w:rsidRPr="006A755F">
              <w:rPr>
                <w:rFonts w:cstheme="minorHAnsi"/>
                <w:bCs/>
                <w:color w:val="2F5496" w:themeColor="accent5" w:themeShade="BF"/>
                <w:sz w:val="20"/>
                <w:szCs w:val="20"/>
              </w:rPr>
              <w:t>(</w:t>
            </w:r>
            <w:r>
              <w:rPr>
                <w:rFonts w:cstheme="minorHAnsi"/>
                <w:bCs/>
                <w:color w:val="2F5496" w:themeColor="accent5" w:themeShade="BF"/>
                <w:sz w:val="20"/>
                <w:szCs w:val="20"/>
              </w:rPr>
              <w:t>v tom</w:t>
            </w:r>
            <w:r w:rsidRPr="006A755F">
              <w:rPr>
                <w:rFonts w:cstheme="minorHAnsi"/>
                <w:bCs/>
                <w:color w:val="2F5496" w:themeColor="accent5" w:themeShade="BF"/>
                <w:sz w:val="20"/>
                <w:szCs w:val="20"/>
              </w:rPr>
              <w:t>:)</w:t>
            </w:r>
          </w:p>
        </w:tc>
        <w:tc>
          <w:tcPr>
            <w:tcW w:w="1148" w:type="dxa"/>
            <w:tcBorders>
              <w:top w:val="single" w:sz="4" w:space="0" w:color="auto"/>
              <w:left w:val="nil"/>
              <w:bottom w:val="nil"/>
              <w:right w:val="single" w:sz="4" w:space="0" w:color="auto"/>
            </w:tcBorders>
            <w:shd w:val="clear" w:color="000000" w:fill="FFFFFF"/>
            <w:noWrap/>
            <w:vAlign w:val="center"/>
            <w:hideMark/>
          </w:tcPr>
          <w:p w14:paraId="53F82AC9" w14:textId="77777777" w:rsidR="009F4E55" w:rsidRPr="006A755F" w:rsidRDefault="009F4E55" w:rsidP="002F4E6D">
            <w:pPr>
              <w:spacing w:after="0"/>
              <w:jc w:val="right"/>
              <w:rPr>
                <w:rFonts w:cstheme="minorHAnsi"/>
                <w:b/>
                <w:bCs/>
                <w:color w:val="2F5496" w:themeColor="accent5" w:themeShade="BF"/>
                <w:sz w:val="20"/>
                <w:szCs w:val="20"/>
              </w:rPr>
            </w:pPr>
            <w:r>
              <w:rPr>
                <w:rFonts w:cstheme="minorHAnsi"/>
                <w:b/>
                <w:bCs/>
                <w:color w:val="2F5496" w:themeColor="accent5" w:themeShade="BF"/>
                <w:sz w:val="20"/>
                <w:szCs w:val="20"/>
              </w:rPr>
              <w:t>5 923 911</w:t>
            </w:r>
          </w:p>
        </w:tc>
        <w:tc>
          <w:tcPr>
            <w:tcW w:w="1275" w:type="dxa"/>
            <w:tcBorders>
              <w:top w:val="single" w:sz="4" w:space="0" w:color="auto"/>
              <w:left w:val="nil"/>
              <w:bottom w:val="nil"/>
              <w:right w:val="single" w:sz="4" w:space="0" w:color="auto"/>
            </w:tcBorders>
            <w:shd w:val="clear" w:color="000000" w:fill="FFFFFF"/>
            <w:noWrap/>
            <w:vAlign w:val="center"/>
          </w:tcPr>
          <w:p w14:paraId="728E3DDA" w14:textId="77777777" w:rsidR="009F4E55" w:rsidRPr="006A755F" w:rsidRDefault="009F4E55" w:rsidP="002F4E6D">
            <w:pPr>
              <w:spacing w:after="0"/>
              <w:jc w:val="right"/>
              <w:rPr>
                <w:rFonts w:cstheme="minorHAnsi"/>
                <w:b/>
                <w:bCs/>
                <w:color w:val="2F5496" w:themeColor="accent5" w:themeShade="BF"/>
                <w:sz w:val="20"/>
                <w:szCs w:val="20"/>
              </w:rPr>
            </w:pPr>
            <w:r>
              <w:rPr>
                <w:rFonts w:cstheme="minorHAnsi"/>
                <w:b/>
                <w:bCs/>
                <w:color w:val="2F5496" w:themeColor="accent5" w:themeShade="BF"/>
                <w:sz w:val="20"/>
                <w:szCs w:val="20"/>
              </w:rPr>
              <w:t>7 848 565</w:t>
            </w:r>
          </w:p>
        </w:tc>
        <w:tc>
          <w:tcPr>
            <w:tcW w:w="1276" w:type="dxa"/>
            <w:tcBorders>
              <w:top w:val="single" w:sz="4" w:space="0" w:color="auto"/>
              <w:left w:val="nil"/>
              <w:bottom w:val="nil"/>
              <w:right w:val="single" w:sz="4" w:space="0" w:color="auto"/>
            </w:tcBorders>
            <w:shd w:val="clear" w:color="000000" w:fill="FFFFFF"/>
            <w:noWrap/>
            <w:vAlign w:val="center"/>
          </w:tcPr>
          <w:p w14:paraId="55E7D66B" w14:textId="77777777" w:rsidR="009F4E55" w:rsidRPr="006A755F" w:rsidRDefault="009F4E55" w:rsidP="002F4E6D">
            <w:pPr>
              <w:spacing w:after="0"/>
              <w:jc w:val="right"/>
              <w:rPr>
                <w:rFonts w:cstheme="minorHAnsi"/>
                <w:b/>
                <w:bCs/>
                <w:color w:val="2F5496" w:themeColor="accent5" w:themeShade="BF"/>
                <w:sz w:val="20"/>
                <w:szCs w:val="20"/>
              </w:rPr>
            </w:pPr>
            <w:r>
              <w:rPr>
                <w:rFonts w:cstheme="minorHAnsi"/>
                <w:b/>
                <w:bCs/>
                <w:color w:val="2F5496" w:themeColor="accent5" w:themeShade="BF"/>
                <w:sz w:val="20"/>
                <w:szCs w:val="20"/>
              </w:rPr>
              <w:t>7 304 801</w:t>
            </w:r>
          </w:p>
        </w:tc>
        <w:tc>
          <w:tcPr>
            <w:tcW w:w="1104" w:type="dxa"/>
            <w:tcBorders>
              <w:top w:val="single" w:sz="4" w:space="0" w:color="auto"/>
              <w:left w:val="nil"/>
              <w:bottom w:val="nil"/>
              <w:right w:val="single" w:sz="4" w:space="0" w:color="auto"/>
            </w:tcBorders>
            <w:shd w:val="clear" w:color="000000" w:fill="FFFFFF"/>
            <w:vAlign w:val="center"/>
          </w:tcPr>
          <w:p w14:paraId="3A19BB63" w14:textId="77777777" w:rsidR="009F4E55" w:rsidRPr="006A755F" w:rsidRDefault="009F4E55" w:rsidP="002F4E6D">
            <w:pPr>
              <w:spacing w:after="0"/>
              <w:jc w:val="right"/>
              <w:rPr>
                <w:rFonts w:cstheme="minorHAnsi"/>
                <w:b/>
                <w:bCs/>
                <w:color w:val="2F5496" w:themeColor="accent5" w:themeShade="BF"/>
                <w:sz w:val="20"/>
                <w:szCs w:val="20"/>
              </w:rPr>
            </w:pPr>
            <w:r>
              <w:rPr>
                <w:rFonts w:cstheme="minorHAnsi"/>
                <w:b/>
                <w:bCs/>
                <w:color w:val="2F5496" w:themeColor="accent5" w:themeShade="BF"/>
                <w:sz w:val="20"/>
                <w:szCs w:val="20"/>
              </w:rPr>
              <w:t>7 526 757</w:t>
            </w:r>
          </w:p>
        </w:tc>
        <w:tc>
          <w:tcPr>
            <w:tcW w:w="1148" w:type="dxa"/>
            <w:tcBorders>
              <w:top w:val="single" w:sz="4" w:space="0" w:color="auto"/>
              <w:left w:val="single" w:sz="4" w:space="0" w:color="auto"/>
              <w:bottom w:val="nil"/>
              <w:right w:val="single" w:sz="4" w:space="0" w:color="auto"/>
            </w:tcBorders>
            <w:shd w:val="clear" w:color="000000" w:fill="FFFFFF"/>
            <w:noWrap/>
            <w:vAlign w:val="center"/>
          </w:tcPr>
          <w:p w14:paraId="083689C1" w14:textId="77777777" w:rsidR="009F4E55" w:rsidRPr="006A755F" w:rsidRDefault="009F4E55" w:rsidP="002F4E6D">
            <w:pPr>
              <w:spacing w:after="0"/>
              <w:jc w:val="right"/>
              <w:rPr>
                <w:rFonts w:cstheme="minorHAnsi"/>
                <w:b/>
                <w:bCs/>
                <w:color w:val="2F5496" w:themeColor="accent5" w:themeShade="BF"/>
                <w:sz w:val="20"/>
                <w:szCs w:val="20"/>
              </w:rPr>
            </w:pPr>
            <w:r>
              <w:rPr>
                <w:rFonts w:cstheme="minorHAnsi"/>
                <w:b/>
                <w:bCs/>
                <w:color w:val="2F5496" w:themeColor="accent5" w:themeShade="BF"/>
                <w:sz w:val="20"/>
                <w:szCs w:val="20"/>
              </w:rPr>
              <w:t>6 465 853</w:t>
            </w:r>
          </w:p>
        </w:tc>
        <w:tc>
          <w:tcPr>
            <w:tcW w:w="995" w:type="dxa"/>
            <w:tcBorders>
              <w:top w:val="single" w:sz="4" w:space="0" w:color="auto"/>
              <w:left w:val="nil"/>
              <w:bottom w:val="nil"/>
              <w:right w:val="single" w:sz="4" w:space="0" w:color="auto"/>
            </w:tcBorders>
            <w:shd w:val="clear" w:color="000000" w:fill="FFFFFF"/>
            <w:noWrap/>
            <w:vAlign w:val="center"/>
          </w:tcPr>
          <w:p w14:paraId="2F4F5ADA" w14:textId="77777777" w:rsidR="009F4E55" w:rsidRPr="006A755F" w:rsidRDefault="009F4E55" w:rsidP="002F4E6D">
            <w:pPr>
              <w:spacing w:after="0"/>
              <w:jc w:val="right"/>
              <w:rPr>
                <w:rFonts w:cstheme="minorHAnsi"/>
                <w:b/>
                <w:bCs/>
                <w:color w:val="2F5496" w:themeColor="accent5" w:themeShade="BF"/>
                <w:sz w:val="20"/>
                <w:szCs w:val="20"/>
              </w:rPr>
            </w:pPr>
            <w:r>
              <w:rPr>
                <w:rFonts w:cstheme="minorHAnsi"/>
                <w:b/>
                <w:bCs/>
                <w:color w:val="2F5496" w:themeColor="accent5" w:themeShade="BF"/>
                <w:sz w:val="20"/>
                <w:szCs w:val="20"/>
              </w:rPr>
              <w:t>10</w:t>
            </w:r>
            <w:r w:rsidRPr="006A755F">
              <w:rPr>
                <w:rFonts w:cstheme="minorHAnsi"/>
                <w:b/>
                <w:bCs/>
                <w:color w:val="2F5496" w:themeColor="accent5" w:themeShade="BF"/>
                <w:sz w:val="20"/>
                <w:szCs w:val="20"/>
              </w:rPr>
              <w:t>9,</w:t>
            </w:r>
            <w:r>
              <w:rPr>
                <w:rFonts w:cstheme="minorHAnsi"/>
                <w:b/>
                <w:bCs/>
                <w:color w:val="2F5496" w:themeColor="accent5" w:themeShade="BF"/>
                <w:sz w:val="20"/>
                <w:szCs w:val="20"/>
              </w:rPr>
              <w:t>1</w:t>
            </w:r>
          </w:p>
        </w:tc>
      </w:tr>
      <w:tr w:rsidR="009F4E55" w:rsidRPr="006A755F" w14:paraId="18BB449B" w14:textId="77777777" w:rsidTr="002F4E6D">
        <w:trPr>
          <w:trHeight w:val="600"/>
          <w:tblHeader/>
        </w:trPr>
        <w:tc>
          <w:tcPr>
            <w:tcW w:w="3119" w:type="dxa"/>
            <w:tcBorders>
              <w:top w:val="nil"/>
              <w:left w:val="single" w:sz="4" w:space="0" w:color="auto"/>
              <w:bottom w:val="nil"/>
              <w:right w:val="single" w:sz="4" w:space="0" w:color="auto"/>
            </w:tcBorders>
            <w:shd w:val="clear" w:color="000000" w:fill="FFFFFF"/>
            <w:vAlign w:val="bottom"/>
            <w:hideMark/>
          </w:tcPr>
          <w:p w14:paraId="18553CA6" w14:textId="77777777" w:rsidR="009F4E55" w:rsidRPr="006A755F" w:rsidRDefault="009F4E55" w:rsidP="002F4E6D">
            <w:pPr>
              <w:spacing w:after="0"/>
              <w:rPr>
                <w:rFonts w:cstheme="minorHAnsi"/>
                <w:sz w:val="20"/>
                <w:szCs w:val="20"/>
              </w:rPr>
            </w:pPr>
            <w:r w:rsidRPr="006A755F">
              <w:rPr>
                <w:rFonts w:cstheme="minorHAnsi"/>
                <w:sz w:val="20"/>
                <w:szCs w:val="20"/>
              </w:rPr>
              <w:t>Úhrada ztráty ze závazku veř. služby ve veř. drážní osobní dopravě</w:t>
            </w:r>
          </w:p>
        </w:tc>
        <w:tc>
          <w:tcPr>
            <w:tcW w:w="1148" w:type="dxa"/>
            <w:tcBorders>
              <w:top w:val="nil"/>
              <w:left w:val="nil"/>
              <w:bottom w:val="nil"/>
              <w:right w:val="single" w:sz="4" w:space="0" w:color="auto"/>
            </w:tcBorders>
            <w:shd w:val="clear" w:color="auto" w:fill="auto"/>
            <w:noWrap/>
            <w:vAlign w:val="center"/>
            <w:hideMark/>
          </w:tcPr>
          <w:p w14:paraId="19047031" w14:textId="77777777" w:rsidR="009F4E55" w:rsidRPr="006A755F" w:rsidRDefault="009F4E55" w:rsidP="002F4E6D">
            <w:pPr>
              <w:spacing w:after="0"/>
              <w:jc w:val="right"/>
              <w:rPr>
                <w:rFonts w:cstheme="minorHAnsi"/>
                <w:sz w:val="20"/>
                <w:szCs w:val="20"/>
              </w:rPr>
            </w:pPr>
            <w:r w:rsidRPr="006A755F">
              <w:rPr>
                <w:rFonts w:cstheme="minorHAnsi"/>
                <w:sz w:val="20"/>
                <w:szCs w:val="20"/>
              </w:rPr>
              <w:t>5</w:t>
            </w:r>
            <w:r>
              <w:rPr>
                <w:rFonts w:cstheme="minorHAnsi"/>
                <w:sz w:val="20"/>
                <w:szCs w:val="20"/>
              </w:rPr>
              <w:t> 429 004</w:t>
            </w:r>
          </w:p>
        </w:tc>
        <w:tc>
          <w:tcPr>
            <w:tcW w:w="1275" w:type="dxa"/>
            <w:tcBorders>
              <w:top w:val="nil"/>
              <w:left w:val="nil"/>
              <w:bottom w:val="nil"/>
              <w:right w:val="single" w:sz="4" w:space="0" w:color="auto"/>
            </w:tcBorders>
            <w:shd w:val="clear" w:color="auto" w:fill="auto"/>
            <w:noWrap/>
            <w:vAlign w:val="center"/>
          </w:tcPr>
          <w:p w14:paraId="5A50D101" w14:textId="77777777" w:rsidR="009F4E55" w:rsidRPr="006A755F" w:rsidRDefault="009F4E55" w:rsidP="002F4E6D">
            <w:pPr>
              <w:spacing w:after="0"/>
              <w:jc w:val="right"/>
              <w:rPr>
                <w:rFonts w:cstheme="minorHAnsi"/>
                <w:sz w:val="20"/>
                <w:szCs w:val="20"/>
              </w:rPr>
            </w:pPr>
            <w:r>
              <w:rPr>
                <w:rFonts w:cstheme="minorHAnsi"/>
                <w:sz w:val="20"/>
                <w:szCs w:val="20"/>
              </w:rPr>
              <w:t>7 219 105</w:t>
            </w:r>
          </w:p>
        </w:tc>
        <w:tc>
          <w:tcPr>
            <w:tcW w:w="1276" w:type="dxa"/>
            <w:tcBorders>
              <w:top w:val="nil"/>
              <w:left w:val="nil"/>
              <w:bottom w:val="nil"/>
              <w:right w:val="single" w:sz="4" w:space="0" w:color="auto"/>
            </w:tcBorders>
            <w:shd w:val="clear" w:color="auto" w:fill="auto"/>
            <w:noWrap/>
            <w:vAlign w:val="center"/>
          </w:tcPr>
          <w:p w14:paraId="696EFEF5" w14:textId="77777777" w:rsidR="009F4E55" w:rsidRPr="006A755F" w:rsidRDefault="009F4E55" w:rsidP="002F4E6D">
            <w:pPr>
              <w:spacing w:after="0"/>
              <w:jc w:val="right"/>
              <w:rPr>
                <w:rFonts w:cstheme="minorHAnsi"/>
                <w:sz w:val="20"/>
                <w:szCs w:val="20"/>
              </w:rPr>
            </w:pPr>
            <w:r>
              <w:rPr>
                <w:rFonts w:cstheme="minorHAnsi"/>
                <w:sz w:val="20"/>
                <w:szCs w:val="20"/>
              </w:rPr>
              <w:t>7 219 105</w:t>
            </w:r>
          </w:p>
        </w:tc>
        <w:tc>
          <w:tcPr>
            <w:tcW w:w="1104" w:type="dxa"/>
            <w:tcBorders>
              <w:top w:val="nil"/>
              <w:left w:val="nil"/>
              <w:bottom w:val="nil"/>
              <w:right w:val="single" w:sz="4" w:space="0" w:color="auto"/>
            </w:tcBorders>
            <w:vAlign w:val="center"/>
          </w:tcPr>
          <w:p w14:paraId="6237F6E9" w14:textId="77777777" w:rsidR="009F4E55" w:rsidRPr="006A755F" w:rsidRDefault="009F4E55" w:rsidP="002F4E6D">
            <w:pPr>
              <w:spacing w:after="0"/>
              <w:jc w:val="right"/>
              <w:rPr>
                <w:rFonts w:cstheme="minorHAnsi"/>
                <w:sz w:val="20"/>
                <w:szCs w:val="20"/>
              </w:rPr>
            </w:pPr>
            <w:r>
              <w:rPr>
                <w:rFonts w:cstheme="minorHAnsi"/>
                <w:sz w:val="20"/>
                <w:szCs w:val="20"/>
              </w:rPr>
              <w:t>7 219 105</w:t>
            </w:r>
          </w:p>
        </w:tc>
        <w:tc>
          <w:tcPr>
            <w:tcW w:w="1148" w:type="dxa"/>
            <w:tcBorders>
              <w:top w:val="nil"/>
              <w:left w:val="single" w:sz="4" w:space="0" w:color="auto"/>
              <w:bottom w:val="nil"/>
              <w:right w:val="single" w:sz="4" w:space="0" w:color="auto"/>
            </w:tcBorders>
            <w:shd w:val="clear" w:color="auto" w:fill="auto"/>
            <w:noWrap/>
            <w:vAlign w:val="center"/>
          </w:tcPr>
          <w:p w14:paraId="180836CB" w14:textId="77777777" w:rsidR="009F4E55" w:rsidRPr="006A755F" w:rsidRDefault="009F4E55" w:rsidP="002F4E6D">
            <w:pPr>
              <w:spacing w:after="0"/>
              <w:jc w:val="right"/>
              <w:rPr>
                <w:rFonts w:cstheme="minorHAnsi"/>
                <w:sz w:val="20"/>
                <w:szCs w:val="20"/>
              </w:rPr>
            </w:pPr>
            <w:r>
              <w:rPr>
                <w:rFonts w:cstheme="minorHAnsi"/>
                <w:sz w:val="20"/>
                <w:szCs w:val="20"/>
              </w:rPr>
              <w:t>6 170 278</w:t>
            </w:r>
          </w:p>
        </w:tc>
        <w:tc>
          <w:tcPr>
            <w:tcW w:w="995" w:type="dxa"/>
            <w:tcBorders>
              <w:top w:val="nil"/>
              <w:left w:val="nil"/>
              <w:bottom w:val="nil"/>
              <w:right w:val="single" w:sz="4" w:space="0" w:color="auto"/>
            </w:tcBorders>
            <w:shd w:val="clear" w:color="auto" w:fill="auto"/>
            <w:noWrap/>
            <w:vAlign w:val="center"/>
          </w:tcPr>
          <w:p w14:paraId="0E2ABDAD" w14:textId="77777777" w:rsidR="009F4E55" w:rsidRPr="006A755F" w:rsidRDefault="009F4E55" w:rsidP="002F4E6D">
            <w:pPr>
              <w:spacing w:after="0"/>
              <w:jc w:val="right"/>
              <w:rPr>
                <w:rFonts w:cstheme="minorHAnsi"/>
                <w:sz w:val="20"/>
                <w:szCs w:val="20"/>
              </w:rPr>
            </w:pPr>
            <w:r>
              <w:rPr>
                <w:rFonts w:cstheme="minorHAnsi"/>
                <w:sz w:val="20"/>
                <w:szCs w:val="20"/>
              </w:rPr>
              <w:t>113,7</w:t>
            </w:r>
          </w:p>
        </w:tc>
      </w:tr>
      <w:tr w:rsidR="009F4E55" w:rsidRPr="006A755F" w14:paraId="0DB05C5D" w14:textId="77777777" w:rsidTr="002F4E6D">
        <w:trPr>
          <w:trHeight w:val="600"/>
          <w:tblHeader/>
        </w:trPr>
        <w:tc>
          <w:tcPr>
            <w:tcW w:w="3119" w:type="dxa"/>
            <w:tcBorders>
              <w:top w:val="nil"/>
              <w:left w:val="single" w:sz="4" w:space="0" w:color="auto"/>
              <w:bottom w:val="nil"/>
              <w:right w:val="single" w:sz="4" w:space="0" w:color="auto"/>
            </w:tcBorders>
            <w:shd w:val="clear" w:color="000000" w:fill="FFFFFF"/>
            <w:vAlign w:val="bottom"/>
            <w:hideMark/>
          </w:tcPr>
          <w:p w14:paraId="6343AEF8" w14:textId="77777777" w:rsidR="009F4E55" w:rsidRPr="006A755F" w:rsidRDefault="009F4E55" w:rsidP="002F4E6D">
            <w:pPr>
              <w:spacing w:after="0"/>
              <w:rPr>
                <w:rFonts w:cstheme="minorHAnsi"/>
                <w:sz w:val="20"/>
                <w:szCs w:val="20"/>
              </w:rPr>
            </w:pPr>
            <w:r w:rsidRPr="006A755F">
              <w:rPr>
                <w:rFonts w:cstheme="minorHAnsi"/>
                <w:sz w:val="20"/>
                <w:szCs w:val="20"/>
              </w:rPr>
              <w:t>Úhrada poplatků vybíraných za LPS poskytované ve vzdušném prostoru</w:t>
            </w:r>
          </w:p>
        </w:tc>
        <w:tc>
          <w:tcPr>
            <w:tcW w:w="1148" w:type="dxa"/>
            <w:tcBorders>
              <w:top w:val="nil"/>
              <w:left w:val="nil"/>
              <w:bottom w:val="nil"/>
              <w:right w:val="single" w:sz="4" w:space="0" w:color="auto"/>
            </w:tcBorders>
            <w:shd w:val="clear" w:color="auto" w:fill="auto"/>
            <w:noWrap/>
            <w:vAlign w:val="center"/>
            <w:hideMark/>
          </w:tcPr>
          <w:p w14:paraId="369C56EE" w14:textId="77777777" w:rsidR="009F4E55" w:rsidRPr="006A755F" w:rsidRDefault="009F4E55" w:rsidP="002F4E6D">
            <w:pPr>
              <w:spacing w:after="0"/>
              <w:jc w:val="right"/>
              <w:rPr>
                <w:rFonts w:cstheme="minorHAnsi"/>
                <w:sz w:val="20"/>
                <w:szCs w:val="20"/>
              </w:rPr>
            </w:pPr>
            <w:r>
              <w:rPr>
                <w:rFonts w:cstheme="minorHAnsi"/>
                <w:sz w:val="20"/>
                <w:szCs w:val="20"/>
              </w:rPr>
              <w:t>73 1</w:t>
            </w:r>
            <w:r w:rsidRPr="006A755F">
              <w:rPr>
                <w:rFonts w:cstheme="minorHAnsi"/>
                <w:sz w:val="20"/>
                <w:szCs w:val="20"/>
              </w:rPr>
              <w:t>50</w:t>
            </w:r>
          </w:p>
        </w:tc>
        <w:tc>
          <w:tcPr>
            <w:tcW w:w="1275" w:type="dxa"/>
            <w:tcBorders>
              <w:top w:val="nil"/>
              <w:left w:val="nil"/>
              <w:bottom w:val="nil"/>
              <w:right w:val="single" w:sz="4" w:space="0" w:color="auto"/>
            </w:tcBorders>
            <w:shd w:val="clear" w:color="auto" w:fill="auto"/>
            <w:noWrap/>
            <w:vAlign w:val="center"/>
          </w:tcPr>
          <w:p w14:paraId="26BFC573" w14:textId="77777777" w:rsidR="009F4E55" w:rsidRPr="006A755F" w:rsidRDefault="009F4E55" w:rsidP="002F4E6D">
            <w:pPr>
              <w:spacing w:after="0"/>
              <w:jc w:val="right"/>
              <w:rPr>
                <w:rFonts w:cstheme="minorHAnsi"/>
                <w:sz w:val="20"/>
                <w:szCs w:val="20"/>
              </w:rPr>
            </w:pPr>
            <w:r>
              <w:rPr>
                <w:rFonts w:cstheme="minorHAnsi"/>
                <w:sz w:val="20"/>
                <w:szCs w:val="20"/>
              </w:rPr>
              <w:t>82 450</w:t>
            </w:r>
          </w:p>
        </w:tc>
        <w:tc>
          <w:tcPr>
            <w:tcW w:w="1276" w:type="dxa"/>
            <w:tcBorders>
              <w:top w:val="nil"/>
              <w:left w:val="nil"/>
              <w:bottom w:val="nil"/>
              <w:right w:val="single" w:sz="4" w:space="0" w:color="auto"/>
            </w:tcBorders>
            <w:shd w:val="clear" w:color="auto" w:fill="auto"/>
            <w:noWrap/>
            <w:vAlign w:val="center"/>
          </w:tcPr>
          <w:p w14:paraId="26069037" w14:textId="77777777" w:rsidR="009F4E55" w:rsidRPr="006A755F" w:rsidRDefault="009F4E55" w:rsidP="002F4E6D">
            <w:pPr>
              <w:spacing w:after="0"/>
              <w:jc w:val="right"/>
              <w:rPr>
                <w:rFonts w:cstheme="minorHAnsi"/>
                <w:sz w:val="20"/>
                <w:szCs w:val="20"/>
              </w:rPr>
            </w:pPr>
            <w:r>
              <w:rPr>
                <w:rFonts w:cstheme="minorHAnsi"/>
                <w:sz w:val="20"/>
                <w:szCs w:val="20"/>
              </w:rPr>
              <w:t>82 450</w:t>
            </w:r>
          </w:p>
        </w:tc>
        <w:tc>
          <w:tcPr>
            <w:tcW w:w="1104" w:type="dxa"/>
            <w:tcBorders>
              <w:top w:val="nil"/>
              <w:left w:val="nil"/>
              <w:bottom w:val="nil"/>
              <w:right w:val="single" w:sz="4" w:space="0" w:color="auto"/>
            </w:tcBorders>
            <w:vAlign w:val="center"/>
          </w:tcPr>
          <w:p w14:paraId="64D753BD" w14:textId="77777777" w:rsidR="009F4E55" w:rsidRPr="006A755F" w:rsidRDefault="009F4E55" w:rsidP="002F4E6D">
            <w:pPr>
              <w:spacing w:after="0"/>
              <w:jc w:val="right"/>
              <w:rPr>
                <w:rFonts w:cstheme="minorHAnsi"/>
                <w:sz w:val="20"/>
                <w:szCs w:val="20"/>
              </w:rPr>
            </w:pPr>
            <w:r>
              <w:rPr>
                <w:rFonts w:cstheme="minorHAnsi"/>
                <w:sz w:val="20"/>
                <w:szCs w:val="20"/>
              </w:rPr>
              <w:t>82 450</w:t>
            </w:r>
          </w:p>
        </w:tc>
        <w:tc>
          <w:tcPr>
            <w:tcW w:w="1148" w:type="dxa"/>
            <w:tcBorders>
              <w:top w:val="nil"/>
              <w:left w:val="single" w:sz="4" w:space="0" w:color="auto"/>
              <w:bottom w:val="nil"/>
              <w:right w:val="single" w:sz="4" w:space="0" w:color="auto"/>
            </w:tcBorders>
            <w:shd w:val="clear" w:color="auto" w:fill="auto"/>
            <w:noWrap/>
            <w:vAlign w:val="center"/>
          </w:tcPr>
          <w:p w14:paraId="33B4579F" w14:textId="77777777" w:rsidR="009F4E55" w:rsidRPr="006A755F" w:rsidRDefault="009F4E55" w:rsidP="002F4E6D">
            <w:pPr>
              <w:spacing w:after="0"/>
              <w:jc w:val="right"/>
              <w:rPr>
                <w:rFonts w:cstheme="minorHAnsi"/>
                <w:sz w:val="20"/>
                <w:szCs w:val="20"/>
              </w:rPr>
            </w:pPr>
            <w:r>
              <w:rPr>
                <w:rFonts w:cstheme="minorHAnsi"/>
                <w:sz w:val="20"/>
                <w:szCs w:val="20"/>
              </w:rPr>
              <w:t>78 850</w:t>
            </w:r>
          </w:p>
        </w:tc>
        <w:tc>
          <w:tcPr>
            <w:tcW w:w="995" w:type="dxa"/>
            <w:tcBorders>
              <w:top w:val="nil"/>
              <w:left w:val="nil"/>
              <w:bottom w:val="nil"/>
              <w:right w:val="single" w:sz="4" w:space="0" w:color="auto"/>
            </w:tcBorders>
            <w:shd w:val="clear" w:color="auto" w:fill="auto"/>
            <w:noWrap/>
            <w:vAlign w:val="center"/>
          </w:tcPr>
          <w:p w14:paraId="28924010" w14:textId="77777777" w:rsidR="009F4E55" w:rsidRPr="006A755F" w:rsidRDefault="009F4E55" w:rsidP="002F4E6D">
            <w:pPr>
              <w:spacing w:after="0"/>
              <w:jc w:val="right"/>
              <w:rPr>
                <w:rFonts w:cstheme="minorHAnsi"/>
                <w:sz w:val="20"/>
                <w:szCs w:val="20"/>
              </w:rPr>
            </w:pPr>
            <w:r>
              <w:rPr>
                <w:rFonts w:cstheme="minorHAnsi"/>
                <w:sz w:val="20"/>
                <w:szCs w:val="20"/>
              </w:rPr>
              <w:t>107,8</w:t>
            </w:r>
          </w:p>
        </w:tc>
      </w:tr>
      <w:tr w:rsidR="009F4E55" w:rsidRPr="006A755F" w14:paraId="38CC68E7" w14:textId="77777777" w:rsidTr="002F4E6D">
        <w:trPr>
          <w:trHeight w:val="262"/>
          <w:tblHeader/>
        </w:trPr>
        <w:tc>
          <w:tcPr>
            <w:tcW w:w="3119" w:type="dxa"/>
            <w:tcBorders>
              <w:top w:val="nil"/>
              <w:left w:val="single" w:sz="4" w:space="0" w:color="auto"/>
              <w:bottom w:val="nil"/>
              <w:right w:val="single" w:sz="4" w:space="0" w:color="auto"/>
            </w:tcBorders>
            <w:shd w:val="clear" w:color="000000" w:fill="FFFFFF"/>
            <w:vAlign w:val="bottom"/>
            <w:hideMark/>
          </w:tcPr>
          <w:p w14:paraId="41D41841" w14:textId="77777777" w:rsidR="009F4E55" w:rsidRPr="006A755F" w:rsidRDefault="009F4E55" w:rsidP="002F4E6D">
            <w:pPr>
              <w:spacing w:after="0"/>
              <w:rPr>
                <w:rFonts w:cstheme="minorHAnsi"/>
                <w:sz w:val="20"/>
                <w:szCs w:val="20"/>
              </w:rPr>
            </w:pPr>
            <w:r w:rsidRPr="006A755F">
              <w:rPr>
                <w:rFonts w:cstheme="minorHAnsi"/>
                <w:sz w:val="20"/>
                <w:szCs w:val="20"/>
              </w:rPr>
              <w:t xml:space="preserve">Výdaje na </w:t>
            </w:r>
            <w:proofErr w:type="spellStart"/>
            <w:r w:rsidRPr="006A755F">
              <w:rPr>
                <w:rFonts w:cstheme="minorHAnsi"/>
                <w:sz w:val="20"/>
                <w:szCs w:val="20"/>
              </w:rPr>
              <w:t>progr</w:t>
            </w:r>
            <w:proofErr w:type="spellEnd"/>
            <w:r w:rsidRPr="006A755F">
              <w:rPr>
                <w:rFonts w:cstheme="minorHAnsi"/>
                <w:sz w:val="20"/>
                <w:szCs w:val="20"/>
              </w:rPr>
              <w:t xml:space="preserve">. </w:t>
            </w:r>
            <w:proofErr w:type="spellStart"/>
            <w:r w:rsidRPr="006A755F">
              <w:rPr>
                <w:rFonts w:cstheme="minorHAnsi"/>
                <w:sz w:val="20"/>
                <w:szCs w:val="20"/>
              </w:rPr>
              <w:t>spolufin</w:t>
            </w:r>
            <w:proofErr w:type="spellEnd"/>
            <w:r w:rsidRPr="006A755F">
              <w:rPr>
                <w:rFonts w:cstheme="minorHAnsi"/>
                <w:sz w:val="20"/>
                <w:szCs w:val="20"/>
              </w:rPr>
              <w:t xml:space="preserve">. z </w:t>
            </w:r>
            <w:proofErr w:type="gramStart"/>
            <w:r w:rsidRPr="006A755F">
              <w:rPr>
                <w:rFonts w:cstheme="minorHAnsi"/>
                <w:sz w:val="20"/>
                <w:szCs w:val="20"/>
              </w:rPr>
              <w:t>EU - CEF</w:t>
            </w:r>
            <w:proofErr w:type="gramEnd"/>
          </w:p>
        </w:tc>
        <w:tc>
          <w:tcPr>
            <w:tcW w:w="1148" w:type="dxa"/>
            <w:tcBorders>
              <w:top w:val="nil"/>
              <w:left w:val="nil"/>
              <w:bottom w:val="nil"/>
              <w:right w:val="single" w:sz="4" w:space="0" w:color="auto"/>
            </w:tcBorders>
            <w:shd w:val="clear" w:color="auto" w:fill="auto"/>
            <w:noWrap/>
            <w:vAlign w:val="center"/>
            <w:hideMark/>
          </w:tcPr>
          <w:p w14:paraId="00B33F7F" w14:textId="77777777" w:rsidR="009F4E55" w:rsidRPr="006A755F" w:rsidRDefault="009F4E55" w:rsidP="002F4E6D">
            <w:pPr>
              <w:spacing w:after="0"/>
              <w:jc w:val="right"/>
              <w:rPr>
                <w:rFonts w:cstheme="minorHAnsi"/>
                <w:sz w:val="20"/>
                <w:szCs w:val="20"/>
              </w:rPr>
            </w:pPr>
            <w:r>
              <w:rPr>
                <w:rFonts w:cstheme="minorHAnsi"/>
                <w:sz w:val="20"/>
                <w:szCs w:val="20"/>
              </w:rPr>
              <w:t>7 670</w:t>
            </w:r>
          </w:p>
        </w:tc>
        <w:tc>
          <w:tcPr>
            <w:tcW w:w="1275" w:type="dxa"/>
            <w:tcBorders>
              <w:top w:val="nil"/>
              <w:left w:val="nil"/>
              <w:bottom w:val="nil"/>
              <w:right w:val="single" w:sz="4" w:space="0" w:color="auto"/>
            </w:tcBorders>
            <w:shd w:val="clear" w:color="auto" w:fill="auto"/>
            <w:noWrap/>
            <w:vAlign w:val="center"/>
          </w:tcPr>
          <w:p w14:paraId="7797A25B"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6" w:type="dxa"/>
            <w:tcBorders>
              <w:top w:val="nil"/>
              <w:left w:val="nil"/>
              <w:bottom w:val="nil"/>
              <w:right w:val="single" w:sz="4" w:space="0" w:color="auto"/>
            </w:tcBorders>
            <w:shd w:val="clear" w:color="auto" w:fill="auto"/>
            <w:noWrap/>
            <w:vAlign w:val="center"/>
          </w:tcPr>
          <w:p w14:paraId="0F3C783F"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104" w:type="dxa"/>
            <w:tcBorders>
              <w:top w:val="nil"/>
              <w:left w:val="nil"/>
              <w:bottom w:val="nil"/>
              <w:right w:val="single" w:sz="4" w:space="0" w:color="auto"/>
            </w:tcBorders>
            <w:vAlign w:val="center"/>
          </w:tcPr>
          <w:p w14:paraId="1DDDB938"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48" w:type="dxa"/>
            <w:tcBorders>
              <w:top w:val="nil"/>
              <w:left w:val="single" w:sz="4" w:space="0" w:color="auto"/>
              <w:bottom w:val="nil"/>
              <w:right w:val="single" w:sz="4" w:space="0" w:color="auto"/>
            </w:tcBorders>
            <w:shd w:val="clear" w:color="auto" w:fill="auto"/>
            <w:noWrap/>
            <w:vAlign w:val="center"/>
          </w:tcPr>
          <w:p w14:paraId="5E1752E3"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995" w:type="dxa"/>
            <w:tcBorders>
              <w:top w:val="nil"/>
              <w:left w:val="nil"/>
              <w:bottom w:val="nil"/>
              <w:right w:val="single" w:sz="4" w:space="0" w:color="auto"/>
            </w:tcBorders>
            <w:shd w:val="clear" w:color="auto" w:fill="auto"/>
            <w:noWrap/>
            <w:vAlign w:val="center"/>
          </w:tcPr>
          <w:p w14:paraId="3FD3BB7C" w14:textId="77777777" w:rsidR="009F4E55" w:rsidRPr="006A755F" w:rsidRDefault="009F4E55" w:rsidP="002F4E6D">
            <w:pPr>
              <w:spacing w:after="0"/>
              <w:jc w:val="right"/>
              <w:rPr>
                <w:rFonts w:cstheme="minorHAnsi"/>
                <w:sz w:val="20"/>
                <w:szCs w:val="20"/>
              </w:rPr>
            </w:pPr>
            <w:r>
              <w:rPr>
                <w:rFonts w:cstheme="minorHAnsi"/>
                <w:sz w:val="20"/>
                <w:szCs w:val="20"/>
              </w:rPr>
              <w:t>0,0</w:t>
            </w:r>
          </w:p>
        </w:tc>
      </w:tr>
      <w:tr w:rsidR="009F4E55" w:rsidRPr="006A755F" w14:paraId="2252B65C"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tcPr>
          <w:p w14:paraId="14E12C21" w14:textId="77777777" w:rsidR="009F4E55" w:rsidRPr="006A755F" w:rsidRDefault="009F4E55" w:rsidP="002F4E6D">
            <w:pPr>
              <w:spacing w:after="0"/>
              <w:rPr>
                <w:rFonts w:cstheme="minorHAnsi"/>
                <w:sz w:val="20"/>
                <w:szCs w:val="20"/>
              </w:rPr>
            </w:pPr>
            <w:r>
              <w:rPr>
                <w:rFonts w:cstheme="minorHAnsi"/>
                <w:sz w:val="20"/>
                <w:szCs w:val="20"/>
              </w:rPr>
              <w:t>Rezerva na vyrovnání s důsledky Brexitu</w:t>
            </w:r>
          </w:p>
        </w:tc>
        <w:tc>
          <w:tcPr>
            <w:tcW w:w="1148" w:type="dxa"/>
            <w:tcBorders>
              <w:top w:val="nil"/>
              <w:left w:val="nil"/>
              <w:bottom w:val="nil"/>
              <w:right w:val="single" w:sz="4" w:space="0" w:color="auto"/>
            </w:tcBorders>
            <w:shd w:val="clear" w:color="auto" w:fill="auto"/>
            <w:noWrap/>
            <w:vAlign w:val="center"/>
          </w:tcPr>
          <w:p w14:paraId="1D66A909"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275" w:type="dxa"/>
            <w:tcBorders>
              <w:top w:val="nil"/>
              <w:left w:val="nil"/>
              <w:bottom w:val="nil"/>
              <w:right w:val="single" w:sz="4" w:space="0" w:color="auto"/>
            </w:tcBorders>
            <w:shd w:val="clear" w:color="auto" w:fill="auto"/>
            <w:noWrap/>
            <w:vAlign w:val="center"/>
          </w:tcPr>
          <w:p w14:paraId="066F76D8" w14:textId="77777777" w:rsidR="009F4E55" w:rsidRPr="006A755F" w:rsidRDefault="009F4E55" w:rsidP="002F4E6D">
            <w:pPr>
              <w:spacing w:after="0"/>
              <w:jc w:val="right"/>
              <w:rPr>
                <w:rFonts w:cstheme="minorHAnsi"/>
                <w:sz w:val="20"/>
                <w:szCs w:val="20"/>
              </w:rPr>
            </w:pPr>
            <w:r>
              <w:rPr>
                <w:rFonts w:cstheme="minorHAnsi"/>
                <w:sz w:val="20"/>
                <w:szCs w:val="20"/>
              </w:rPr>
              <w:t>517 510</w:t>
            </w:r>
          </w:p>
        </w:tc>
        <w:tc>
          <w:tcPr>
            <w:tcW w:w="1276" w:type="dxa"/>
            <w:tcBorders>
              <w:top w:val="nil"/>
              <w:left w:val="nil"/>
              <w:bottom w:val="nil"/>
              <w:right w:val="single" w:sz="4" w:space="0" w:color="auto"/>
            </w:tcBorders>
            <w:shd w:val="clear" w:color="auto" w:fill="auto"/>
            <w:noWrap/>
            <w:vAlign w:val="center"/>
          </w:tcPr>
          <w:p w14:paraId="7D2EF543"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04" w:type="dxa"/>
            <w:tcBorders>
              <w:top w:val="nil"/>
              <w:left w:val="nil"/>
              <w:bottom w:val="nil"/>
              <w:right w:val="single" w:sz="4" w:space="0" w:color="auto"/>
            </w:tcBorders>
            <w:vAlign w:val="center"/>
          </w:tcPr>
          <w:p w14:paraId="0D83FF68"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48" w:type="dxa"/>
            <w:tcBorders>
              <w:top w:val="nil"/>
              <w:left w:val="single" w:sz="4" w:space="0" w:color="auto"/>
              <w:bottom w:val="nil"/>
              <w:right w:val="single" w:sz="4" w:space="0" w:color="auto"/>
            </w:tcBorders>
            <w:shd w:val="clear" w:color="auto" w:fill="auto"/>
            <w:noWrap/>
            <w:vAlign w:val="center"/>
          </w:tcPr>
          <w:p w14:paraId="1BE9FA32"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995" w:type="dxa"/>
            <w:tcBorders>
              <w:top w:val="nil"/>
              <w:left w:val="nil"/>
              <w:bottom w:val="nil"/>
              <w:right w:val="single" w:sz="4" w:space="0" w:color="auto"/>
            </w:tcBorders>
            <w:shd w:val="clear" w:color="auto" w:fill="auto"/>
            <w:noWrap/>
            <w:vAlign w:val="center"/>
          </w:tcPr>
          <w:p w14:paraId="7A301997" w14:textId="77777777" w:rsidR="009F4E55" w:rsidRPr="006A755F" w:rsidRDefault="009F4E55" w:rsidP="002F4E6D">
            <w:pPr>
              <w:spacing w:after="0"/>
              <w:jc w:val="right"/>
              <w:rPr>
                <w:rFonts w:cstheme="minorHAnsi"/>
                <w:sz w:val="20"/>
                <w:szCs w:val="20"/>
              </w:rPr>
            </w:pPr>
            <w:r>
              <w:rPr>
                <w:rFonts w:cstheme="minorHAnsi"/>
                <w:sz w:val="20"/>
                <w:szCs w:val="20"/>
              </w:rPr>
              <w:t>x</w:t>
            </w:r>
          </w:p>
        </w:tc>
      </w:tr>
      <w:tr w:rsidR="009F4E55" w:rsidRPr="006A755F" w14:paraId="1666300D"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tcPr>
          <w:p w14:paraId="5A2AAEAD" w14:textId="77777777" w:rsidR="009F4E55" w:rsidRPr="006A755F" w:rsidRDefault="009F4E55" w:rsidP="002F4E6D">
            <w:pPr>
              <w:spacing w:after="0"/>
              <w:rPr>
                <w:rFonts w:cstheme="minorHAnsi"/>
                <w:sz w:val="20"/>
                <w:szCs w:val="20"/>
              </w:rPr>
            </w:pPr>
            <w:r w:rsidRPr="006A755F">
              <w:rPr>
                <w:rFonts w:cstheme="minorHAnsi"/>
                <w:sz w:val="20"/>
                <w:szCs w:val="20"/>
              </w:rPr>
              <w:t>P</w:t>
            </w:r>
            <w:r>
              <w:rPr>
                <w:rFonts w:cstheme="minorHAnsi"/>
                <w:sz w:val="20"/>
                <w:szCs w:val="20"/>
              </w:rPr>
              <w:t>oskytování letových provozních služeb H24 na regionálních letištích</w:t>
            </w:r>
          </w:p>
        </w:tc>
        <w:tc>
          <w:tcPr>
            <w:tcW w:w="1148" w:type="dxa"/>
            <w:tcBorders>
              <w:top w:val="nil"/>
              <w:left w:val="nil"/>
              <w:bottom w:val="nil"/>
              <w:right w:val="single" w:sz="4" w:space="0" w:color="auto"/>
            </w:tcBorders>
            <w:shd w:val="clear" w:color="auto" w:fill="auto"/>
            <w:noWrap/>
            <w:vAlign w:val="center"/>
          </w:tcPr>
          <w:p w14:paraId="327C1916"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275" w:type="dxa"/>
            <w:tcBorders>
              <w:top w:val="nil"/>
              <w:left w:val="nil"/>
              <w:bottom w:val="nil"/>
              <w:right w:val="single" w:sz="4" w:space="0" w:color="auto"/>
            </w:tcBorders>
            <w:shd w:val="clear" w:color="auto" w:fill="auto"/>
            <w:noWrap/>
            <w:vAlign w:val="center"/>
          </w:tcPr>
          <w:p w14:paraId="5DDB2C98"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6" w:type="dxa"/>
            <w:tcBorders>
              <w:top w:val="nil"/>
              <w:left w:val="nil"/>
              <w:bottom w:val="nil"/>
              <w:right w:val="single" w:sz="4" w:space="0" w:color="auto"/>
            </w:tcBorders>
            <w:shd w:val="clear" w:color="auto" w:fill="auto"/>
            <w:noWrap/>
            <w:vAlign w:val="center"/>
          </w:tcPr>
          <w:p w14:paraId="3C4AA7A0"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104" w:type="dxa"/>
            <w:tcBorders>
              <w:top w:val="nil"/>
              <w:left w:val="nil"/>
              <w:bottom w:val="nil"/>
              <w:right w:val="single" w:sz="4" w:space="0" w:color="auto"/>
            </w:tcBorders>
            <w:vAlign w:val="center"/>
          </w:tcPr>
          <w:p w14:paraId="170D67E4" w14:textId="77777777" w:rsidR="009F4E55" w:rsidRPr="006A755F" w:rsidRDefault="009F4E55" w:rsidP="002F4E6D">
            <w:pPr>
              <w:spacing w:after="0"/>
              <w:jc w:val="right"/>
              <w:rPr>
                <w:rFonts w:cstheme="minorHAnsi"/>
                <w:sz w:val="20"/>
                <w:szCs w:val="20"/>
              </w:rPr>
            </w:pPr>
            <w:r>
              <w:rPr>
                <w:rFonts w:cstheme="minorHAnsi"/>
                <w:sz w:val="20"/>
                <w:szCs w:val="20"/>
              </w:rPr>
              <w:t>100 00</w:t>
            </w:r>
            <w:r w:rsidRPr="006A755F">
              <w:rPr>
                <w:rFonts w:cstheme="minorHAnsi"/>
                <w:sz w:val="20"/>
                <w:szCs w:val="20"/>
              </w:rPr>
              <w:t>0</w:t>
            </w:r>
          </w:p>
        </w:tc>
        <w:tc>
          <w:tcPr>
            <w:tcW w:w="1148" w:type="dxa"/>
            <w:tcBorders>
              <w:top w:val="nil"/>
              <w:left w:val="single" w:sz="4" w:space="0" w:color="auto"/>
              <w:bottom w:val="nil"/>
              <w:right w:val="single" w:sz="4" w:space="0" w:color="auto"/>
            </w:tcBorders>
            <w:shd w:val="clear" w:color="auto" w:fill="auto"/>
            <w:noWrap/>
            <w:vAlign w:val="center"/>
          </w:tcPr>
          <w:p w14:paraId="7857433B" w14:textId="77777777" w:rsidR="009F4E55" w:rsidRPr="006A755F" w:rsidRDefault="009F4E55" w:rsidP="002F4E6D">
            <w:pPr>
              <w:spacing w:after="0"/>
              <w:jc w:val="right"/>
              <w:rPr>
                <w:rFonts w:cstheme="minorHAnsi"/>
                <w:sz w:val="20"/>
                <w:szCs w:val="20"/>
              </w:rPr>
            </w:pPr>
            <w:r>
              <w:rPr>
                <w:rFonts w:cstheme="minorHAnsi"/>
                <w:sz w:val="20"/>
                <w:szCs w:val="20"/>
              </w:rPr>
              <w:t>100 00</w:t>
            </w:r>
            <w:r w:rsidRPr="006A755F">
              <w:rPr>
                <w:rFonts w:cstheme="minorHAnsi"/>
                <w:sz w:val="20"/>
                <w:szCs w:val="20"/>
              </w:rPr>
              <w:t>0</w:t>
            </w:r>
          </w:p>
        </w:tc>
        <w:tc>
          <w:tcPr>
            <w:tcW w:w="995" w:type="dxa"/>
            <w:tcBorders>
              <w:top w:val="nil"/>
              <w:left w:val="nil"/>
              <w:bottom w:val="nil"/>
              <w:right w:val="single" w:sz="4" w:space="0" w:color="auto"/>
            </w:tcBorders>
            <w:shd w:val="clear" w:color="auto" w:fill="auto"/>
            <w:noWrap/>
            <w:vAlign w:val="center"/>
          </w:tcPr>
          <w:p w14:paraId="46BB317C" w14:textId="77777777" w:rsidR="009F4E55" w:rsidRPr="006A755F" w:rsidRDefault="009F4E55" w:rsidP="002F4E6D">
            <w:pPr>
              <w:spacing w:after="0"/>
              <w:jc w:val="right"/>
              <w:rPr>
                <w:rFonts w:cstheme="minorHAnsi"/>
                <w:sz w:val="20"/>
                <w:szCs w:val="20"/>
              </w:rPr>
            </w:pPr>
            <w:r>
              <w:rPr>
                <w:rFonts w:cstheme="minorHAnsi"/>
                <w:sz w:val="20"/>
                <w:szCs w:val="20"/>
              </w:rPr>
              <w:t>x</w:t>
            </w:r>
          </w:p>
        </w:tc>
      </w:tr>
      <w:tr w:rsidR="009F4E55" w:rsidRPr="006A755F" w14:paraId="19B4D0DF" w14:textId="77777777" w:rsidTr="002F4E6D">
        <w:trPr>
          <w:trHeight w:val="340"/>
          <w:tblHeader/>
        </w:trPr>
        <w:tc>
          <w:tcPr>
            <w:tcW w:w="3119" w:type="dxa"/>
            <w:tcBorders>
              <w:top w:val="nil"/>
              <w:left w:val="single" w:sz="4" w:space="0" w:color="auto"/>
              <w:bottom w:val="nil"/>
              <w:right w:val="single" w:sz="4" w:space="0" w:color="auto"/>
            </w:tcBorders>
            <w:shd w:val="clear" w:color="000000" w:fill="FFFFFF"/>
            <w:vAlign w:val="bottom"/>
          </w:tcPr>
          <w:p w14:paraId="694E1991" w14:textId="77777777" w:rsidR="009F4E55" w:rsidRPr="006A755F" w:rsidRDefault="009F4E55" w:rsidP="002F4E6D">
            <w:pPr>
              <w:spacing w:after="0"/>
              <w:rPr>
                <w:rFonts w:cstheme="minorHAnsi"/>
                <w:sz w:val="20"/>
                <w:szCs w:val="20"/>
              </w:rPr>
            </w:pPr>
            <w:r w:rsidRPr="006A755F">
              <w:rPr>
                <w:rFonts w:cstheme="minorHAnsi"/>
                <w:sz w:val="20"/>
                <w:szCs w:val="20"/>
              </w:rPr>
              <w:t>Pořízení a modernizace ŽKV (127 65)</w:t>
            </w:r>
          </w:p>
        </w:tc>
        <w:tc>
          <w:tcPr>
            <w:tcW w:w="1148" w:type="dxa"/>
            <w:tcBorders>
              <w:top w:val="nil"/>
              <w:left w:val="nil"/>
              <w:bottom w:val="nil"/>
              <w:right w:val="single" w:sz="4" w:space="0" w:color="auto"/>
            </w:tcBorders>
            <w:shd w:val="clear" w:color="auto" w:fill="auto"/>
            <w:noWrap/>
            <w:vAlign w:val="center"/>
          </w:tcPr>
          <w:p w14:paraId="7437CE60"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5" w:type="dxa"/>
            <w:tcBorders>
              <w:top w:val="nil"/>
              <w:left w:val="nil"/>
              <w:bottom w:val="nil"/>
              <w:right w:val="single" w:sz="4" w:space="0" w:color="auto"/>
            </w:tcBorders>
            <w:shd w:val="clear" w:color="auto" w:fill="auto"/>
            <w:noWrap/>
            <w:vAlign w:val="center"/>
          </w:tcPr>
          <w:p w14:paraId="1BF53F00"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6" w:type="dxa"/>
            <w:tcBorders>
              <w:top w:val="nil"/>
              <w:left w:val="nil"/>
              <w:bottom w:val="nil"/>
              <w:right w:val="single" w:sz="4" w:space="0" w:color="auto"/>
            </w:tcBorders>
            <w:shd w:val="clear" w:color="auto" w:fill="auto"/>
            <w:noWrap/>
            <w:vAlign w:val="center"/>
          </w:tcPr>
          <w:p w14:paraId="2A7E9BDF"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104" w:type="dxa"/>
            <w:tcBorders>
              <w:top w:val="nil"/>
              <w:left w:val="nil"/>
              <w:bottom w:val="nil"/>
              <w:right w:val="single" w:sz="4" w:space="0" w:color="auto"/>
            </w:tcBorders>
            <w:vAlign w:val="center"/>
          </w:tcPr>
          <w:p w14:paraId="562E8EAE" w14:textId="77777777" w:rsidR="009F4E55" w:rsidRPr="006A755F" w:rsidRDefault="009F4E55" w:rsidP="002F4E6D">
            <w:pPr>
              <w:spacing w:after="0"/>
              <w:jc w:val="right"/>
              <w:rPr>
                <w:rFonts w:cstheme="minorHAnsi"/>
                <w:sz w:val="20"/>
                <w:szCs w:val="20"/>
              </w:rPr>
            </w:pPr>
            <w:r w:rsidRPr="006A755F">
              <w:rPr>
                <w:rFonts w:cstheme="minorHAnsi"/>
                <w:sz w:val="20"/>
                <w:szCs w:val="20"/>
              </w:rPr>
              <w:t>34</w:t>
            </w:r>
          </w:p>
        </w:tc>
        <w:tc>
          <w:tcPr>
            <w:tcW w:w="1148" w:type="dxa"/>
            <w:tcBorders>
              <w:top w:val="nil"/>
              <w:left w:val="single" w:sz="4" w:space="0" w:color="auto"/>
              <w:bottom w:val="nil"/>
              <w:right w:val="single" w:sz="4" w:space="0" w:color="auto"/>
            </w:tcBorders>
            <w:shd w:val="clear" w:color="auto" w:fill="auto"/>
            <w:noWrap/>
            <w:vAlign w:val="center"/>
          </w:tcPr>
          <w:p w14:paraId="53248CCA" w14:textId="77777777" w:rsidR="009F4E55" w:rsidRPr="006A755F" w:rsidRDefault="009F4E55" w:rsidP="002F4E6D">
            <w:pPr>
              <w:spacing w:after="0"/>
              <w:jc w:val="right"/>
              <w:rPr>
                <w:rFonts w:cstheme="minorHAnsi"/>
                <w:sz w:val="20"/>
                <w:szCs w:val="20"/>
              </w:rPr>
            </w:pPr>
            <w:r>
              <w:rPr>
                <w:rFonts w:cstheme="minorHAnsi"/>
                <w:sz w:val="20"/>
                <w:szCs w:val="20"/>
              </w:rPr>
              <w:t>34</w:t>
            </w:r>
          </w:p>
        </w:tc>
        <w:tc>
          <w:tcPr>
            <w:tcW w:w="995" w:type="dxa"/>
            <w:tcBorders>
              <w:top w:val="nil"/>
              <w:left w:val="nil"/>
              <w:bottom w:val="nil"/>
              <w:right w:val="single" w:sz="4" w:space="0" w:color="auto"/>
            </w:tcBorders>
            <w:shd w:val="clear" w:color="auto" w:fill="auto"/>
            <w:noWrap/>
            <w:vAlign w:val="center"/>
          </w:tcPr>
          <w:p w14:paraId="3C3A0A95" w14:textId="77777777" w:rsidR="009F4E55" w:rsidRPr="006A755F" w:rsidRDefault="009F4E55" w:rsidP="002F4E6D">
            <w:pPr>
              <w:spacing w:after="0"/>
              <w:jc w:val="right"/>
              <w:rPr>
                <w:rFonts w:cstheme="minorHAnsi"/>
                <w:sz w:val="20"/>
                <w:szCs w:val="20"/>
              </w:rPr>
            </w:pPr>
            <w:r w:rsidRPr="006A755F">
              <w:rPr>
                <w:rFonts w:cstheme="minorHAnsi"/>
                <w:sz w:val="20"/>
                <w:szCs w:val="20"/>
              </w:rPr>
              <w:t>x</w:t>
            </w:r>
          </w:p>
        </w:tc>
      </w:tr>
      <w:tr w:rsidR="009F4E55" w:rsidRPr="006A755F" w14:paraId="21CD94F8" w14:textId="77777777" w:rsidTr="002F4E6D">
        <w:trPr>
          <w:trHeight w:val="600"/>
          <w:tblHeader/>
        </w:trPr>
        <w:tc>
          <w:tcPr>
            <w:tcW w:w="3119" w:type="dxa"/>
            <w:tcBorders>
              <w:top w:val="nil"/>
              <w:left w:val="single" w:sz="4" w:space="0" w:color="auto"/>
              <w:bottom w:val="nil"/>
              <w:right w:val="single" w:sz="4" w:space="0" w:color="auto"/>
            </w:tcBorders>
            <w:shd w:val="clear" w:color="auto" w:fill="auto"/>
            <w:noWrap/>
            <w:vAlign w:val="bottom"/>
            <w:hideMark/>
          </w:tcPr>
          <w:p w14:paraId="48BDAD37" w14:textId="77777777" w:rsidR="009F4E55" w:rsidRPr="006A755F" w:rsidRDefault="009F4E55" w:rsidP="002F4E6D">
            <w:pPr>
              <w:spacing w:after="0"/>
              <w:rPr>
                <w:rFonts w:cstheme="minorHAnsi"/>
                <w:sz w:val="20"/>
                <w:szCs w:val="20"/>
              </w:rPr>
            </w:pPr>
            <w:r w:rsidRPr="006A755F">
              <w:rPr>
                <w:rFonts w:cstheme="minorHAnsi"/>
                <w:sz w:val="20"/>
                <w:szCs w:val="20"/>
              </w:rPr>
              <w:t xml:space="preserve">Podpora obnovy </w:t>
            </w:r>
            <w:proofErr w:type="spellStart"/>
            <w:r w:rsidRPr="006A755F">
              <w:rPr>
                <w:rFonts w:cstheme="minorHAnsi"/>
                <w:sz w:val="20"/>
                <w:szCs w:val="20"/>
              </w:rPr>
              <w:t>hist</w:t>
            </w:r>
            <w:proofErr w:type="spellEnd"/>
            <w:r w:rsidRPr="006A755F">
              <w:rPr>
                <w:rFonts w:cstheme="minorHAnsi"/>
                <w:sz w:val="20"/>
                <w:szCs w:val="20"/>
              </w:rPr>
              <w:t xml:space="preserve">. žel. kol. vozidel </w:t>
            </w:r>
            <w:proofErr w:type="gramStart"/>
            <w:r w:rsidRPr="006A755F">
              <w:rPr>
                <w:rFonts w:cstheme="minorHAnsi"/>
                <w:sz w:val="20"/>
                <w:szCs w:val="20"/>
              </w:rPr>
              <w:t>2021 - 2023</w:t>
            </w:r>
            <w:proofErr w:type="gramEnd"/>
            <w:r w:rsidRPr="006A755F">
              <w:rPr>
                <w:rFonts w:cstheme="minorHAnsi"/>
                <w:sz w:val="20"/>
                <w:szCs w:val="20"/>
              </w:rPr>
              <w:t xml:space="preserve"> (127 67)</w:t>
            </w:r>
          </w:p>
        </w:tc>
        <w:tc>
          <w:tcPr>
            <w:tcW w:w="1148" w:type="dxa"/>
            <w:tcBorders>
              <w:top w:val="nil"/>
              <w:left w:val="nil"/>
              <w:bottom w:val="nil"/>
              <w:right w:val="single" w:sz="4" w:space="0" w:color="auto"/>
            </w:tcBorders>
            <w:shd w:val="clear" w:color="auto" w:fill="auto"/>
            <w:noWrap/>
            <w:vAlign w:val="center"/>
            <w:hideMark/>
          </w:tcPr>
          <w:p w14:paraId="2FAAE548" w14:textId="77777777" w:rsidR="009F4E55" w:rsidRPr="006A755F" w:rsidRDefault="009F4E55" w:rsidP="002F4E6D">
            <w:pPr>
              <w:spacing w:after="0"/>
              <w:jc w:val="right"/>
              <w:rPr>
                <w:rFonts w:cstheme="minorHAnsi"/>
                <w:sz w:val="20"/>
                <w:szCs w:val="20"/>
              </w:rPr>
            </w:pPr>
            <w:r>
              <w:rPr>
                <w:rFonts w:cstheme="minorHAnsi"/>
                <w:sz w:val="20"/>
                <w:szCs w:val="20"/>
              </w:rPr>
              <w:t>2 086</w:t>
            </w:r>
          </w:p>
        </w:tc>
        <w:tc>
          <w:tcPr>
            <w:tcW w:w="1275" w:type="dxa"/>
            <w:tcBorders>
              <w:top w:val="nil"/>
              <w:left w:val="nil"/>
              <w:bottom w:val="nil"/>
              <w:right w:val="single" w:sz="4" w:space="0" w:color="auto"/>
            </w:tcBorders>
            <w:shd w:val="clear" w:color="auto" w:fill="auto"/>
            <w:noWrap/>
            <w:vAlign w:val="center"/>
          </w:tcPr>
          <w:p w14:paraId="4A2ACDE0" w14:textId="77777777" w:rsidR="009F4E55" w:rsidRPr="006A755F" w:rsidRDefault="009F4E55" w:rsidP="002F4E6D">
            <w:pPr>
              <w:spacing w:after="0"/>
              <w:jc w:val="right"/>
              <w:rPr>
                <w:rFonts w:cstheme="minorHAnsi"/>
                <w:sz w:val="20"/>
                <w:szCs w:val="20"/>
              </w:rPr>
            </w:pPr>
            <w:r w:rsidRPr="006A755F">
              <w:rPr>
                <w:rFonts w:cstheme="minorHAnsi"/>
                <w:sz w:val="20"/>
                <w:szCs w:val="20"/>
              </w:rPr>
              <w:t>5 000</w:t>
            </w:r>
          </w:p>
        </w:tc>
        <w:tc>
          <w:tcPr>
            <w:tcW w:w="1276" w:type="dxa"/>
            <w:tcBorders>
              <w:top w:val="nil"/>
              <w:left w:val="nil"/>
              <w:bottom w:val="nil"/>
              <w:right w:val="single" w:sz="4" w:space="0" w:color="auto"/>
            </w:tcBorders>
            <w:shd w:val="clear" w:color="auto" w:fill="auto"/>
            <w:noWrap/>
            <w:vAlign w:val="center"/>
          </w:tcPr>
          <w:p w14:paraId="6728F898" w14:textId="77777777" w:rsidR="009F4E55" w:rsidRPr="006A755F" w:rsidRDefault="009F4E55" w:rsidP="002F4E6D">
            <w:pPr>
              <w:spacing w:after="0"/>
              <w:jc w:val="right"/>
              <w:rPr>
                <w:rFonts w:cstheme="minorHAnsi"/>
                <w:sz w:val="20"/>
                <w:szCs w:val="20"/>
              </w:rPr>
            </w:pPr>
            <w:r>
              <w:rPr>
                <w:rFonts w:cstheme="minorHAnsi"/>
                <w:sz w:val="20"/>
                <w:szCs w:val="20"/>
              </w:rPr>
              <w:t>3 246</w:t>
            </w:r>
          </w:p>
        </w:tc>
        <w:tc>
          <w:tcPr>
            <w:tcW w:w="1104" w:type="dxa"/>
            <w:tcBorders>
              <w:top w:val="nil"/>
              <w:left w:val="nil"/>
              <w:bottom w:val="nil"/>
              <w:right w:val="single" w:sz="4" w:space="0" w:color="auto"/>
            </w:tcBorders>
            <w:vAlign w:val="center"/>
          </w:tcPr>
          <w:p w14:paraId="29D5C07A" w14:textId="77777777" w:rsidR="009F4E55" w:rsidRPr="006A755F" w:rsidRDefault="009F4E55" w:rsidP="002F4E6D">
            <w:pPr>
              <w:spacing w:after="0"/>
              <w:jc w:val="right"/>
              <w:rPr>
                <w:rFonts w:cstheme="minorHAnsi"/>
                <w:sz w:val="20"/>
                <w:szCs w:val="20"/>
              </w:rPr>
            </w:pPr>
            <w:r>
              <w:rPr>
                <w:rFonts w:cstheme="minorHAnsi"/>
                <w:sz w:val="20"/>
                <w:szCs w:val="20"/>
              </w:rPr>
              <w:t>4 152</w:t>
            </w:r>
          </w:p>
        </w:tc>
        <w:tc>
          <w:tcPr>
            <w:tcW w:w="1148" w:type="dxa"/>
            <w:tcBorders>
              <w:top w:val="nil"/>
              <w:left w:val="single" w:sz="4" w:space="0" w:color="auto"/>
              <w:bottom w:val="nil"/>
              <w:right w:val="single" w:sz="4" w:space="0" w:color="auto"/>
            </w:tcBorders>
            <w:shd w:val="clear" w:color="auto" w:fill="auto"/>
            <w:noWrap/>
            <w:vAlign w:val="center"/>
          </w:tcPr>
          <w:p w14:paraId="0845D952" w14:textId="77777777" w:rsidR="009F4E55" w:rsidRPr="006A755F" w:rsidRDefault="009F4E55" w:rsidP="002F4E6D">
            <w:pPr>
              <w:spacing w:after="0"/>
              <w:jc w:val="right"/>
              <w:rPr>
                <w:rFonts w:cstheme="minorHAnsi"/>
                <w:sz w:val="20"/>
                <w:szCs w:val="20"/>
              </w:rPr>
            </w:pPr>
            <w:r>
              <w:rPr>
                <w:rFonts w:cstheme="minorHAnsi"/>
                <w:sz w:val="20"/>
                <w:szCs w:val="20"/>
              </w:rPr>
              <w:t>4 146</w:t>
            </w:r>
          </w:p>
        </w:tc>
        <w:tc>
          <w:tcPr>
            <w:tcW w:w="995" w:type="dxa"/>
            <w:tcBorders>
              <w:top w:val="nil"/>
              <w:left w:val="nil"/>
              <w:bottom w:val="nil"/>
              <w:right w:val="single" w:sz="4" w:space="0" w:color="auto"/>
            </w:tcBorders>
            <w:shd w:val="clear" w:color="auto" w:fill="auto"/>
            <w:noWrap/>
            <w:vAlign w:val="center"/>
          </w:tcPr>
          <w:p w14:paraId="7AAEDFD3" w14:textId="77777777" w:rsidR="009F4E55" w:rsidRPr="006A755F" w:rsidRDefault="009F4E55" w:rsidP="002F4E6D">
            <w:pPr>
              <w:spacing w:after="0"/>
              <w:jc w:val="right"/>
              <w:rPr>
                <w:rFonts w:cstheme="minorHAnsi"/>
                <w:sz w:val="20"/>
                <w:szCs w:val="20"/>
              </w:rPr>
            </w:pPr>
            <w:r>
              <w:rPr>
                <w:rFonts w:cstheme="minorHAnsi"/>
                <w:sz w:val="20"/>
                <w:szCs w:val="20"/>
              </w:rPr>
              <w:t>198,8</w:t>
            </w:r>
          </w:p>
        </w:tc>
      </w:tr>
      <w:tr w:rsidR="009F4E55" w:rsidRPr="006A755F" w14:paraId="67B69ED9"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hideMark/>
          </w:tcPr>
          <w:p w14:paraId="66D8B68C" w14:textId="77777777" w:rsidR="009F4E55" w:rsidRPr="006A755F" w:rsidRDefault="009F4E55" w:rsidP="002F4E6D">
            <w:pPr>
              <w:spacing w:after="0"/>
              <w:rPr>
                <w:rFonts w:cstheme="minorHAnsi"/>
                <w:sz w:val="20"/>
                <w:szCs w:val="20"/>
              </w:rPr>
            </w:pPr>
            <w:r w:rsidRPr="006A755F">
              <w:rPr>
                <w:rFonts w:cstheme="minorHAnsi"/>
                <w:sz w:val="20"/>
                <w:szCs w:val="20"/>
              </w:rPr>
              <w:t xml:space="preserve">U </w:t>
            </w:r>
            <w:proofErr w:type="spellStart"/>
            <w:proofErr w:type="gramStart"/>
            <w:r w:rsidRPr="006A755F">
              <w:rPr>
                <w:rFonts w:cstheme="minorHAnsi"/>
                <w:sz w:val="20"/>
                <w:szCs w:val="20"/>
              </w:rPr>
              <w:t>Space</w:t>
            </w:r>
            <w:proofErr w:type="spellEnd"/>
            <w:r w:rsidRPr="006A755F">
              <w:rPr>
                <w:rFonts w:cstheme="minorHAnsi"/>
                <w:sz w:val="20"/>
                <w:szCs w:val="20"/>
              </w:rPr>
              <w:t xml:space="preserve"> - Řízení</w:t>
            </w:r>
            <w:proofErr w:type="gramEnd"/>
            <w:r w:rsidRPr="006A755F">
              <w:rPr>
                <w:rFonts w:cstheme="minorHAnsi"/>
                <w:sz w:val="20"/>
                <w:szCs w:val="20"/>
              </w:rPr>
              <w:t xml:space="preserve"> letového provozu (drony)</w:t>
            </w:r>
          </w:p>
        </w:tc>
        <w:tc>
          <w:tcPr>
            <w:tcW w:w="1148" w:type="dxa"/>
            <w:tcBorders>
              <w:top w:val="nil"/>
              <w:left w:val="nil"/>
              <w:bottom w:val="nil"/>
              <w:right w:val="single" w:sz="4" w:space="0" w:color="auto"/>
            </w:tcBorders>
            <w:shd w:val="clear" w:color="auto" w:fill="auto"/>
            <w:noWrap/>
            <w:vAlign w:val="center"/>
            <w:hideMark/>
          </w:tcPr>
          <w:p w14:paraId="22E00B80" w14:textId="77777777" w:rsidR="009F4E55" w:rsidRPr="006A755F" w:rsidRDefault="009F4E55" w:rsidP="002F4E6D">
            <w:pPr>
              <w:spacing w:after="0"/>
              <w:jc w:val="right"/>
              <w:rPr>
                <w:rFonts w:cstheme="minorHAnsi"/>
                <w:sz w:val="20"/>
                <w:szCs w:val="20"/>
              </w:rPr>
            </w:pPr>
            <w:r>
              <w:rPr>
                <w:rFonts w:cstheme="minorHAnsi"/>
                <w:sz w:val="20"/>
                <w:szCs w:val="20"/>
              </w:rPr>
              <w:t>6 246</w:t>
            </w:r>
          </w:p>
        </w:tc>
        <w:tc>
          <w:tcPr>
            <w:tcW w:w="1275" w:type="dxa"/>
            <w:tcBorders>
              <w:top w:val="nil"/>
              <w:left w:val="nil"/>
              <w:bottom w:val="nil"/>
              <w:right w:val="single" w:sz="4" w:space="0" w:color="auto"/>
            </w:tcBorders>
            <w:shd w:val="clear" w:color="auto" w:fill="auto"/>
            <w:noWrap/>
            <w:vAlign w:val="center"/>
          </w:tcPr>
          <w:p w14:paraId="082603E5" w14:textId="77777777" w:rsidR="009F4E55" w:rsidRPr="006A755F" w:rsidRDefault="009F4E55" w:rsidP="002F4E6D">
            <w:pPr>
              <w:spacing w:after="0"/>
              <w:jc w:val="right"/>
              <w:rPr>
                <w:rFonts w:cstheme="minorHAnsi"/>
                <w:sz w:val="20"/>
                <w:szCs w:val="20"/>
              </w:rPr>
            </w:pPr>
            <w:r>
              <w:rPr>
                <w:rFonts w:cstheme="minorHAnsi"/>
                <w:sz w:val="20"/>
                <w:szCs w:val="20"/>
              </w:rPr>
              <w:t>24 500</w:t>
            </w:r>
          </w:p>
        </w:tc>
        <w:tc>
          <w:tcPr>
            <w:tcW w:w="1276" w:type="dxa"/>
            <w:tcBorders>
              <w:top w:val="nil"/>
              <w:left w:val="nil"/>
              <w:bottom w:val="nil"/>
              <w:right w:val="single" w:sz="4" w:space="0" w:color="auto"/>
            </w:tcBorders>
            <w:shd w:val="clear" w:color="auto" w:fill="auto"/>
            <w:noWrap/>
            <w:vAlign w:val="center"/>
          </w:tcPr>
          <w:p w14:paraId="35702C3A"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04" w:type="dxa"/>
            <w:tcBorders>
              <w:top w:val="nil"/>
              <w:left w:val="nil"/>
              <w:bottom w:val="nil"/>
              <w:right w:val="single" w:sz="4" w:space="0" w:color="auto"/>
            </w:tcBorders>
            <w:vAlign w:val="center"/>
          </w:tcPr>
          <w:p w14:paraId="2B5D8437" w14:textId="77777777" w:rsidR="009F4E55" w:rsidRPr="006A755F" w:rsidRDefault="009F4E55" w:rsidP="002F4E6D">
            <w:pPr>
              <w:spacing w:after="0"/>
              <w:jc w:val="right"/>
              <w:rPr>
                <w:rFonts w:cstheme="minorHAnsi"/>
                <w:sz w:val="20"/>
                <w:szCs w:val="20"/>
              </w:rPr>
            </w:pPr>
            <w:r>
              <w:rPr>
                <w:rFonts w:cstheme="minorHAnsi"/>
                <w:sz w:val="20"/>
                <w:szCs w:val="20"/>
              </w:rPr>
              <w:t>24 500</w:t>
            </w:r>
          </w:p>
        </w:tc>
        <w:tc>
          <w:tcPr>
            <w:tcW w:w="1148" w:type="dxa"/>
            <w:tcBorders>
              <w:top w:val="nil"/>
              <w:left w:val="single" w:sz="4" w:space="0" w:color="auto"/>
              <w:bottom w:val="nil"/>
              <w:right w:val="single" w:sz="4" w:space="0" w:color="auto"/>
            </w:tcBorders>
            <w:shd w:val="clear" w:color="auto" w:fill="auto"/>
            <w:noWrap/>
            <w:vAlign w:val="center"/>
          </w:tcPr>
          <w:p w14:paraId="3DA5EEF9" w14:textId="77777777" w:rsidR="009F4E55" w:rsidRPr="006A755F" w:rsidRDefault="009F4E55" w:rsidP="002F4E6D">
            <w:pPr>
              <w:spacing w:after="0"/>
              <w:jc w:val="right"/>
              <w:rPr>
                <w:rFonts w:cstheme="minorHAnsi"/>
                <w:sz w:val="20"/>
                <w:szCs w:val="20"/>
              </w:rPr>
            </w:pPr>
            <w:r>
              <w:rPr>
                <w:rFonts w:cstheme="minorHAnsi"/>
                <w:sz w:val="20"/>
                <w:szCs w:val="20"/>
              </w:rPr>
              <w:t>20 000</w:t>
            </w:r>
          </w:p>
        </w:tc>
        <w:tc>
          <w:tcPr>
            <w:tcW w:w="995" w:type="dxa"/>
            <w:tcBorders>
              <w:top w:val="nil"/>
              <w:left w:val="nil"/>
              <w:bottom w:val="nil"/>
              <w:right w:val="single" w:sz="4" w:space="0" w:color="auto"/>
            </w:tcBorders>
            <w:shd w:val="clear" w:color="auto" w:fill="auto"/>
            <w:noWrap/>
            <w:vAlign w:val="center"/>
          </w:tcPr>
          <w:p w14:paraId="21CD9AC1" w14:textId="77777777" w:rsidR="009F4E55" w:rsidRPr="006A755F" w:rsidRDefault="009F4E55" w:rsidP="002F4E6D">
            <w:pPr>
              <w:spacing w:after="0"/>
              <w:jc w:val="right"/>
              <w:rPr>
                <w:rFonts w:cstheme="minorHAnsi"/>
                <w:sz w:val="20"/>
                <w:szCs w:val="20"/>
              </w:rPr>
            </w:pPr>
            <w:r>
              <w:rPr>
                <w:rFonts w:cstheme="minorHAnsi"/>
                <w:sz w:val="20"/>
                <w:szCs w:val="20"/>
              </w:rPr>
              <w:t>320,2</w:t>
            </w:r>
          </w:p>
        </w:tc>
      </w:tr>
      <w:tr w:rsidR="009F4E55" w:rsidRPr="006A755F" w14:paraId="5FB4087E" w14:textId="77777777" w:rsidTr="002F4E6D">
        <w:trPr>
          <w:trHeight w:val="300"/>
          <w:tblHeader/>
        </w:trPr>
        <w:tc>
          <w:tcPr>
            <w:tcW w:w="3119" w:type="dxa"/>
            <w:tcBorders>
              <w:top w:val="nil"/>
              <w:left w:val="single" w:sz="4" w:space="0" w:color="auto"/>
              <w:bottom w:val="single" w:sz="4" w:space="0" w:color="auto"/>
              <w:right w:val="single" w:sz="4" w:space="0" w:color="auto"/>
            </w:tcBorders>
            <w:shd w:val="clear" w:color="000000" w:fill="FFFFFF"/>
            <w:vAlign w:val="bottom"/>
            <w:hideMark/>
          </w:tcPr>
          <w:p w14:paraId="63F8E8A2" w14:textId="77777777" w:rsidR="009F4E55" w:rsidRPr="006A755F" w:rsidRDefault="009F4E55" w:rsidP="002F4E6D">
            <w:pPr>
              <w:spacing w:after="0"/>
              <w:rPr>
                <w:rFonts w:cstheme="minorHAnsi"/>
                <w:sz w:val="20"/>
                <w:szCs w:val="20"/>
              </w:rPr>
            </w:pPr>
            <w:r w:rsidRPr="006A755F">
              <w:rPr>
                <w:rFonts w:cstheme="minorHAnsi"/>
                <w:sz w:val="20"/>
                <w:szCs w:val="20"/>
              </w:rPr>
              <w:t>ROCET</w:t>
            </w:r>
          </w:p>
        </w:tc>
        <w:tc>
          <w:tcPr>
            <w:tcW w:w="1148" w:type="dxa"/>
            <w:tcBorders>
              <w:top w:val="nil"/>
              <w:left w:val="nil"/>
              <w:bottom w:val="single" w:sz="4" w:space="0" w:color="auto"/>
              <w:right w:val="single" w:sz="4" w:space="0" w:color="auto"/>
            </w:tcBorders>
            <w:shd w:val="clear" w:color="auto" w:fill="auto"/>
            <w:noWrap/>
            <w:vAlign w:val="center"/>
            <w:hideMark/>
          </w:tcPr>
          <w:p w14:paraId="5F018E14" w14:textId="77777777" w:rsidR="009F4E55" w:rsidRPr="006A755F" w:rsidRDefault="009F4E55" w:rsidP="002F4E6D">
            <w:pPr>
              <w:spacing w:after="0"/>
              <w:jc w:val="right"/>
              <w:rPr>
                <w:rFonts w:cstheme="minorHAnsi"/>
                <w:sz w:val="20"/>
                <w:szCs w:val="20"/>
              </w:rPr>
            </w:pPr>
            <w:r w:rsidRPr="006A755F">
              <w:rPr>
                <w:rFonts w:cstheme="minorHAnsi"/>
                <w:sz w:val="20"/>
                <w:szCs w:val="20"/>
              </w:rPr>
              <w:t> </w:t>
            </w:r>
            <w:r>
              <w:rPr>
                <w:rFonts w:cstheme="minorHAnsi"/>
                <w:sz w:val="20"/>
                <w:szCs w:val="20"/>
              </w:rPr>
              <w:t>214 233</w:t>
            </w:r>
          </w:p>
        </w:tc>
        <w:tc>
          <w:tcPr>
            <w:tcW w:w="1275" w:type="dxa"/>
            <w:tcBorders>
              <w:top w:val="nil"/>
              <w:left w:val="nil"/>
              <w:bottom w:val="single" w:sz="4" w:space="0" w:color="auto"/>
              <w:right w:val="single" w:sz="4" w:space="0" w:color="auto"/>
            </w:tcBorders>
            <w:shd w:val="clear" w:color="auto" w:fill="auto"/>
            <w:noWrap/>
            <w:vAlign w:val="center"/>
          </w:tcPr>
          <w:p w14:paraId="59B47F70"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6" w:type="dxa"/>
            <w:tcBorders>
              <w:top w:val="nil"/>
              <w:left w:val="nil"/>
              <w:bottom w:val="single" w:sz="4" w:space="0" w:color="auto"/>
              <w:right w:val="single" w:sz="4" w:space="0" w:color="auto"/>
            </w:tcBorders>
            <w:shd w:val="clear" w:color="auto" w:fill="auto"/>
            <w:noWrap/>
            <w:vAlign w:val="center"/>
          </w:tcPr>
          <w:p w14:paraId="7C89D449"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104" w:type="dxa"/>
            <w:tcBorders>
              <w:top w:val="nil"/>
              <w:left w:val="nil"/>
              <w:bottom w:val="single" w:sz="4" w:space="0" w:color="auto"/>
              <w:right w:val="single" w:sz="4" w:space="0" w:color="auto"/>
            </w:tcBorders>
            <w:vAlign w:val="center"/>
          </w:tcPr>
          <w:p w14:paraId="4EA1E43D" w14:textId="77777777" w:rsidR="009F4E55" w:rsidRPr="006A755F" w:rsidRDefault="009F4E55" w:rsidP="002F4E6D">
            <w:pPr>
              <w:spacing w:after="0"/>
              <w:jc w:val="right"/>
              <w:rPr>
                <w:rFonts w:cstheme="minorHAnsi"/>
                <w:sz w:val="20"/>
                <w:szCs w:val="20"/>
              </w:rPr>
            </w:pPr>
            <w:r>
              <w:rPr>
                <w:rFonts w:cstheme="minorHAnsi"/>
                <w:sz w:val="20"/>
                <w:szCs w:val="20"/>
              </w:rPr>
              <w:t>96 516</w:t>
            </w:r>
          </w:p>
        </w:tc>
        <w:tc>
          <w:tcPr>
            <w:tcW w:w="1148" w:type="dxa"/>
            <w:tcBorders>
              <w:top w:val="nil"/>
              <w:left w:val="single" w:sz="4" w:space="0" w:color="auto"/>
              <w:bottom w:val="single" w:sz="4" w:space="0" w:color="auto"/>
              <w:right w:val="single" w:sz="4" w:space="0" w:color="auto"/>
            </w:tcBorders>
            <w:shd w:val="clear" w:color="auto" w:fill="auto"/>
            <w:noWrap/>
            <w:vAlign w:val="center"/>
          </w:tcPr>
          <w:p w14:paraId="33BDCB68" w14:textId="77777777" w:rsidR="009F4E55" w:rsidRPr="006A755F" w:rsidRDefault="009F4E55" w:rsidP="002F4E6D">
            <w:pPr>
              <w:spacing w:after="0"/>
              <w:jc w:val="right"/>
              <w:rPr>
                <w:rFonts w:cstheme="minorHAnsi"/>
                <w:sz w:val="20"/>
                <w:szCs w:val="20"/>
              </w:rPr>
            </w:pPr>
            <w:r>
              <w:rPr>
                <w:rFonts w:cstheme="minorHAnsi"/>
                <w:sz w:val="20"/>
                <w:szCs w:val="20"/>
              </w:rPr>
              <w:t>92 545</w:t>
            </w:r>
          </w:p>
        </w:tc>
        <w:tc>
          <w:tcPr>
            <w:tcW w:w="995" w:type="dxa"/>
            <w:tcBorders>
              <w:top w:val="nil"/>
              <w:left w:val="nil"/>
              <w:bottom w:val="single" w:sz="4" w:space="0" w:color="auto"/>
              <w:right w:val="single" w:sz="4" w:space="0" w:color="auto"/>
            </w:tcBorders>
            <w:shd w:val="clear" w:color="auto" w:fill="auto"/>
            <w:noWrap/>
            <w:vAlign w:val="center"/>
          </w:tcPr>
          <w:p w14:paraId="1331270E" w14:textId="77777777" w:rsidR="009F4E55" w:rsidRPr="006A755F" w:rsidRDefault="009F4E55" w:rsidP="002F4E6D">
            <w:pPr>
              <w:spacing w:after="0"/>
              <w:jc w:val="right"/>
              <w:rPr>
                <w:rFonts w:cstheme="minorHAnsi"/>
                <w:sz w:val="20"/>
                <w:szCs w:val="20"/>
              </w:rPr>
            </w:pPr>
            <w:r>
              <w:rPr>
                <w:rFonts w:cstheme="minorHAnsi"/>
                <w:sz w:val="20"/>
                <w:szCs w:val="20"/>
              </w:rPr>
              <w:t>43,2</w:t>
            </w:r>
          </w:p>
        </w:tc>
      </w:tr>
      <w:tr w:rsidR="009F4E55" w:rsidRPr="006A755F" w14:paraId="389ED0BB" w14:textId="77777777" w:rsidTr="002F4E6D">
        <w:trPr>
          <w:trHeight w:val="300"/>
          <w:tblHeader/>
        </w:trPr>
        <w:tc>
          <w:tcPr>
            <w:tcW w:w="3119" w:type="dxa"/>
            <w:tcBorders>
              <w:top w:val="single" w:sz="4" w:space="0" w:color="auto"/>
              <w:left w:val="single" w:sz="4" w:space="0" w:color="auto"/>
              <w:bottom w:val="nil"/>
              <w:right w:val="single" w:sz="4" w:space="0" w:color="auto"/>
            </w:tcBorders>
            <w:shd w:val="clear" w:color="000000" w:fill="FFFFFF"/>
            <w:vAlign w:val="bottom"/>
          </w:tcPr>
          <w:p w14:paraId="18B6C3C2" w14:textId="77777777" w:rsidR="009F4E55" w:rsidRPr="006A755F" w:rsidRDefault="009F4E55" w:rsidP="002F4E6D">
            <w:pPr>
              <w:spacing w:after="0"/>
              <w:rPr>
                <w:rFonts w:cstheme="minorHAnsi"/>
                <w:color w:val="2F5496" w:themeColor="accent5" w:themeShade="BF"/>
                <w:sz w:val="20"/>
                <w:szCs w:val="20"/>
              </w:rPr>
            </w:pPr>
            <w:r w:rsidRPr="006A755F">
              <w:rPr>
                <w:rFonts w:cstheme="minorHAnsi"/>
                <w:b/>
                <w:bCs/>
                <w:color w:val="2F5496" w:themeColor="accent5" w:themeShade="BF"/>
                <w:sz w:val="20"/>
                <w:szCs w:val="20"/>
              </w:rPr>
              <w:t xml:space="preserve">Tituly investičních transferů podnikatelským subjektům </w:t>
            </w:r>
            <w:r w:rsidRPr="006A755F">
              <w:rPr>
                <w:rFonts w:cstheme="minorHAnsi"/>
                <w:bCs/>
                <w:color w:val="2F5496" w:themeColor="accent5" w:themeShade="BF"/>
                <w:sz w:val="20"/>
                <w:szCs w:val="20"/>
              </w:rPr>
              <w:t>(v tom:)</w:t>
            </w:r>
          </w:p>
        </w:tc>
        <w:tc>
          <w:tcPr>
            <w:tcW w:w="1148" w:type="dxa"/>
            <w:tcBorders>
              <w:top w:val="single" w:sz="4" w:space="0" w:color="auto"/>
              <w:left w:val="nil"/>
              <w:bottom w:val="nil"/>
              <w:right w:val="single" w:sz="4" w:space="0" w:color="auto"/>
            </w:tcBorders>
            <w:shd w:val="clear" w:color="auto" w:fill="auto"/>
            <w:noWrap/>
            <w:vAlign w:val="center"/>
          </w:tcPr>
          <w:p w14:paraId="3680B83A" w14:textId="77777777" w:rsidR="009F4E55" w:rsidRPr="006A755F" w:rsidRDefault="009F4E55" w:rsidP="002F4E6D">
            <w:pPr>
              <w:spacing w:after="0"/>
              <w:jc w:val="right"/>
              <w:rPr>
                <w:rFonts w:cstheme="minorHAnsi"/>
                <w:b/>
                <w:color w:val="2F5496" w:themeColor="accent5" w:themeShade="BF"/>
                <w:sz w:val="20"/>
                <w:szCs w:val="20"/>
              </w:rPr>
            </w:pPr>
            <w:r>
              <w:rPr>
                <w:rFonts w:cstheme="minorHAnsi"/>
                <w:b/>
                <w:color w:val="2F5496" w:themeColor="accent5" w:themeShade="BF"/>
                <w:sz w:val="20"/>
                <w:szCs w:val="20"/>
              </w:rPr>
              <w:t>837 834</w:t>
            </w:r>
          </w:p>
        </w:tc>
        <w:tc>
          <w:tcPr>
            <w:tcW w:w="1275" w:type="dxa"/>
            <w:tcBorders>
              <w:top w:val="single" w:sz="4" w:space="0" w:color="auto"/>
              <w:left w:val="nil"/>
              <w:bottom w:val="nil"/>
              <w:right w:val="single" w:sz="4" w:space="0" w:color="auto"/>
            </w:tcBorders>
            <w:shd w:val="clear" w:color="auto" w:fill="auto"/>
            <w:noWrap/>
            <w:vAlign w:val="center"/>
          </w:tcPr>
          <w:p w14:paraId="03285F3E" w14:textId="77777777" w:rsidR="009F4E55" w:rsidRPr="006A755F" w:rsidRDefault="009F4E55" w:rsidP="002F4E6D">
            <w:pPr>
              <w:spacing w:after="0"/>
              <w:jc w:val="right"/>
              <w:rPr>
                <w:rFonts w:cstheme="minorHAnsi"/>
                <w:b/>
                <w:color w:val="2F5496" w:themeColor="accent5" w:themeShade="BF"/>
                <w:sz w:val="20"/>
                <w:szCs w:val="20"/>
              </w:rPr>
            </w:pPr>
            <w:r>
              <w:rPr>
                <w:rFonts w:cstheme="minorHAnsi"/>
                <w:b/>
                <w:color w:val="2F5496" w:themeColor="accent5" w:themeShade="BF"/>
                <w:sz w:val="20"/>
                <w:szCs w:val="20"/>
              </w:rPr>
              <w:t>310 000</w:t>
            </w:r>
          </w:p>
        </w:tc>
        <w:tc>
          <w:tcPr>
            <w:tcW w:w="1276" w:type="dxa"/>
            <w:tcBorders>
              <w:top w:val="single" w:sz="4" w:space="0" w:color="auto"/>
              <w:left w:val="nil"/>
              <w:bottom w:val="nil"/>
              <w:right w:val="single" w:sz="4" w:space="0" w:color="auto"/>
            </w:tcBorders>
            <w:shd w:val="clear" w:color="auto" w:fill="auto"/>
            <w:noWrap/>
            <w:vAlign w:val="center"/>
          </w:tcPr>
          <w:p w14:paraId="3EDA7CA7" w14:textId="77777777" w:rsidR="009F4E55" w:rsidRPr="006A755F" w:rsidRDefault="009F4E55" w:rsidP="002F4E6D">
            <w:pPr>
              <w:spacing w:after="0"/>
              <w:jc w:val="right"/>
              <w:rPr>
                <w:rFonts w:cstheme="minorHAnsi"/>
                <w:b/>
                <w:color w:val="2F5496" w:themeColor="accent5" w:themeShade="BF"/>
                <w:sz w:val="20"/>
                <w:szCs w:val="20"/>
              </w:rPr>
            </w:pPr>
            <w:r>
              <w:rPr>
                <w:rFonts w:cstheme="minorHAnsi"/>
                <w:b/>
                <w:color w:val="2F5496" w:themeColor="accent5" w:themeShade="BF"/>
                <w:sz w:val="20"/>
                <w:szCs w:val="20"/>
              </w:rPr>
              <w:t>310 000</w:t>
            </w:r>
          </w:p>
        </w:tc>
        <w:tc>
          <w:tcPr>
            <w:tcW w:w="1104" w:type="dxa"/>
            <w:tcBorders>
              <w:top w:val="single" w:sz="4" w:space="0" w:color="auto"/>
              <w:left w:val="nil"/>
              <w:bottom w:val="nil"/>
              <w:right w:val="single" w:sz="4" w:space="0" w:color="auto"/>
            </w:tcBorders>
            <w:vAlign w:val="center"/>
          </w:tcPr>
          <w:p w14:paraId="5EECF62C" w14:textId="77777777" w:rsidR="009F4E55" w:rsidRPr="006A755F" w:rsidRDefault="009F4E55" w:rsidP="002F4E6D">
            <w:pPr>
              <w:spacing w:after="0"/>
              <w:jc w:val="right"/>
              <w:rPr>
                <w:rFonts w:cstheme="minorHAnsi"/>
                <w:b/>
                <w:color w:val="2F5496" w:themeColor="accent5" w:themeShade="BF"/>
                <w:sz w:val="20"/>
                <w:szCs w:val="20"/>
              </w:rPr>
            </w:pPr>
            <w:r>
              <w:rPr>
                <w:rFonts w:cstheme="minorHAnsi"/>
                <w:b/>
                <w:color w:val="2F5496" w:themeColor="accent5" w:themeShade="BF"/>
                <w:sz w:val="20"/>
                <w:szCs w:val="20"/>
              </w:rPr>
              <w:t>1 456 111</w:t>
            </w:r>
          </w:p>
        </w:tc>
        <w:tc>
          <w:tcPr>
            <w:tcW w:w="1148" w:type="dxa"/>
            <w:tcBorders>
              <w:top w:val="single" w:sz="4" w:space="0" w:color="auto"/>
              <w:left w:val="single" w:sz="4" w:space="0" w:color="auto"/>
              <w:bottom w:val="nil"/>
              <w:right w:val="single" w:sz="4" w:space="0" w:color="auto"/>
            </w:tcBorders>
            <w:shd w:val="clear" w:color="auto" w:fill="auto"/>
            <w:noWrap/>
            <w:vAlign w:val="center"/>
          </w:tcPr>
          <w:p w14:paraId="43ACEF38" w14:textId="77777777" w:rsidR="009F4E55" w:rsidRPr="006A755F" w:rsidRDefault="009F4E55" w:rsidP="002F4E6D">
            <w:pPr>
              <w:spacing w:after="0"/>
              <w:jc w:val="right"/>
              <w:rPr>
                <w:rFonts w:cstheme="minorHAnsi"/>
                <w:b/>
                <w:color w:val="2F5496" w:themeColor="accent5" w:themeShade="BF"/>
                <w:sz w:val="20"/>
                <w:szCs w:val="20"/>
              </w:rPr>
            </w:pPr>
            <w:r>
              <w:rPr>
                <w:rFonts w:cstheme="minorHAnsi"/>
                <w:b/>
                <w:color w:val="2F5496" w:themeColor="accent5" w:themeShade="BF"/>
                <w:sz w:val="20"/>
                <w:szCs w:val="20"/>
              </w:rPr>
              <w:t>974 364</w:t>
            </w:r>
          </w:p>
        </w:tc>
        <w:tc>
          <w:tcPr>
            <w:tcW w:w="995" w:type="dxa"/>
            <w:tcBorders>
              <w:top w:val="single" w:sz="4" w:space="0" w:color="auto"/>
              <w:left w:val="nil"/>
              <w:bottom w:val="nil"/>
              <w:right w:val="single" w:sz="4" w:space="0" w:color="auto"/>
            </w:tcBorders>
            <w:shd w:val="clear" w:color="auto" w:fill="auto"/>
            <w:noWrap/>
            <w:vAlign w:val="center"/>
          </w:tcPr>
          <w:p w14:paraId="5C620D23" w14:textId="77777777" w:rsidR="009F4E55" w:rsidRPr="006A755F" w:rsidRDefault="009F4E55" w:rsidP="002F4E6D">
            <w:pPr>
              <w:spacing w:after="0"/>
              <w:jc w:val="right"/>
              <w:rPr>
                <w:rFonts w:cstheme="minorHAnsi"/>
                <w:b/>
                <w:color w:val="2F5496" w:themeColor="accent5" w:themeShade="BF"/>
                <w:sz w:val="20"/>
                <w:szCs w:val="20"/>
              </w:rPr>
            </w:pPr>
            <w:r>
              <w:rPr>
                <w:rFonts w:cstheme="minorHAnsi"/>
                <w:b/>
                <w:color w:val="2F5496" w:themeColor="accent5" w:themeShade="BF"/>
                <w:sz w:val="20"/>
                <w:szCs w:val="20"/>
              </w:rPr>
              <w:t>116,3</w:t>
            </w:r>
          </w:p>
        </w:tc>
      </w:tr>
      <w:tr w:rsidR="009F4E55" w:rsidRPr="006A755F" w14:paraId="11BD5653"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tcPr>
          <w:p w14:paraId="3FBA67AE" w14:textId="77777777" w:rsidR="009F4E55" w:rsidRPr="006A755F" w:rsidRDefault="009F4E55" w:rsidP="002F4E6D">
            <w:pPr>
              <w:spacing w:after="0"/>
              <w:rPr>
                <w:rFonts w:cstheme="minorHAnsi"/>
                <w:sz w:val="20"/>
                <w:szCs w:val="20"/>
              </w:rPr>
            </w:pPr>
            <w:r w:rsidRPr="006A755F">
              <w:rPr>
                <w:rFonts w:cstheme="minorHAnsi"/>
                <w:sz w:val="20"/>
                <w:szCs w:val="20"/>
              </w:rPr>
              <w:t>Železniční doprava</w:t>
            </w:r>
          </w:p>
        </w:tc>
        <w:tc>
          <w:tcPr>
            <w:tcW w:w="1148" w:type="dxa"/>
            <w:tcBorders>
              <w:top w:val="nil"/>
              <w:left w:val="nil"/>
              <w:bottom w:val="nil"/>
              <w:right w:val="single" w:sz="4" w:space="0" w:color="auto"/>
            </w:tcBorders>
            <w:shd w:val="clear" w:color="auto" w:fill="auto"/>
            <w:noWrap/>
            <w:vAlign w:val="center"/>
          </w:tcPr>
          <w:p w14:paraId="6D285E91" w14:textId="77777777" w:rsidR="009F4E55" w:rsidRPr="006A755F" w:rsidRDefault="009F4E55" w:rsidP="002F4E6D">
            <w:pPr>
              <w:spacing w:after="0"/>
              <w:jc w:val="right"/>
              <w:rPr>
                <w:rFonts w:cstheme="minorHAnsi"/>
                <w:sz w:val="20"/>
                <w:szCs w:val="20"/>
              </w:rPr>
            </w:pPr>
            <w:r>
              <w:rPr>
                <w:rFonts w:cstheme="minorHAnsi"/>
                <w:sz w:val="20"/>
                <w:szCs w:val="20"/>
              </w:rPr>
              <w:t>695 606</w:t>
            </w:r>
          </w:p>
        </w:tc>
        <w:tc>
          <w:tcPr>
            <w:tcW w:w="1275" w:type="dxa"/>
            <w:tcBorders>
              <w:top w:val="nil"/>
              <w:left w:val="nil"/>
              <w:bottom w:val="nil"/>
              <w:right w:val="single" w:sz="4" w:space="0" w:color="auto"/>
            </w:tcBorders>
            <w:shd w:val="clear" w:color="auto" w:fill="auto"/>
            <w:noWrap/>
            <w:vAlign w:val="center"/>
          </w:tcPr>
          <w:p w14:paraId="40C0D125" w14:textId="77777777" w:rsidR="009F4E55" w:rsidRPr="006A755F" w:rsidRDefault="009F4E55" w:rsidP="002F4E6D">
            <w:pPr>
              <w:spacing w:after="0"/>
              <w:jc w:val="right"/>
              <w:rPr>
                <w:rFonts w:cstheme="minorHAnsi"/>
                <w:sz w:val="20"/>
                <w:szCs w:val="20"/>
              </w:rPr>
            </w:pPr>
            <w:r>
              <w:rPr>
                <w:rFonts w:cstheme="minorHAnsi"/>
                <w:sz w:val="20"/>
                <w:szCs w:val="20"/>
              </w:rPr>
              <w:t>10 000</w:t>
            </w:r>
          </w:p>
        </w:tc>
        <w:tc>
          <w:tcPr>
            <w:tcW w:w="1276" w:type="dxa"/>
            <w:tcBorders>
              <w:top w:val="nil"/>
              <w:left w:val="nil"/>
              <w:bottom w:val="nil"/>
              <w:right w:val="single" w:sz="4" w:space="0" w:color="auto"/>
            </w:tcBorders>
            <w:shd w:val="clear" w:color="auto" w:fill="auto"/>
            <w:noWrap/>
            <w:vAlign w:val="center"/>
          </w:tcPr>
          <w:p w14:paraId="402444A5" w14:textId="77777777" w:rsidR="009F4E55" w:rsidRPr="006A755F" w:rsidRDefault="009F4E55" w:rsidP="002F4E6D">
            <w:pPr>
              <w:spacing w:after="0"/>
              <w:jc w:val="right"/>
              <w:rPr>
                <w:rFonts w:cstheme="minorHAnsi"/>
                <w:color w:val="FF0000"/>
                <w:sz w:val="20"/>
                <w:szCs w:val="20"/>
              </w:rPr>
            </w:pPr>
            <w:r>
              <w:rPr>
                <w:rFonts w:cstheme="minorHAnsi"/>
                <w:sz w:val="20"/>
                <w:szCs w:val="20"/>
              </w:rPr>
              <w:t>10 000</w:t>
            </w:r>
          </w:p>
        </w:tc>
        <w:tc>
          <w:tcPr>
            <w:tcW w:w="1104" w:type="dxa"/>
            <w:tcBorders>
              <w:top w:val="nil"/>
              <w:left w:val="nil"/>
              <w:bottom w:val="nil"/>
              <w:right w:val="single" w:sz="4" w:space="0" w:color="auto"/>
            </w:tcBorders>
            <w:vAlign w:val="center"/>
          </w:tcPr>
          <w:p w14:paraId="4A6A3D5D" w14:textId="77777777" w:rsidR="009F4E55" w:rsidRPr="006A755F" w:rsidRDefault="009F4E55" w:rsidP="002F4E6D">
            <w:pPr>
              <w:spacing w:after="0"/>
              <w:jc w:val="right"/>
              <w:rPr>
                <w:rFonts w:cstheme="minorHAnsi"/>
                <w:sz w:val="20"/>
                <w:szCs w:val="20"/>
              </w:rPr>
            </w:pPr>
            <w:r>
              <w:rPr>
                <w:rFonts w:cstheme="minorHAnsi"/>
                <w:sz w:val="20"/>
                <w:szCs w:val="20"/>
              </w:rPr>
              <w:t>743 298</w:t>
            </w:r>
          </w:p>
        </w:tc>
        <w:tc>
          <w:tcPr>
            <w:tcW w:w="1148" w:type="dxa"/>
            <w:tcBorders>
              <w:top w:val="nil"/>
              <w:left w:val="single" w:sz="4" w:space="0" w:color="auto"/>
              <w:bottom w:val="nil"/>
              <w:right w:val="single" w:sz="4" w:space="0" w:color="auto"/>
            </w:tcBorders>
            <w:shd w:val="clear" w:color="auto" w:fill="auto"/>
            <w:noWrap/>
            <w:vAlign w:val="center"/>
          </w:tcPr>
          <w:p w14:paraId="68C1074D" w14:textId="77777777" w:rsidR="009F4E55" w:rsidRPr="006A755F" w:rsidRDefault="009F4E55" w:rsidP="002F4E6D">
            <w:pPr>
              <w:spacing w:after="0"/>
              <w:jc w:val="right"/>
              <w:rPr>
                <w:rFonts w:cstheme="minorHAnsi"/>
                <w:sz w:val="20"/>
                <w:szCs w:val="20"/>
              </w:rPr>
            </w:pPr>
            <w:r>
              <w:rPr>
                <w:rFonts w:cstheme="minorHAnsi"/>
                <w:sz w:val="20"/>
                <w:szCs w:val="20"/>
              </w:rPr>
              <w:t>732 259</w:t>
            </w:r>
          </w:p>
        </w:tc>
        <w:tc>
          <w:tcPr>
            <w:tcW w:w="995" w:type="dxa"/>
            <w:tcBorders>
              <w:top w:val="nil"/>
              <w:left w:val="nil"/>
              <w:bottom w:val="nil"/>
              <w:right w:val="single" w:sz="4" w:space="0" w:color="auto"/>
            </w:tcBorders>
            <w:shd w:val="clear" w:color="auto" w:fill="auto"/>
            <w:noWrap/>
            <w:vAlign w:val="center"/>
          </w:tcPr>
          <w:p w14:paraId="5042121A" w14:textId="77777777" w:rsidR="009F4E55" w:rsidRPr="006A755F" w:rsidRDefault="009F4E55" w:rsidP="002F4E6D">
            <w:pPr>
              <w:spacing w:after="0"/>
              <w:jc w:val="right"/>
              <w:rPr>
                <w:rFonts w:cstheme="minorHAnsi"/>
                <w:sz w:val="20"/>
                <w:szCs w:val="20"/>
              </w:rPr>
            </w:pPr>
            <w:r>
              <w:rPr>
                <w:rFonts w:cstheme="minorHAnsi"/>
                <w:sz w:val="20"/>
                <w:szCs w:val="20"/>
              </w:rPr>
              <w:t>105</w:t>
            </w:r>
            <w:r w:rsidRPr="006A755F">
              <w:rPr>
                <w:rFonts w:cstheme="minorHAnsi"/>
                <w:sz w:val="20"/>
                <w:szCs w:val="20"/>
              </w:rPr>
              <w:t>,3</w:t>
            </w:r>
          </w:p>
        </w:tc>
      </w:tr>
      <w:tr w:rsidR="009F4E55" w:rsidRPr="006A755F" w14:paraId="2C70A428"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tcPr>
          <w:p w14:paraId="27A570B1" w14:textId="77777777" w:rsidR="009F4E55" w:rsidRPr="006A755F" w:rsidRDefault="009F4E55" w:rsidP="002F4E6D">
            <w:pPr>
              <w:spacing w:after="0"/>
              <w:rPr>
                <w:rFonts w:cstheme="minorHAnsi"/>
                <w:sz w:val="20"/>
                <w:szCs w:val="20"/>
              </w:rPr>
            </w:pPr>
            <w:r w:rsidRPr="006A755F">
              <w:rPr>
                <w:rFonts w:cstheme="minorHAnsi"/>
                <w:sz w:val="20"/>
                <w:szCs w:val="20"/>
              </w:rPr>
              <w:t>Kombinovaná doprava</w:t>
            </w:r>
          </w:p>
        </w:tc>
        <w:tc>
          <w:tcPr>
            <w:tcW w:w="1148" w:type="dxa"/>
            <w:tcBorders>
              <w:top w:val="nil"/>
              <w:left w:val="nil"/>
              <w:bottom w:val="nil"/>
              <w:right w:val="single" w:sz="4" w:space="0" w:color="auto"/>
            </w:tcBorders>
            <w:shd w:val="clear" w:color="auto" w:fill="auto"/>
            <w:noWrap/>
            <w:vAlign w:val="center"/>
          </w:tcPr>
          <w:p w14:paraId="10E0F52B" w14:textId="77777777" w:rsidR="009F4E55" w:rsidRPr="006A755F" w:rsidRDefault="009F4E55" w:rsidP="002F4E6D">
            <w:pPr>
              <w:spacing w:after="0"/>
              <w:jc w:val="right"/>
              <w:rPr>
                <w:rFonts w:cstheme="minorHAnsi"/>
                <w:color w:val="FF0000"/>
                <w:sz w:val="20"/>
                <w:szCs w:val="20"/>
              </w:rPr>
            </w:pPr>
            <w:r>
              <w:rPr>
                <w:rFonts w:cstheme="minorHAnsi"/>
                <w:sz w:val="20"/>
                <w:szCs w:val="20"/>
              </w:rPr>
              <w:t>4 968</w:t>
            </w:r>
          </w:p>
        </w:tc>
        <w:tc>
          <w:tcPr>
            <w:tcW w:w="1275" w:type="dxa"/>
            <w:tcBorders>
              <w:top w:val="nil"/>
              <w:left w:val="nil"/>
              <w:bottom w:val="nil"/>
              <w:right w:val="single" w:sz="4" w:space="0" w:color="auto"/>
            </w:tcBorders>
            <w:shd w:val="clear" w:color="auto" w:fill="auto"/>
            <w:noWrap/>
            <w:vAlign w:val="center"/>
          </w:tcPr>
          <w:p w14:paraId="212A354F"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6" w:type="dxa"/>
            <w:tcBorders>
              <w:top w:val="nil"/>
              <w:left w:val="nil"/>
              <w:bottom w:val="nil"/>
              <w:right w:val="single" w:sz="4" w:space="0" w:color="auto"/>
            </w:tcBorders>
            <w:shd w:val="clear" w:color="auto" w:fill="auto"/>
            <w:noWrap/>
            <w:vAlign w:val="center"/>
          </w:tcPr>
          <w:p w14:paraId="6B4BE480"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104" w:type="dxa"/>
            <w:tcBorders>
              <w:top w:val="nil"/>
              <w:left w:val="nil"/>
              <w:bottom w:val="nil"/>
              <w:right w:val="single" w:sz="4" w:space="0" w:color="auto"/>
            </w:tcBorders>
            <w:vAlign w:val="center"/>
          </w:tcPr>
          <w:p w14:paraId="5989E34E"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48" w:type="dxa"/>
            <w:tcBorders>
              <w:top w:val="nil"/>
              <w:left w:val="single" w:sz="4" w:space="0" w:color="auto"/>
              <w:bottom w:val="nil"/>
              <w:right w:val="single" w:sz="4" w:space="0" w:color="auto"/>
            </w:tcBorders>
            <w:shd w:val="clear" w:color="auto" w:fill="auto"/>
            <w:noWrap/>
            <w:vAlign w:val="center"/>
          </w:tcPr>
          <w:p w14:paraId="19E21B41"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995" w:type="dxa"/>
            <w:tcBorders>
              <w:top w:val="nil"/>
              <w:left w:val="nil"/>
              <w:bottom w:val="nil"/>
              <w:right w:val="single" w:sz="4" w:space="0" w:color="auto"/>
            </w:tcBorders>
            <w:shd w:val="clear" w:color="auto" w:fill="auto"/>
            <w:noWrap/>
            <w:vAlign w:val="center"/>
          </w:tcPr>
          <w:p w14:paraId="123C4004" w14:textId="77777777" w:rsidR="009F4E55" w:rsidRPr="006A755F" w:rsidRDefault="009F4E55" w:rsidP="002F4E6D">
            <w:pPr>
              <w:spacing w:after="0"/>
              <w:jc w:val="right"/>
              <w:rPr>
                <w:rFonts w:cstheme="minorHAnsi"/>
                <w:sz w:val="20"/>
                <w:szCs w:val="20"/>
              </w:rPr>
            </w:pPr>
            <w:r>
              <w:rPr>
                <w:rFonts w:cstheme="minorHAnsi"/>
                <w:sz w:val="20"/>
                <w:szCs w:val="20"/>
              </w:rPr>
              <w:t>0</w:t>
            </w:r>
            <w:r w:rsidRPr="006A755F">
              <w:rPr>
                <w:rFonts w:cstheme="minorHAnsi"/>
                <w:sz w:val="20"/>
                <w:szCs w:val="20"/>
              </w:rPr>
              <w:t>,0</w:t>
            </w:r>
          </w:p>
        </w:tc>
      </w:tr>
      <w:tr w:rsidR="009F4E55" w:rsidRPr="006A755F" w14:paraId="77FD1E7B"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tcPr>
          <w:p w14:paraId="7856700A" w14:textId="77777777" w:rsidR="009F4E55" w:rsidRPr="006A755F" w:rsidRDefault="009F4E55" w:rsidP="002F4E6D">
            <w:pPr>
              <w:spacing w:after="0"/>
              <w:rPr>
                <w:rFonts w:cstheme="minorHAnsi"/>
                <w:sz w:val="20"/>
                <w:szCs w:val="20"/>
              </w:rPr>
            </w:pPr>
            <w:r w:rsidRPr="006A755F">
              <w:rPr>
                <w:rFonts w:cstheme="minorHAnsi"/>
                <w:sz w:val="20"/>
                <w:szCs w:val="20"/>
              </w:rPr>
              <w:t>Silniční doprava</w:t>
            </w:r>
          </w:p>
        </w:tc>
        <w:tc>
          <w:tcPr>
            <w:tcW w:w="1148" w:type="dxa"/>
            <w:tcBorders>
              <w:top w:val="nil"/>
              <w:left w:val="nil"/>
              <w:bottom w:val="nil"/>
              <w:right w:val="single" w:sz="4" w:space="0" w:color="auto"/>
            </w:tcBorders>
            <w:shd w:val="clear" w:color="auto" w:fill="auto"/>
            <w:noWrap/>
            <w:vAlign w:val="center"/>
          </w:tcPr>
          <w:p w14:paraId="271523D9" w14:textId="77777777" w:rsidR="009F4E55" w:rsidRPr="006A755F" w:rsidRDefault="009F4E55" w:rsidP="002F4E6D">
            <w:pPr>
              <w:spacing w:after="0"/>
              <w:jc w:val="right"/>
              <w:rPr>
                <w:rFonts w:cstheme="minorHAnsi"/>
                <w:color w:val="FF0000"/>
                <w:sz w:val="20"/>
                <w:szCs w:val="20"/>
              </w:rPr>
            </w:pPr>
            <w:r>
              <w:rPr>
                <w:rFonts w:cstheme="minorHAnsi"/>
                <w:sz w:val="20"/>
                <w:szCs w:val="20"/>
              </w:rPr>
              <w:t>129 375</w:t>
            </w:r>
          </w:p>
        </w:tc>
        <w:tc>
          <w:tcPr>
            <w:tcW w:w="1275" w:type="dxa"/>
            <w:tcBorders>
              <w:top w:val="nil"/>
              <w:left w:val="nil"/>
              <w:bottom w:val="nil"/>
              <w:right w:val="single" w:sz="4" w:space="0" w:color="auto"/>
            </w:tcBorders>
            <w:shd w:val="clear" w:color="auto" w:fill="auto"/>
            <w:noWrap/>
            <w:vAlign w:val="center"/>
          </w:tcPr>
          <w:p w14:paraId="710D0B2E" w14:textId="77777777" w:rsidR="009F4E55" w:rsidRPr="006A755F" w:rsidRDefault="009F4E55" w:rsidP="002F4E6D">
            <w:pPr>
              <w:spacing w:after="0"/>
              <w:jc w:val="right"/>
              <w:rPr>
                <w:rFonts w:cstheme="minorHAnsi"/>
                <w:sz w:val="20"/>
                <w:szCs w:val="20"/>
              </w:rPr>
            </w:pPr>
            <w:r>
              <w:rPr>
                <w:rFonts w:cstheme="minorHAnsi"/>
                <w:sz w:val="20"/>
                <w:szCs w:val="20"/>
              </w:rPr>
              <w:t>300 000</w:t>
            </w:r>
          </w:p>
        </w:tc>
        <w:tc>
          <w:tcPr>
            <w:tcW w:w="1276" w:type="dxa"/>
            <w:tcBorders>
              <w:top w:val="nil"/>
              <w:left w:val="nil"/>
              <w:bottom w:val="nil"/>
              <w:right w:val="single" w:sz="4" w:space="0" w:color="auto"/>
            </w:tcBorders>
            <w:shd w:val="clear" w:color="auto" w:fill="auto"/>
            <w:noWrap/>
            <w:vAlign w:val="center"/>
          </w:tcPr>
          <w:p w14:paraId="1C72CB44" w14:textId="77777777" w:rsidR="009F4E55" w:rsidRPr="006A755F" w:rsidRDefault="009F4E55" w:rsidP="002F4E6D">
            <w:pPr>
              <w:spacing w:after="0"/>
              <w:jc w:val="right"/>
              <w:rPr>
                <w:rFonts w:cstheme="minorHAnsi"/>
                <w:sz w:val="20"/>
                <w:szCs w:val="20"/>
              </w:rPr>
            </w:pPr>
            <w:r>
              <w:rPr>
                <w:rFonts w:cstheme="minorHAnsi"/>
                <w:sz w:val="20"/>
                <w:szCs w:val="20"/>
              </w:rPr>
              <w:t>300 00</w:t>
            </w:r>
            <w:r w:rsidRPr="006A755F">
              <w:rPr>
                <w:rFonts w:cstheme="minorHAnsi"/>
                <w:sz w:val="20"/>
                <w:szCs w:val="20"/>
              </w:rPr>
              <w:t>0</w:t>
            </w:r>
          </w:p>
        </w:tc>
        <w:tc>
          <w:tcPr>
            <w:tcW w:w="1104" w:type="dxa"/>
            <w:tcBorders>
              <w:top w:val="nil"/>
              <w:left w:val="nil"/>
              <w:bottom w:val="nil"/>
              <w:right w:val="single" w:sz="4" w:space="0" w:color="auto"/>
            </w:tcBorders>
            <w:vAlign w:val="center"/>
          </w:tcPr>
          <w:p w14:paraId="7AECA460" w14:textId="77777777" w:rsidR="009F4E55" w:rsidRPr="006A755F" w:rsidRDefault="009F4E55" w:rsidP="002F4E6D">
            <w:pPr>
              <w:spacing w:after="0"/>
              <w:jc w:val="right"/>
              <w:rPr>
                <w:rFonts w:cstheme="minorHAnsi"/>
                <w:sz w:val="20"/>
                <w:szCs w:val="20"/>
              </w:rPr>
            </w:pPr>
            <w:r>
              <w:rPr>
                <w:rFonts w:cstheme="minorHAnsi"/>
                <w:sz w:val="20"/>
                <w:szCs w:val="20"/>
              </w:rPr>
              <w:t>712 813</w:t>
            </w:r>
          </w:p>
        </w:tc>
        <w:tc>
          <w:tcPr>
            <w:tcW w:w="1148" w:type="dxa"/>
            <w:tcBorders>
              <w:top w:val="nil"/>
              <w:left w:val="single" w:sz="4" w:space="0" w:color="auto"/>
              <w:bottom w:val="nil"/>
              <w:right w:val="single" w:sz="4" w:space="0" w:color="auto"/>
            </w:tcBorders>
            <w:shd w:val="clear" w:color="auto" w:fill="auto"/>
            <w:noWrap/>
            <w:vAlign w:val="center"/>
          </w:tcPr>
          <w:p w14:paraId="636AEB50" w14:textId="77777777" w:rsidR="009F4E55" w:rsidRPr="006A755F" w:rsidRDefault="009F4E55" w:rsidP="002F4E6D">
            <w:pPr>
              <w:spacing w:after="0"/>
              <w:jc w:val="right"/>
              <w:rPr>
                <w:rFonts w:cstheme="minorHAnsi"/>
                <w:sz w:val="20"/>
                <w:szCs w:val="20"/>
              </w:rPr>
            </w:pPr>
            <w:r>
              <w:rPr>
                <w:rFonts w:cstheme="minorHAnsi"/>
                <w:sz w:val="20"/>
                <w:szCs w:val="20"/>
              </w:rPr>
              <w:t>242 105</w:t>
            </w:r>
          </w:p>
        </w:tc>
        <w:tc>
          <w:tcPr>
            <w:tcW w:w="995" w:type="dxa"/>
            <w:tcBorders>
              <w:top w:val="nil"/>
              <w:left w:val="nil"/>
              <w:bottom w:val="nil"/>
              <w:right w:val="single" w:sz="4" w:space="0" w:color="auto"/>
            </w:tcBorders>
            <w:shd w:val="clear" w:color="auto" w:fill="auto"/>
            <w:noWrap/>
            <w:vAlign w:val="center"/>
          </w:tcPr>
          <w:p w14:paraId="17D24065" w14:textId="77777777" w:rsidR="009F4E55" w:rsidRPr="006A755F" w:rsidRDefault="009F4E55" w:rsidP="002F4E6D">
            <w:pPr>
              <w:spacing w:after="0"/>
              <w:jc w:val="right"/>
              <w:rPr>
                <w:rFonts w:cstheme="minorHAnsi"/>
                <w:sz w:val="20"/>
                <w:szCs w:val="20"/>
              </w:rPr>
            </w:pPr>
            <w:r>
              <w:rPr>
                <w:rFonts w:cstheme="minorHAnsi"/>
                <w:sz w:val="20"/>
                <w:szCs w:val="20"/>
              </w:rPr>
              <w:t>187</w:t>
            </w:r>
            <w:r w:rsidRPr="006A755F">
              <w:rPr>
                <w:rFonts w:cstheme="minorHAnsi"/>
                <w:sz w:val="20"/>
                <w:szCs w:val="20"/>
              </w:rPr>
              <w:t>,1</w:t>
            </w:r>
          </w:p>
        </w:tc>
      </w:tr>
      <w:tr w:rsidR="009F4E55" w:rsidRPr="006A755F" w14:paraId="6439612E" w14:textId="77777777" w:rsidTr="002F4E6D">
        <w:trPr>
          <w:trHeight w:val="300"/>
          <w:tblHeader/>
        </w:trPr>
        <w:tc>
          <w:tcPr>
            <w:tcW w:w="3119" w:type="dxa"/>
            <w:tcBorders>
              <w:top w:val="nil"/>
              <w:left w:val="single" w:sz="4" w:space="0" w:color="auto"/>
              <w:bottom w:val="nil"/>
              <w:right w:val="single" w:sz="4" w:space="0" w:color="auto"/>
            </w:tcBorders>
            <w:shd w:val="clear" w:color="000000" w:fill="FFFFFF"/>
            <w:vAlign w:val="bottom"/>
          </w:tcPr>
          <w:p w14:paraId="448752F0" w14:textId="77777777" w:rsidR="009F4E55" w:rsidRPr="006A755F" w:rsidRDefault="009F4E55" w:rsidP="002F4E6D">
            <w:pPr>
              <w:spacing w:after="0"/>
              <w:rPr>
                <w:rFonts w:cstheme="minorHAnsi"/>
                <w:sz w:val="20"/>
                <w:szCs w:val="20"/>
              </w:rPr>
            </w:pPr>
            <w:r w:rsidRPr="006A755F">
              <w:rPr>
                <w:rFonts w:cstheme="minorHAnsi"/>
                <w:sz w:val="20"/>
                <w:szCs w:val="20"/>
              </w:rPr>
              <w:t xml:space="preserve">Nástroj pro propojení Evropy CEF </w:t>
            </w:r>
          </w:p>
        </w:tc>
        <w:tc>
          <w:tcPr>
            <w:tcW w:w="1148" w:type="dxa"/>
            <w:tcBorders>
              <w:top w:val="nil"/>
              <w:left w:val="nil"/>
              <w:bottom w:val="nil"/>
              <w:right w:val="single" w:sz="4" w:space="0" w:color="auto"/>
            </w:tcBorders>
            <w:shd w:val="clear" w:color="auto" w:fill="auto"/>
            <w:noWrap/>
            <w:vAlign w:val="center"/>
          </w:tcPr>
          <w:p w14:paraId="16859D94" w14:textId="77777777" w:rsidR="009F4E55" w:rsidRPr="006A755F" w:rsidRDefault="009F4E55" w:rsidP="002F4E6D">
            <w:pPr>
              <w:spacing w:after="0"/>
              <w:jc w:val="right"/>
              <w:rPr>
                <w:rFonts w:cstheme="minorHAnsi"/>
                <w:color w:val="FF0000"/>
                <w:sz w:val="20"/>
                <w:szCs w:val="20"/>
              </w:rPr>
            </w:pPr>
            <w:r>
              <w:rPr>
                <w:rFonts w:cstheme="minorHAnsi"/>
                <w:sz w:val="20"/>
                <w:szCs w:val="20"/>
              </w:rPr>
              <w:t>7 885</w:t>
            </w:r>
          </w:p>
        </w:tc>
        <w:tc>
          <w:tcPr>
            <w:tcW w:w="1275" w:type="dxa"/>
            <w:tcBorders>
              <w:top w:val="nil"/>
              <w:left w:val="nil"/>
              <w:bottom w:val="nil"/>
              <w:right w:val="single" w:sz="4" w:space="0" w:color="auto"/>
            </w:tcBorders>
            <w:shd w:val="clear" w:color="auto" w:fill="auto"/>
            <w:noWrap/>
            <w:vAlign w:val="center"/>
          </w:tcPr>
          <w:p w14:paraId="1EFAE8D2"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6" w:type="dxa"/>
            <w:tcBorders>
              <w:top w:val="nil"/>
              <w:left w:val="nil"/>
              <w:bottom w:val="nil"/>
              <w:right w:val="single" w:sz="4" w:space="0" w:color="auto"/>
            </w:tcBorders>
            <w:shd w:val="clear" w:color="auto" w:fill="auto"/>
            <w:noWrap/>
            <w:vAlign w:val="center"/>
          </w:tcPr>
          <w:p w14:paraId="1AC280A8"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104" w:type="dxa"/>
            <w:tcBorders>
              <w:top w:val="nil"/>
              <w:left w:val="nil"/>
              <w:bottom w:val="nil"/>
              <w:right w:val="single" w:sz="4" w:space="0" w:color="auto"/>
            </w:tcBorders>
            <w:vAlign w:val="center"/>
          </w:tcPr>
          <w:p w14:paraId="32CE61A2"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48" w:type="dxa"/>
            <w:tcBorders>
              <w:top w:val="nil"/>
              <w:left w:val="single" w:sz="4" w:space="0" w:color="auto"/>
              <w:bottom w:val="nil"/>
              <w:right w:val="single" w:sz="4" w:space="0" w:color="auto"/>
            </w:tcBorders>
            <w:shd w:val="clear" w:color="auto" w:fill="auto"/>
            <w:noWrap/>
            <w:vAlign w:val="center"/>
          </w:tcPr>
          <w:p w14:paraId="32844AF6"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995" w:type="dxa"/>
            <w:tcBorders>
              <w:top w:val="nil"/>
              <w:left w:val="nil"/>
              <w:bottom w:val="nil"/>
              <w:right w:val="single" w:sz="4" w:space="0" w:color="auto"/>
            </w:tcBorders>
            <w:shd w:val="clear" w:color="auto" w:fill="auto"/>
            <w:noWrap/>
            <w:vAlign w:val="center"/>
          </w:tcPr>
          <w:p w14:paraId="183C814F" w14:textId="77777777" w:rsidR="009F4E55" w:rsidRPr="006A755F" w:rsidRDefault="009F4E55" w:rsidP="002F4E6D">
            <w:pPr>
              <w:spacing w:after="0"/>
              <w:jc w:val="right"/>
              <w:rPr>
                <w:rFonts w:cstheme="minorHAnsi"/>
                <w:sz w:val="20"/>
                <w:szCs w:val="20"/>
              </w:rPr>
            </w:pPr>
            <w:r>
              <w:rPr>
                <w:rFonts w:cstheme="minorHAnsi"/>
                <w:sz w:val="20"/>
                <w:szCs w:val="20"/>
              </w:rPr>
              <w:t>0</w:t>
            </w:r>
            <w:r w:rsidRPr="006A755F">
              <w:rPr>
                <w:rFonts w:cstheme="minorHAnsi"/>
                <w:sz w:val="20"/>
                <w:szCs w:val="20"/>
              </w:rPr>
              <w:t>,</w:t>
            </w:r>
            <w:r>
              <w:rPr>
                <w:rFonts w:cstheme="minorHAnsi"/>
                <w:sz w:val="20"/>
                <w:szCs w:val="20"/>
              </w:rPr>
              <w:t>0</w:t>
            </w:r>
          </w:p>
        </w:tc>
      </w:tr>
      <w:tr w:rsidR="009F4E55" w:rsidRPr="006A755F" w14:paraId="19CFCFE7" w14:textId="77777777" w:rsidTr="002F4E6D">
        <w:trPr>
          <w:trHeight w:val="300"/>
          <w:tblHeader/>
        </w:trPr>
        <w:tc>
          <w:tcPr>
            <w:tcW w:w="3119" w:type="dxa"/>
            <w:tcBorders>
              <w:top w:val="nil"/>
              <w:left w:val="single" w:sz="4" w:space="0" w:color="auto"/>
              <w:bottom w:val="single" w:sz="4" w:space="0" w:color="auto"/>
              <w:right w:val="single" w:sz="4" w:space="0" w:color="auto"/>
            </w:tcBorders>
            <w:shd w:val="clear" w:color="000000" w:fill="FFFFFF"/>
            <w:vAlign w:val="bottom"/>
          </w:tcPr>
          <w:p w14:paraId="0852055F" w14:textId="77777777" w:rsidR="009F4E55" w:rsidRPr="006A755F" w:rsidRDefault="009F4E55" w:rsidP="002F4E6D">
            <w:pPr>
              <w:spacing w:after="0"/>
              <w:rPr>
                <w:rFonts w:cstheme="minorHAnsi"/>
                <w:sz w:val="20"/>
                <w:szCs w:val="20"/>
              </w:rPr>
            </w:pPr>
            <w:r w:rsidRPr="006A755F">
              <w:rPr>
                <w:rFonts w:cstheme="minorHAnsi"/>
                <w:sz w:val="20"/>
                <w:szCs w:val="20"/>
              </w:rPr>
              <w:t>Národní plán obnovy – Rozvoj čisté mobility (RRF)</w:t>
            </w:r>
          </w:p>
        </w:tc>
        <w:tc>
          <w:tcPr>
            <w:tcW w:w="1148" w:type="dxa"/>
            <w:tcBorders>
              <w:top w:val="nil"/>
              <w:left w:val="nil"/>
              <w:bottom w:val="single" w:sz="4" w:space="0" w:color="auto"/>
              <w:right w:val="single" w:sz="4" w:space="0" w:color="auto"/>
            </w:tcBorders>
            <w:shd w:val="clear" w:color="auto" w:fill="auto"/>
            <w:noWrap/>
            <w:vAlign w:val="center"/>
          </w:tcPr>
          <w:p w14:paraId="4DA4B0F4"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1275" w:type="dxa"/>
            <w:tcBorders>
              <w:top w:val="nil"/>
              <w:left w:val="nil"/>
              <w:bottom w:val="single" w:sz="4" w:space="0" w:color="auto"/>
              <w:right w:val="single" w:sz="4" w:space="0" w:color="auto"/>
            </w:tcBorders>
            <w:shd w:val="clear" w:color="auto" w:fill="auto"/>
            <w:noWrap/>
            <w:vAlign w:val="center"/>
          </w:tcPr>
          <w:p w14:paraId="42255742"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276" w:type="dxa"/>
            <w:tcBorders>
              <w:top w:val="nil"/>
              <w:left w:val="nil"/>
              <w:bottom w:val="single" w:sz="4" w:space="0" w:color="auto"/>
              <w:right w:val="single" w:sz="4" w:space="0" w:color="auto"/>
            </w:tcBorders>
            <w:shd w:val="clear" w:color="auto" w:fill="auto"/>
            <w:noWrap/>
            <w:vAlign w:val="center"/>
          </w:tcPr>
          <w:p w14:paraId="2D9157EB"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04" w:type="dxa"/>
            <w:tcBorders>
              <w:top w:val="nil"/>
              <w:left w:val="nil"/>
              <w:bottom w:val="single" w:sz="4" w:space="0" w:color="auto"/>
              <w:right w:val="single" w:sz="4" w:space="0" w:color="auto"/>
            </w:tcBorders>
            <w:vAlign w:val="center"/>
          </w:tcPr>
          <w:p w14:paraId="3BE69D26" w14:textId="77777777" w:rsidR="009F4E55" w:rsidRPr="006A755F" w:rsidRDefault="009F4E55" w:rsidP="002F4E6D">
            <w:pPr>
              <w:spacing w:after="0"/>
              <w:jc w:val="right"/>
              <w:rPr>
                <w:rFonts w:cstheme="minorHAnsi"/>
                <w:sz w:val="20"/>
                <w:szCs w:val="20"/>
              </w:rPr>
            </w:pPr>
            <w:r>
              <w:rPr>
                <w:rFonts w:cstheme="minorHAnsi"/>
                <w:sz w:val="20"/>
                <w:szCs w:val="20"/>
              </w:rPr>
              <w:t>0</w:t>
            </w:r>
          </w:p>
        </w:tc>
        <w:tc>
          <w:tcPr>
            <w:tcW w:w="1148" w:type="dxa"/>
            <w:tcBorders>
              <w:top w:val="nil"/>
              <w:left w:val="single" w:sz="4" w:space="0" w:color="auto"/>
              <w:bottom w:val="single" w:sz="4" w:space="0" w:color="auto"/>
              <w:right w:val="single" w:sz="4" w:space="0" w:color="auto"/>
            </w:tcBorders>
            <w:shd w:val="clear" w:color="auto" w:fill="auto"/>
            <w:noWrap/>
            <w:vAlign w:val="center"/>
          </w:tcPr>
          <w:p w14:paraId="19279F49" w14:textId="77777777" w:rsidR="009F4E55" w:rsidRPr="006A755F" w:rsidRDefault="009F4E55" w:rsidP="002F4E6D">
            <w:pPr>
              <w:spacing w:after="0"/>
              <w:jc w:val="right"/>
              <w:rPr>
                <w:rFonts w:cstheme="minorHAnsi"/>
                <w:sz w:val="20"/>
                <w:szCs w:val="20"/>
              </w:rPr>
            </w:pPr>
            <w:r w:rsidRPr="006A755F">
              <w:rPr>
                <w:rFonts w:cstheme="minorHAnsi"/>
                <w:sz w:val="20"/>
                <w:szCs w:val="20"/>
              </w:rPr>
              <w:t>0</w:t>
            </w:r>
          </w:p>
        </w:tc>
        <w:tc>
          <w:tcPr>
            <w:tcW w:w="995" w:type="dxa"/>
            <w:tcBorders>
              <w:top w:val="nil"/>
              <w:left w:val="nil"/>
              <w:bottom w:val="single" w:sz="4" w:space="0" w:color="auto"/>
              <w:right w:val="single" w:sz="4" w:space="0" w:color="auto"/>
            </w:tcBorders>
            <w:shd w:val="clear" w:color="auto" w:fill="auto"/>
            <w:noWrap/>
            <w:vAlign w:val="center"/>
          </w:tcPr>
          <w:p w14:paraId="20167D40" w14:textId="77777777" w:rsidR="009F4E55" w:rsidRPr="006A755F" w:rsidRDefault="009F4E55" w:rsidP="002F4E6D">
            <w:pPr>
              <w:spacing w:after="0"/>
              <w:jc w:val="right"/>
              <w:rPr>
                <w:rFonts w:cstheme="minorHAnsi"/>
                <w:sz w:val="20"/>
                <w:szCs w:val="20"/>
              </w:rPr>
            </w:pPr>
            <w:r w:rsidRPr="006A755F">
              <w:rPr>
                <w:rFonts w:cstheme="minorHAnsi"/>
                <w:sz w:val="20"/>
                <w:szCs w:val="20"/>
              </w:rPr>
              <w:t>x</w:t>
            </w:r>
          </w:p>
        </w:tc>
      </w:tr>
    </w:tbl>
    <w:p w14:paraId="692EA9A1" w14:textId="243DBBE8" w:rsidR="00C1085D" w:rsidRPr="006B6D61" w:rsidRDefault="00C1085D" w:rsidP="008A0E44">
      <w:pPr>
        <w:pStyle w:val="KOMnadp4"/>
      </w:pPr>
      <w:r w:rsidRPr="006B6D61">
        <w:t>Neinvestiční transfery podnikatelským subjektům</w:t>
      </w:r>
    </w:p>
    <w:p w14:paraId="19809AB2" w14:textId="679F6691" w:rsidR="00A569E0" w:rsidRPr="006B6D61" w:rsidRDefault="00A569E0" w:rsidP="00BA4E5A">
      <w:pPr>
        <w:pStyle w:val="KOMnadp5"/>
        <w:rPr>
          <w:color w:val="auto"/>
        </w:rPr>
      </w:pPr>
      <w:r w:rsidRPr="006B6D61">
        <w:rPr>
          <w:color w:val="auto"/>
        </w:rPr>
        <w:t>Úhrada ztráty ze závazku veřejné služby ve veřejné drážní osobní dopravě</w:t>
      </w:r>
    </w:p>
    <w:p w14:paraId="50776174" w14:textId="77777777" w:rsidR="00E81F1F" w:rsidRPr="006A755F" w:rsidRDefault="00A569E0" w:rsidP="00E81F1F">
      <w:pPr>
        <w:pStyle w:val="KOMtext"/>
      </w:pPr>
      <w:r w:rsidRPr="00955C44">
        <w:t xml:space="preserve">Ministerstvo dopravy hradí v souladu s § 4 odst. 1 zákona č. 194/2010 Sb., o veřejných službách v přepravě cestujících a o změně dalších zákonů, vyrovnání spojené s plněním </w:t>
      </w:r>
      <w:r w:rsidRPr="006A755F">
        <w:t xml:space="preserve">závazku veřejné služby v drážní dopravě k zabezpečení dopravních potřeb státu (vlaky celostátní dopravy, které mají nadregionální nebo mezinárodní charakter). </w:t>
      </w:r>
    </w:p>
    <w:p w14:paraId="0EE273BD" w14:textId="77777777" w:rsidR="00E81F1F" w:rsidRPr="006A755F" w:rsidRDefault="00E81F1F" w:rsidP="00E81F1F">
      <w:pPr>
        <w:pStyle w:val="KOMtext"/>
      </w:pPr>
      <w:r w:rsidRPr="006A755F">
        <w:lastRenderedPageBreak/>
        <w:t xml:space="preserve">Na financování smlouvy o závazku veřejné služby na zajištění dopravních potřeb státu zabezpečovaných veřejnou železniční osobní dopravou byla ve schváleném státním rozpočtu vyčleněna částka </w:t>
      </w:r>
      <w:r>
        <w:t>7 219 105</w:t>
      </w:r>
      <w:r w:rsidRPr="006A755F">
        <w:t xml:space="preserve"> tis. Kč. Závazek veřejné služby k zabezpečení dopravních potřeb státu byl uzavřen následovně:</w:t>
      </w:r>
    </w:p>
    <w:p w14:paraId="207ECFE9" w14:textId="77777777" w:rsidR="00E81F1F" w:rsidRPr="006A755F" w:rsidRDefault="00E81F1F" w:rsidP="00E54955">
      <w:pPr>
        <w:pStyle w:val="KOModrky"/>
        <w:numPr>
          <w:ilvl w:val="0"/>
          <w:numId w:val="33"/>
        </w:numPr>
        <w:spacing w:line="276" w:lineRule="auto"/>
      </w:pPr>
      <w:r w:rsidRPr="006A755F">
        <w:t>ARRIVA vlaky, s.r.o., na linkách R21 Praha – Mladá Boleslav – Turnov – Tanvald a R22 Kolín – Mladá Boleslav – Česká Lípa – Nový Bor, R24 Praha – Rakovník na základě jedné smlouvy (dále jen „R21 Praha – Tanvald“);</w:t>
      </w:r>
    </w:p>
    <w:p w14:paraId="3BFAE49A" w14:textId="77777777" w:rsidR="00E81F1F" w:rsidRPr="006A755F" w:rsidRDefault="00E81F1F" w:rsidP="00E54955">
      <w:pPr>
        <w:pStyle w:val="KOModrky"/>
        <w:numPr>
          <w:ilvl w:val="0"/>
          <w:numId w:val="33"/>
        </w:numPr>
        <w:spacing w:line="276" w:lineRule="auto"/>
      </w:pPr>
      <w:r w:rsidRPr="006A755F">
        <w:t xml:space="preserve">ARRIVA vlaky, s.r.o., na lince R14 Pardubice – Liberec – Ústí nad Labem; </w:t>
      </w:r>
    </w:p>
    <w:p w14:paraId="2320C250" w14:textId="77777777" w:rsidR="00E81F1F" w:rsidRPr="006A755F" w:rsidRDefault="00E81F1F" w:rsidP="00E54955">
      <w:pPr>
        <w:pStyle w:val="KOModrky"/>
        <w:numPr>
          <w:ilvl w:val="0"/>
          <w:numId w:val="33"/>
        </w:numPr>
        <w:spacing w:line="276" w:lineRule="auto"/>
      </w:pPr>
      <w:r w:rsidRPr="006A755F">
        <w:t>ARRIVA vlaky, s.r.o., na lince R26 Praha – Příbram – Písek – České Budějovice</w:t>
      </w:r>
    </w:p>
    <w:p w14:paraId="3ACB2CC9" w14:textId="77777777" w:rsidR="00E81F1F" w:rsidRPr="006A755F" w:rsidRDefault="00E81F1F" w:rsidP="00E54955">
      <w:pPr>
        <w:pStyle w:val="KOModrky"/>
        <w:numPr>
          <w:ilvl w:val="0"/>
          <w:numId w:val="33"/>
        </w:numPr>
        <w:spacing w:line="276" w:lineRule="auto"/>
      </w:pPr>
      <w:r w:rsidRPr="006A755F">
        <w:t>RegioJet, a. s., na lince R8 Brno – Ostrava – Bohumín (dále jen „R8 Brno – Bohumín“);</w:t>
      </w:r>
    </w:p>
    <w:p w14:paraId="1F81FDED" w14:textId="77777777" w:rsidR="00E81F1F" w:rsidRPr="006A755F" w:rsidRDefault="00E81F1F" w:rsidP="00E54955">
      <w:pPr>
        <w:pStyle w:val="KOModrky"/>
        <w:numPr>
          <w:ilvl w:val="0"/>
          <w:numId w:val="33"/>
        </w:numPr>
        <w:spacing w:line="276" w:lineRule="auto"/>
      </w:pPr>
      <w:r w:rsidRPr="006A755F">
        <w:t>RegioJet, a. s., na lince R23 Kolín – Ústí nad Labem;</w:t>
      </w:r>
    </w:p>
    <w:p w14:paraId="58F73DF2" w14:textId="77777777" w:rsidR="00E81F1F" w:rsidRPr="006A755F" w:rsidRDefault="00E81F1F" w:rsidP="00E54955">
      <w:pPr>
        <w:pStyle w:val="KOModrky"/>
        <w:numPr>
          <w:ilvl w:val="0"/>
          <w:numId w:val="33"/>
        </w:numPr>
        <w:spacing w:line="276" w:lineRule="auto"/>
      </w:pPr>
      <w:r w:rsidRPr="006A755F">
        <w:t xml:space="preserve">GW Trans </w:t>
      </w:r>
      <w:proofErr w:type="spellStart"/>
      <w:r w:rsidRPr="006A755F">
        <w:t>Regio</w:t>
      </w:r>
      <w:proofErr w:type="spellEnd"/>
      <w:r w:rsidRPr="006A755F">
        <w:t>, a. s., na lince R25 Plzeň – Most;</w:t>
      </w:r>
    </w:p>
    <w:p w14:paraId="20104661" w14:textId="77777777" w:rsidR="00E81F1F" w:rsidRPr="006A755F" w:rsidRDefault="00E81F1F" w:rsidP="00E54955">
      <w:pPr>
        <w:pStyle w:val="KOModrky"/>
        <w:numPr>
          <w:ilvl w:val="0"/>
          <w:numId w:val="33"/>
        </w:numPr>
        <w:spacing w:line="276" w:lineRule="auto"/>
      </w:pPr>
      <w:r w:rsidRPr="006A755F">
        <w:t>České dráhy, a. s., na lince R9 Praha – Havlíčkův Brod – Brno/Jihlava (dále jen „R9 Praha – Havlíčkův Brod – Brno“);</w:t>
      </w:r>
    </w:p>
    <w:p w14:paraId="2B68CC6F" w14:textId="77777777" w:rsidR="00E81F1F" w:rsidRPr="006A755F" w:rsidRDefault="00E81F1F" w:rsidP="00E54955">
      <w:pPr>
        <w:pStyle w:val="KOModrky"/>
        <w:numPr>
          <w:ilvl w:val="0"/>
          <w:numId w:val="33"/>
        </w:numPr>
        <w:spacing w:line="276" w:lineRule="auto"/>
      </w:pPr>
      <w:r w:rsidRPr="006A755F">
        <w:t>České dráhy, a. s., na lince R10 Praha – Hradec Králové – Trutnov;</w:t>
      </w:r>
    </w:p>
    <w:p w14:paraId="6E7785F4" w14:textId="77777777" w:rsidR="00E81F1F" w:rsidRPr="006A755F" w:rsidRDefault="00E81F1F" w:rsidP="00E54955">
      <w:pPr>
        <w:pStyle w:val="KOModrky"/>
        <w:numPr>
          <w:ilvl w:val="0"/>
          <w:numId w:val="33"/>
        </w:numPr>
        <w:spacing w:line="276" w:lineRule="auto"/>
      </w:pPr>
      <w:r w:rsidRPr="006A755F">
        <w:t>České dráhy, a. s., na lince R29 Cheb – Cheb státní hranice (dále jen R29 Cheb – SRN“);</w:t>
      </w:r>
    </w:p>
    <w:p w14:paraId="7A5AD45A" w14:textId="77777777" w:rsidR="00E81F1F" w:rsidRPr="006A755F" w:rsidRDefault="00E81F1F" w:rsidP="00E54955">
      <w:pPr>
        <w:pStyle w:val="KOModrky"/>
        <w:numPr>
          <w:ilvl w:val="0"/>
          <w:numId w:val="33"/>
        </w:numPr>
        <w:spacing w:line="276" w:lineRule="auto"/>
      </w:pPr>
      <w:r w:rsidRPr="006A755F">
        <w:t>České dráhy, a. s., na linky Ex2 Praha – Olomouc – (Slovensko) a R18 Praha – Olomouc – Luhačovice (dále jen Ex2 Praha – SK“);</w:t>
      </w:r>
    </w:p>
    <w:p w14:paraId="0991847F" w14:textId="77777777" w:rsidR="00E81F1F" w:rsidRPr="006A755F" w:rsidRDefault="00E81F1F" w:rsidP="00E54955">
      <w:pPr>
        <w:pStyle w:val="KOModrky"/>
        <w:numPr>
          <w:ilvl w:val="0"/>
          <w:numId w:val="33"/>
        </w:numPr>
        <w:spacing w:line="276" w:lineRule="auto"/>
      </w:pPr>
      <w:r w:rsidRPr="006A755F">
        <w:t xml:space="preserve">České dráhy, a. s., na linky Ex1, Ex3-Ex7, R9-R12, R14B, R15-R17, R19, R20, R23 </w:t>
      </w:r>
      <w:r w:rsidRPr="006A755F">
        <w:br/>
        <w:t>a R27 (dále jen „ostatní potřeby státu“);</w:t>
      </w:r>
    </w:p>
    <w:p w14:paraId="2E94C318" w14:textId="77777777" w:rsidR="00E81F1F" w:rsidRPr="006A755F" w:rsidRDefault="00E81F1F" w:rsidP="00E54955">
      <w:pPr>
        <w:pStyle w:val="KOModrky"/>
        <w:numPr>
          <w:ilvl w:val="0"/>
          <w:numId w:val="33"/>
        </w:numPr>
        <w:spacing w:line="276" w:lineRule="auto"/>
      </w:pPr>
      <w:r w:rsidRPr="006A755F">
        <w:t>České dráhy, a. s., na lince R27 Ostrava – Opava – Krnov – Olomouc;</w:t>
      </w:r>
    </w:p>
    <w:p w14:paraId="1C0D4A16" w14:textId="77777777" w:rsidR="00E81F1F" w:rsidRDefault="00E81F1F" w:rsidP="00E54955">
      <w:pPr>
        <w:pStyle w:val="KOModrky"/>
        <w:numPr>
          <w:ilvl w:val="0"/>
          <w:numId w:val="33"/>
        </w:numPr>
        <w:spacing w:line="276" w:lineRule="auto"/>
      </w:pPr>
      <w:r w:rsidRPr="006A755F">
        <w:t>České dráhy, a. s., na lince R13 Brno – Břeclav – Olomouc</w:t>
      </w:r>
      <w:r>
        <w:t>;</w:t>
      </w:r>
    </w:p>
    <w:p w14:paraId="44DFE3B7" w14:textId="77777777" w:rsidR="00E81F1F" w:rsidRPr="006A755F" w:rsidRDefault="00E81F1F" w:rsidP="00E54955">
      <w:pPr>
        <w:pStyle w:val="KOModrky"/>
        <w:numPr>
          <w:ilvl w:val="0"/>
          <w:numId w:val="33"/>
        </w:numPr>
        <w:spacing w:line="276" w:lineRule="auto"/>
      </w:pPr>
      <w:r>
        <w:t>České dráhy, a. s., na lince R33 Cheb – Německo</w:t>
      </w:r>
      <w:r w:rsidRPr="006A755F">
        <w:t>.</w:t>
      </w:r>
    </w:p>
    <w:p w14:paraId="5C2FC662" w14:textId="77777777" w:rsidR="00E81F1F" w:rsidRPr="006A755F" w:rsidRDefault="00E81F1F" w:rsidP="00E81F1F">
      <w:pPr>
        <w:pStyle w:val="KOMtext"/>
        <w:rPr>
          <w:szCs w:val="24"/>
        </w:rPr>
      </w:pPr>
      <w:r w:rsidRPr="006A755F">
        <w:t xml:space="preserve">Úhrada ztráty ze závazku </w:t>
      </w:r>
      <w:r w:rsidRPr="006A755F">
        <w:rPr>
          <w:szCs w:val="24"/>
        </w:rPr>
        <w:t>veřejné služby ve veřejné drážní osobní dopravě byla k 31. 12. 202</w:t>
      </w:r>
      <w:r>
        <w:rPr>
          <w:szCs w:val="24"/>
        </w:rPr>
        <w:t>3</w:t>
      </w:r>
      <w:r w:rsidRPr="006A755F">
        <w:rPr>
          <w:szCs w:val="24"/>
        </w:rPr>
        <w:t xml:space="preserve"> čerpána ve výši </w:t>
      </w:r>
      <w:r>
        <w:rPr>
          <w:szCs w:val="24"/>
        </w:rPr>
        <w:t>6 170 278</w:t>
      </w:r>
      <w:r w:rsidRPr="006A755F">
        <w:rPr>
          <w:szCs w:val="24"/>
        </w:rPr>
        <w:t xml:space="preserve"> tis. Kč, tj. </w:t>
      </w:r>
      <w:r>
        <w:rPr>
          <w:szCs w:val="24"/>
        </w:rPr>
        <w:t>85,5</w:t>
      </w:r>
      <w:r w:rsidRPr="006A755F">
        <w:rPr>
          <w:szCs w:val="24"/>
        </w:rPr>
        <w:t xml:space="preserve"> % schváleného rozpočtu. Částka je rozdělena na samostatné smluvní závazky následovně:</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1E0" w:firstRow="1" w:lastRow="1" w:firstColumn="1" w:lastColumn="1" w:noHBand="0" w:noVBand="0"/>
      </w:tblPr>
      <w:tblGrid>
        <w:gridCol w:w="4480"/>
        <w:gridCol w:w="1706"/>
      </w:tblGrid>
      <w:tr w:rsidR="00E81F1F" w:rsidRPr="006A755F" w14:paraId="60ABE6BC" w14:textId="77777777" w:rsidTr="002F4E6D">
        <w:trPr>
          <w:jc w:val="center"/>
        </w:trPr>
        <w:tc>
          <w:tcPr>
            <w:tcW w:w="0" w:type="auto"/>
            <w:tcBorders>
              <w:top w:val="single" w:sz="12" w:space="0" w:color="auto"/>
              <w:left w:val="single" w:sz="12" w:space="0" w:color="auto"/>
              <w:bottom w:val="single" w:sz="12" w:space="0" w:color="auto"/>
            </w:tcBorders>
            <w:shd w:val="clear" w:color="auto" w:fill="D9D9D9" w:themeFill="background1" w:themeFillShade="D9"/>
          </w:tcPr>
          <w:p w14:paraId="2FDA94D0" w14:textId="77777777" w:rsidR="00E81F1F" w:rsidRPr="006A755F" w:rsidRDefault="00E81F1F" w:rsidP="002F4E6D">
            <w:pPr>
              <w:spacing w:after="0"/>
              <w:jc w:val="center"/>
              <w:rPr>
                <w:b/>
                <w:szCs w:val="20"/>
              </w:rPr>
            </w:pPr>
            <w:r w:rsidRPr="006A755F">
              <w:rPr>
                <w:b/>
                <w:szCs w:val="20"/>
              </w:rPr>
              <w:t>Smluvní závazky</w:t>
            </w:r>
          </w:p>
        </w:tc>
        <w:tc>
          <w:tcPr>
            <w:tcW w:w="0" w:type="auto"/>
            <w:tcBorders>
              <w:top w:val="single" w:sz="12" w:space="0" w:color="auto"/>
              <w:bottom w:val="single" w:sz="12" w:space="0" w:color="auto"/>
              <w:right w:val="single" w:sz="12" w:space="0" w:color="auto"/>
            </w:tcBorders>
            <w:shd w:val="clear" w:color="auto" w:fill="D9D9D9" w:themeFill="background1" w:themeFillShade="D9"/>
          </w:tcPr>
          <w:p w14:paraId="6F8BC906" w14:textId="77777777" w:rsidR="00E81F1F" w:rsidRPr="006A755F" w:rsidRDefault="00E81F1F" w:rsidP="002F4E6D">
            <w:pPr>
              <w:spacing w:after="0"/>
              <w:jc w:val="center"/>
              <w:rPr>
                <w:b/>
                <w:szCs w:val="20"/>
              </w:rPr>
            </w:pPr>
            <w:r w:rsidRPr="006A755F">
              <w:rPr>
                <w:b/>
                <w:szCs w:val="20"/>
              </w:rPr>
              <w:t>Uhrazeno</w:t>
            </w:r>
          </w:p>
        </w:tc>
      </w:tr>
      <w:tr w:rsidR="00E81F1F" w:rsidRPr="006A755F" w14:paraId="44FE61D5" w14:textId="77777777" w:rsidTr="002F4E6D">
        <w:trPr>
          <w:jc w:val="center"/>
        </w:trPr>
        <w:tc>
          <w:tcPr>
            <w:tcW w:w="0" w:type="auto"/>
            <w:tcBorders>
              <w:top w:val="single" w:sz="12" w:space="0" w:color="auto"/>
              <w:left w:val="single" w:sz="12" w:space="0" w:color="auto"/>
            </w:tcBorders>
            <w:shd w:val="clear" w:color="auto" w:fill="auto"/>
          </w:tcPr>
          <w:p w14:paraId="3DBFA85E" w14:textId="77777777" w:rsidR="00E81F1F" w:rsidRPr="006A755F" w:rsidRDefault="00E81F1F" w:rsidP="002F4E6D">
            <w:pPr>
              <w:rPr>
                <w:szCs w:val="20"/>
              </w:rPr>
            </w:pPr>
            <w:r w:rsidRPr="006A755F">
              <w:rPr>
                <w:szCs w:val="20"/>
              </w:rPr>
              <w:t>R25 Plzeň – Most</w:t>
            </w:r>
          </w:p>
        </w:tc>
        <w:tc>
          <w:tcPr>
            <w:tcW w:w="0" w:type="auto"/>
            <w:tcBorders>
              <w:top w:val="single" w:sz="12" w:space="0" w:color="auto"/>
              <w:right w:val="single" w:sz="12" w:space="0" w:color="auto"/>
            </w:tcBorders>
            <w:shd w:val="clear" w:color="auto" w:fill="auto"/>
          </w:tcPr>
          <w:p w14:paraId="7CAAF177" w14:textId="77777777" w:rsidR="00E81F1F" w:rsidRPr="006A755F" w:rsidRDefault="00E81F1F" w:rsidP="002F4E6D">
            <w:pPr>
              <w:jc w:val="right"/>
            </w:pPr>
            <w:r>
              <w:t>39 425 tis. Kč</w:t>
            </w:r>
          </w:p>
        </w:tc>
      </w:tr>
      <w:tr w:rsidR="00E81F1F" w:rsidRPr="006A755F" w14:paraId="156CC830" w14:textId="77777777" w:rsidTr="002F4E6D">
        <w:trPr>
          <w:jc w:val="center"/>
        </w:trPr>
        <w:tc>
          <w:tcPr>
            <w:tcW w:w="0" w:type="auto"/>
            <w:tcBorders>
              <w:left w:val="single" w:sz="12" w:space="0" w:color="auto"/>
            </w:tcBorders>
            <w:shd w:val="clear" w:color="auto" w:fill="auto"/>
          </w:tcPr>
          <w:p w14:paraId="6DFC0F1A" w14:textId="77777777" w:rsidR="00E81F1F" w:rsidRPr="006A755F" w:rsidRDefault="00E81F1F" w:rsidP="002F4E6D">
            <w:pPr>
              <w:rPr>
                <w:szCs w:val="20"/>
              </w:rPr>
            </w:pPr>
            <w:r w:rsidRPr="006A755F">
              <w:rPr>
                <w:szCs w:val="20"/>
              </w:rPr>
              <w:t xml:space="preserve">R21 </w:t>
            </w:r>
            <w:proofErr w:type="gramStart"/>
            <w:r w:rsidRPr="006A755F">
              <w:rPr>
                <w:szCs w:val="20"/>
              </w:rPr>
              <w:t>Praha - Tanvald</w:t>
            </w:r>
            <w:proofErr w:type="gramEnd"/>
          </w:p>
        </w:tc>
        <w:tc>
          <w:tcPr>
            <w:tcW w:w="0" w:type="auto"/>
            <w:tcBorders>
              <w:right w:val="single" w:sz="12" w:space="0" w:color="auto"/>
            </w:tcBorders>
            <w:shd w:val="clear" w:color="auto" w:fill="auto"/>
          </w:tcPr>
          <w:p w14:paraId="79DC59C5" w14:textId="77777777" w:rsidR="00E81F1F" w:rsidRPr="006A755F" w:rsidRDefault="00E81F1F" w:rsidP="002F4E6D">
            <w:pPr>
              <w:jc w:val="right"/>
            </w:pPr>
            <w:r>
              <w:t>254 983 tis. Kč</w:t>
            </w:r>
          </w:p>
        </w:tc>
      </w:tr>
      <w:tr w:rsidR="00E81F1F" w:rsidRPr="006A755F" w14:paraId="14EF210E" w14:textId="77777777" w:rsidTr="002F4E6D">
        <w:trPr>
          <w:jc w:val="center"/>
        </w:trPr>
        <w:tc>
          <w:tcPr>
            <w:tcW w:w="0" w:type="auto"/>
            <w:tcBorders>
              <w:left w:val="single" w:sz="12" w:space="0" w:color="auto"/>
            </w:tcBorders>
            <w:shd w:val="clear" w:color="auto" w:fill="auto"/>
          </w:tcPr>
          <w:p w14:paraId="0948A964" w14:textId="77777777" w:rsidR="00E81F1F" w:rsidRPr="006A755F" w:rsidRDefault="00E81F1F" w:rsidP="002F4E6D">
            <w:pPr>
              <w:rPr>
                <w:szCs w:val="20"/>
              </w:rPr>
            </w:pPr>
            <w:r w:rsidRPr="006A755F">
              <w:rPr>
                <w:szCs w:val="20"/>
              </w:rPr>
              <w:t>R14 Pardubice – Liberec – Ústí nad Labem</w:t>
            </w:r>
          </w:p>
        </w:tc>
        <w:tc>
          <w:tcPr>
            <w:tcW w:w="0" w:type="auto"/>
            <w:tcBorders>
              <w:right w:val="single" w:sz="12" w:space="0" w:color="auto"/>
            </w:tcBorders>
            <w:shd w:val="clear" w:color="auto" w:fill="auto"/>
          </w:tcPr>
          <w:p w14:paraId="43970D89" w14:textId="77777777" w:rsidR="00E81F1F" w:rsidRPr="006A755F" w:rsidRDefault="00E81F1F" w:rsidP="002F4E6D">
            <w:pPr>
              <w:jc w:val="right"/>
            </w:pPr>
            <w:r>
              <w:t>200 636 tis. Kč</w:t>
            </w:r>
          </w:p>
        </w:tc>
      </w:tr>
      <w:tr w:rsidR="00E81F1F" w:rsidRPr="006A755F" w14:paraId="65D99215" w14:textId="77777777" w:rsidTr="002F4E6D">
        <w:trPr>
          <w:jc w:val="center"/>
        </w:trPr>
        <w:tc>
          <w:tcPr>
            <w:tcW w:w="0" w:type="auto"/>
            <w:tcBorders>
              <w:left w:val="single" w:sz="12" w:space="0" w:color="auto"/>
            </w:tcBorders>
            <w:shd w:val="clear" w:color="auto" w:fill="auto"/>
          </w:tcPr>
          <w:p w14:paraId="34D3D939" w14:textId="77777777" w:rsidR="00E81F1F" w:rsidRPr="006A755F" w:rsidRDefault="00E81F1F" w:rsidP="002F4E6D">
            <w:pPr>
              <w:rPr>
                <w:szCs w:val="20"/>
              </w:rPr>
            </w:pPr>
            <w:r w:rsidRPr="006A755F">
              <w:rPr>
                <w:szCs w:val="20"/>
              </w:rPr>
              <w:t>R26 Praha – Příbram – Písek – České Budějovice</w:t>
            </w:r>
          </w:p>
        </w:tc>
        <w:tc>
          <w:tcPr>
            <w:tcW w:w="0" w:type="auto"/>
            <w:tcBorders>
              <w:right w:val="single" w:sz="12" w:space="0" w:color="auto"/>
            </w:tcBorders>
            <w:shd w:val="clear" w:color="auto" w:fill="auto"/>
          </w:tcPr>
          <w:p w14:paraId="3E412FF5" w14:textId="77777777" w:rsidR="00E81F1F" w:rsidRPr="006A755F" w:rsidRDefault="00E81F1F" w:rsidP="002F4E6D">
            <w:pPr>
              <w:jc w:val="right"/>
            </w:pPr>
            <w:r>
              <w:t>73 630 tis. Kč</w:t>
            </w:r>
          </w:p>
        </w:tc>
      </w:tr>
      <w:tr w:rsidR="00E81F1F" w:rsidRPr="006A755F" w14:paraId="78CFEEC3" w14:textId="77777777" w:rsidTr="002F4E6D">
        <w:trPr>
          <w:jc w:val="center"/>
        </w:trPr>
        <w:tc>
          <w:tcPr>
            <w:tcW w:w="0" w:type="auto"/>
            <w:tcBorders>
              <w:left w:val="single" w:sz="12" w:space="0" w:color="auto"/>
            </w:tcBorders>
            <w:shd w:val="clear" w:color="auto" w:fill="auto"/>
          </w:tcPr>
          <w:p w14:paraId="66C625CA" w14:textId="77777777" w:rsidR="00E81F1F" w:rsidRPr="006A755F" w:rsidRDefault="00E81F1F" w:rsidP="002F4E6D">
            <w:pPr>
              <w:rPr>
                <w:szCs w:val="20"/>
              </w:rPr>
            </w:pPr>
            <w:r w:rsidRPr="006A755F">
              <w:rPr>
                <w:szCs w:val="20"/>
              </w:rPr>
              <w:lastRenderedPageBreak/>
              <w:t xml:space="preserve">R8 </w:t>
            </w:r>
            <w:proofErr w:type="gramStart"/>
            <w:r w:rsidRPr="006A755F">
              <w:rPr>
                <w:szCs w:val="20"/>
              </w:rPr>
              <w:t>Brno - Bohumín</w:t>
            </w:r>
            <w:proofErr w:type="gramEnd"/>
          </w:p>
        </w:tc>
        <w:tc>
          <w:tcPr>
            <w:tcW w:w="0" w:type="auto"/>
            <w:tcBorders>
              <w:right w:val="single" w:sz="12" w:space="0" w:color="auto"/>
            </w:tcBorders>
            <w:shd w:val="clear" w:color="auto" w:fill="auto"/>
          </w:tcPr>
          <w:p w14:paraId="5AA4A161" w14:textId="77777777" w:rsidR="00E81F1F" w:rsidRPr="006A755F" w:rsidRDefault="00E81F1F" w:rsidP="002F4E6D">
            <w:pPr>
              <w:jc w:val="right"/>
            </w:pPr>
            <w:r>
              <w:t>343 155 tis. Kč</w:t>
            </w:r>
          </w:p>
        </w:tc>
      </w:tr>
      <w:tr w:rsidR="00E81F1F" w:rsidRPr="006A755F" w14:paraId="403B637A" w14:textId="77777777" w:rsidTr="002F4E6D">
        <w:trPr>
          <w:jc w:val="center"/>
        </w:trPr>
        <w:tc>
          <w:tcPr>
            <w:tcW w:w="0" w:type="auto"/>
            <w:tcBorders>
              <w:left w:val="single" w:sz="12" w:space="0" w:color="auto"/>
            </w:tcBorders>
            <w:shd w:val="clear" w:color="auto" w:fill="auto"/>
          </w:tcPr>
          <w:p w14:paraId="5C079797" w14:textId="77777777" w:rsidR="00E81F1F" w:rsidRPr="006A755F" w:rsidRDefault="00E81F1F" w:rsidP="002F4E6D">
            <w:pPr>
              <w:rPr>
                <w:szCs w:val="20"/>
              </w:rPr>
            </w:pPr>
            <w:r w:rsidRPr="006A755F">
              <w:t>R23 Kolín – Ústí nad Labem</w:t>
            </w:r>
          </w:p>
        </w:tc>
        <w:tc>
          <w:tcPr>
            <w:tcW w:w="0" w:type="auto"/>
            <w:tcBorders>
              <w:right w:val="single" w:sz="12" w:space="0" w:color="auto"/>
            </w:tcBorders>
            <w:shd w:val="clear" w:color="auto" w:fill="auto"/>
          </w:tcPr>
          <w:p w14:paraId="2A4F534C" w14:textId="77777777" w:rsidR="00E81F1F" w:rsidRPr="006A755F" w:rsidRDefault="00E81F1F" w:rsidP="002F4E6D">
            <w:pPr>
              <w:jc w:val="right"/>
            </w:pPr>
            <w:r>
              <w:t>67 932 tis. Kč</w:t>
            </w:r>
          </w:p>
        </w:tc>
      </w:tr>
      <w:tr w:rsidR="00E81F1F" w:rsidRPr="006A755F" w14:paraId="01B8F737" w14:textId="77777777" w:rsidTr="002F4E6D">
        <w:trPr>
          <w:jc w:val="center"/>
        </w:trPr>
        <w:tc>
          <w:tcPr>
            <w:tcW w:w="0" w:type="auto"/>
            <w:tcBorders>
              <w:left w:val="single" w:sz="12" w:space="0" w:color="auto"/>
            </w:tcBorders>
            <w:shd w:val="clear" w:color="auto" w:fill="auto"/>
          </w:tcPr>
          <w:p w14:paraId="41640321" w14:textId="77777777" w:rsidR="00E81F1F" w:rsidRPr="006A755F" w:rsidRDefault="00E81F1F" w:rsidP="002F4E6D">
            <w:pPr>
              <w:rPr>
                <w:szCs w:val="20"/>
              </w:rPr>
            </w:pPr>
            <w:r w:rsidRPr="006A755F">
              <w:t>R9 Praha – Havlíčkův Brod – Brno</w:t>
            </w:r>
          </w:p>
        </w:tc>
        <w:tc>
          <w:tcPr>
            <w:tcW w:w="0" w:type="auto"/>
            <w:tcBorders>
              <w:right w:val="single" w:sz="12" w:space="0" w:color="auto"/>
            </w:tcBorders>
            <w:shd w:val="clear" w:color="auto" w:fill="auto"/>
          </w:tcPr>
          <w:p w14:paraId="34D8F197" w14:textId="77777777" w:rsidR="00E81F1F" w:rsidRPr="006A755F" w:rsidRDefault="00E81F1F" w:rsidP="002F4E6D">
            <w:pPr>
              <w:jc w:val="right"/>
            </w:pPr>
            <w:r>
              <w:t>240 648 tis. Kč</w:t>
            </w:r>
          </w:p>
        </w:tc>
      </w:tr>
      <w:tr w:rsidR="00E81F1F" w:rsidRPr="006A755F" w14:paraId="46EE9C79" w14:textId="77777777" w:rsidTr="002F4E6D">
        <w:trPr>
          <w:jc w:val="center"/>
        </w:trPr>
        <w:tc>
          <w:tcPr>
            <w:tcW w:w="0" w:type="auto"/>
            <w:tcBorders>
              <w:left w:val="single" w:sz="12" w:space="0" w:color="auto"/>
            </w:tcBorders>
            <w:shd w:val="clear" w:color="auto" w:fill="auto"/>
          </w:tcPr>
          <w:p w14:paraId="2FF0A5CA" w14:textId="77777777" w:rsidR="00E81F1F" w:rsidRPr="006A755F" w:rsidRDefault="00E81F1F" w:rsidP="002F4E6D">
            <w:r w:rsidRPr="006A755F">
              <w:t>R10 Praha – Hradec Králové – Trutnov</w:t>
            </w:r>
          </w:p>
        </w:tc>
        <w:tc>
          <w:tcPr>
            <w:tcW w:w="0" w:type="auto"/>
            <w:tcBorders>
              <w:right w:val="single" w:sz="12" w:space="0" w:color="auto"/>
            </w:tcBorders>
            <w:shd w:val="clear" w:color="auto" w:fill="auto"/>
          </w:tcPr>
          <w:p w14:paraId="3E1501B0" w14:textId="77777777" w:rsidR="00E81F1F" w:rsidRPr="006A755F" w:rsidRDefault="00E81F1F" w:rsidP="002F4E6D">
            <w:pPr>
              <w:jc w:val="right"/>
            </w:pPr>
            <w:r>
              <w:t>353 378 tis. Kč</w:t>
            </w:r>
          </w:p>
        </w:tc>
      </w:tr>
      <w:tr w:rsidR="00E81F1F" w:rsidRPr="006A755F" w14:paraId="334E74E6" w14:textId="77777777" w:rsidTr="002F4E6D">
        <w:trPr>
          <w:jc w:val="center"/>
        </w:trPr>
        <w:tc>
          <w:tcPr>
            <w:tcW w:w="0" w:type="auto"/>
            <w:tcBorders>
              <w:left w:val="single" w:sz="12" w:space="0" w:color="auto"/>
            </w:tcBorders>
            <w:shd w:val="clear" w:color="auto" w:fill="auto"/>
          </w:tcPr>
          <w:p w14:paraId="4AF59823" w14:textId="77777777" w:rsidR="00E81F1F" w:rsidRPr="006A755F" w:rsidRDefault="00E81F1F" w:rsidP="002F4E6D">
            <w:pPr>
              <w:rPr>
                <w:szCs w:val="20"/>
              </w:rPr>
            </w:pPr>
            <w:r w:rsidRPr="006A755F">
              <w:rPr>
                <w:szCs w:val="20"/>
              </w:rPr>
              <w:t xml:space="preserve">R13 Brno – </w:t>
            </w:r>
            <w:proofErr w:type="gramStart"/>
            <w:r w:rsidRPr="006A755F">
              <w:rPr>
                <w:szCs w:val="20"/>
              </w:rPr>
              <w:t>Břeclav - Olomouc</w:t>
            </w:r>
            <w:proofErr w:type="gramEnd"/>
          </w:p>
        </w:tc>
        <w:tc>
          <w:tcPr>
            <w:tcW w:w="0" w:type="auto"/>
            <w:tcBorders>
              <w:right w:val="single" w:sz="12" w:space="0" w:color="auto"/>
            </w:tcBorders>
            <w:shd w:val="clear" w:color="auto" w:fill="auto"/>
          </w:tcPr>
          <w:p w14:paraId="4ADA49CF" w14:textId="77777777" w:rsidR="00E81F1F" w:rsidRPr="006A755F" w:rsidRDefault="00E81F1F" w:rsidP="002F4E6D">
            <w:pPr>
              <w:jc w:val="right"/>
            </w:pPr>
            <w:r>
              <w:t>135 827 tis. Kč</w:t>
            </w:r>
          </w:p>
        </w:tc>
      </w:tr>
      <w:tr w:rsidR="00E81F1F" w:rsidRPr="006A755F" w14:paraId="672D7D6A" w14:textId="77777777" w:rsidTr="002F4E6D">
        <w:trPr>
          <w:jc w:val="center"/>
        </w:trPr>
        <w:tc>
          <w:tcPr>
            <w:tcW w:w="0" w:type="auto"/>
            <w:tcBorders>
              <w:left w:val="single" w:sz="12" w:space="0" w:color="auto"/>
            </w:tcBorders>
            <w:shd w:val="clear" w:color="auto" w:fill="auto"/>
          </w:tcPr>
          <w:p w14:paraId="63E76834" w14:textId="77777777" w:rsidR="00E81F1F" w:rsidRPr="006A755F" w:rsidRDefault="00E81F1F" w:rsidP="002F4E6D">
            <w:pPr>
              <w:rPr>
                <w:szCs w:val="20"/>
              </w:rPr>
            </w:pPr>
            <w:r w:rsidRPr="006A755F">
              <w:rPr>
                <w:szCs w:val="20"/>
              </w:rPr>
              <w:t xml:space="preserve">R29 </w:t>
            </w:r>
            <w:proofErr w:type="gramStart"/>
            <w:r w:rsidRPr="006A755F">
              <w:rPr>
                <w:szCs w:val="20"/>
              </w:rPr>
              <w:t>Cheb - SRN</w:t>
            </w:r>
            <w:proofErr w:type="gramEnd"/>
          </w:p>
        </w:tc>
        <w:tc>
          <w:tcPr>
            <w:tcW w:w="0" w:type="auto"/>
            <w:tcBorders>
              <w:right w:val="single" w:sz="12" w:space="0" w:color="auto"/>
            </w:tcBorders>
            <w:shd w:val="clear" w:color="auto" w:fill="auto"/>
          </w:tcPr>
          <w:p w14:paraId="3F958C20" w14:textId="77777777" w:rsidR="00E81F1F" w:rsidRPr="006A755F" w:rsidRDefault="00E81F1F" w:rsidP="002F4E6D">
            <w:pPr>
              <w:jc w:val="right"/>
            </w:pPr>
            <w:r>
              <w:t>3 254 tis. Kč</w:t>
            </w:r>
          </w:p>
        </w:tc>
      </w:tr>
      <w:tr w:rsidR="00E81F1F" w:rsidRPr="006A755F" w14:paraId="7E31CFF9" w14:textId="77777777" w:rsidTr="002F4E6D">
        <w:trPr>
          <w:jc w:val="center"/>
        </w:trPr>
        <w:tc>
          <w:tcPr>
            <w:tcW w:w="0" w:type="auto"/>
            <w:tcBorders>
              <w:left w:val="single" w:sz="12" w:space="0" w:color="auto"/>
            </w:tcBorders>
            <w:shd w:val="clear" w:color="auto" w:fill="auto"/>
          </w:tcPr>
          <w:p w14:paraId="57314AE3" w14:textId="77777777" w:rsidR="00E81F1F" w:rsidRPr="006A755F" w:rsidRDefault="00E81F1F" w:rsidP="002F4E6D">
            <w:pPr>
              <w:rPr>
                <w:szCs w:val="20"/>
              </w:rPr>
            </w:pPr>
            <w:r w:rsidRPr="006A755F">
              <w:rPr>
                <w:szCs w:val="20"/>
              </w:rPr>
              <w:t xml:space="preserve">Ex2 </w:t>
            </w:r>
            <w:proofErr w:type="gramStart"/>
            <w:r w:rsidRPr="006A755F">
              <w:rPr>
                <w:szCs w:val="20"/>
              </w:rPr>
              <w:t>Praha - SK</w:t>
            </w:r>
            <w:proofErr w:type="gramEnd"/>
          </w:p>
        </w:tc>
        <w:tc>
          <w:tcPr>
            <w:tcW w:w="0" w:type="auto"/>
            <w:tcBorders>
              <w:right w:val="single" w:sz="12" w:space="0" w:color="auto"/>
            </w:tcBorders>
            <w:shd w:val="clear" w:color="auto" w:fill="auto"/>
          </w:tcPr>
          <w:p w14:paraId="1912B837" w14:textId="77777777" w:rsidR="00E81F1F" w:rsidRPr="006A755F" w:rsidRDefault="00E81F1F" w:rsidP="002F4E6D">
            <w:pPr>
              <w:jc w:val="right"/>
            </w:pPr>
            <w:r>
              <w:t>604 764 tis. Kč</w:t>
            </w:r>
          </w:p>
        </w:tc>
      </w:tr>
      <w:tr w:rsidR="00E81F1F" w:rsidRPr="006A755F" w14:paraId="58EAB465" w14:textId="77777777" w:rsidTr="002F4E6D">
        <w:trPr>
          <w:jc w:val="center"/>
        </w:trPr>
        <w:tc>
          <w:tcPr>
            <w:tcW w:w="0" w:type="auto"/>
            <w:tcBorders>
              <w:left w:val="single" w:sz="12" w:space="0" w:color="auto"/>
            </w:tcBorders>
            <w:shd w:val="clear" w:color="auto" w:fill="auto"/>
          </w:tcPr>
          <w:p w14:paraId="580473EC" w14:textId="77777777" w:rsidR="00E81F1F" w:rsidRPr="006A755F" w:rsidRDefault="00E81F1F" w:rsidP="002F4E6D">
            <w:pPr>
              <w:rPr>
                <w:szCs w:val="20"/>
              </w:rPr>
            </w:pPr>
            <w:r w:rsidRPr="006A755F">
              <w:rPr>
                <w:szCs w:val="20"/>
              </w:rPr>
              <w:t>R27 Ostrava</w:t>
            </w:r>
            <w:r>
              <w:rPr>
                <w:szCs w:val="20"/>
              </w:rPr>
              <w:t xml:space="preserve"> – Opava </w:t>
            </w:r>
            <w:r w:rsidRPr="006A755F">
              <w:rPr>
                <w:szCs w:val="20"/>
              </w:rPr>
              <w:t xml:space="preserve">– </w:t>
            </w:r>
            <w:proofErr w:type="gramStart"/>
            <w:r w:rsidRPr="006A755F">
              <w:rPr>
                <w:szCs w:val="20"/>
              </w:rPr>
              <w:t>Krnov - Olomouc</w:t>
            </w:r>
            <w:proofErr w:type="gramEnd"/>
          </w:p>
        </w:tc>
        <w:tc>
          <w:tcPr>
            <w:tcW w:w="0" w:type="auto"/>
            <w:tcBorders>
              <w:right w:val="single" w:sz="12" w:space="0" w:color="auto"/>
            </w:tcBorders>
            <w:shd w:val="clear" w:color="auto" w:fill="auto"/>
          </w:tcPr>
          <w:p w14:paraId="3DE0174D" w14:textId="77777777" w:rsidR="00E81F1F" w:rsidRPr="006A755F" w:rsidRDefault="00E81F1F" w:rsidP="002F4E6D">
            <w:pPr>
              <w:jc w:val="right"/>
            </w:pPr>
            <w:r>
              <w:t>86 375 tis. Kč</w:t>
            </w:r>
          </w:p>
        </w:tc>
      </w:tr>
      <w:tr w:rsidR="00E81F1F" w:rsidRPr="006A755F" w14:paraId="32D5E97B" w14:textId="77777777" w:rsidTr="002F4E6D">
        <w:trPr>
          <w:jc w:val="center"/>
        </w:trPr>
        <w:tc>
          <w:tcPr>
            <w:tcW w:w="0" w:type="auto"/>
            <w:tcBorders>
              <w:left w:val="single" w:sz="12" w:space="0" w:color="auto"/>
            </w:tcBorders>
            <w:shd w:val="clear" w:color="auto" w:fill="auto"/>
          </w:tcPr>
          <w:p w14:paraId="3F177536" w14:textId="77777777" w:rsidR="00E81F1F" w:rsidRPr="006A755F" w:rsidRDefault="00E81F1F" w:rsidP="002F4E6D">
            <w:pPr>
              <w:rPr>
                <w:szCs w:val="20"/>
              </w:rPr>
            </w:pPr>
            <w:r>
              <w:rPr>
                <w:szCs w:val="20"/>
              </w:rPr>
              <w:t xml:space="preserve">R33 Cheb – Německo </w:t>
            </w:r>
          </w:p>
        </w:tc>
        <w:tc>
          <w:tcPr>
            <w:tcW w:w="0" w:type="auto"/>
            <w:tcBorders>
              <w:right w:val="single" w:sz="12" w:space="0" w:color="auto"/>
            </w:tcBorders>
            <w:shd w:val="clear" w:color="auto" w:fill="auto"/>
          </w:tcPr>
          <w:p w14:paraId="01F86F63" w14:textId="77777777" w:rsidR="00E81F1F" w:rsidRDefault="00E81F1F" w:rsidP="002F4E6D">
            <w:pPr>
              <w:jc w:val="right"/>
            </w:pPr>
            <w:r>
              <w:t>428 tis. Kč</w:t>
            </w:r>
          </w:p>
        </w:tc>
      </w:tr>
      <w:tr w:rsidR="00E81F1F" w:rsidRPr="006A755F" w14:paraId="2706CD63" w14:textId="77777777" w:rsidTr="002F4E6D">
        <w:trPr>
          <w:jc w:val="center"/>
        </w:trPr>
        <w:tc>
          <w:tcPr>
            <w:tcW w:w="0" w:type="auto"/>
            <w:tcBorders>
              <w:left w:val="single" w:sz="12" w:space="0" w:color="auto"/>
            </w:tcBorders>
            <w:shd w:val="clear" w:color="auto" w:fill="auto"/>
          </w:tcPr>
          <w:p w14:paraId="536AD639" w14:textId="77777777" w:rsidR="00E81F1F" w:rsidRPr="006A755F" w:rsidRDefault="00E81F1F" w:rsidP="002F4E6D">
            <w:pPr>
              <w:rPr>
                <w:szCs w:val="20"/>
              </w:rPr>
            </w:pPr>
            <w:r w:rsidRPr="006A755F">
              <w:rPr>
                <w:szCs w:val="20"/>
              </w:rPr>
              <w:t>ostatní potřeby státu</w:t>
            </w:r>
          </w:p>
        </w:tc>
        <w:tc>
          <w:tcPr>
            <w:tcW w:w="0" w:type="auto"/>
            <w:tcBorders>
              <w:right w:val="single" w:sz="12" w:space="0" w:color="auto"/>
            </w:tcBorders>
            <w:shd w:val="clear" w:color="auto" w:fill="auto"/>
          </w:tcPr>
          <w:p w14:paraId="44A91E93" w14:textId="77777777" w:rsidR="00E81F1F" w:rsidRPr="006A755F" w:rsidRDefault="00E81F1F" w:rsidP="002F4E6D">
            <w:pPr>
              <w:rPr>
                <w:rFonts w:ascii="Arial" w:hAnsi="Arial" w:cs="Arial"/>
                <w:sz w:val="20"/>
                <w:szCs w:val="20"/>
              </w:rPr>
            </w:pPr>
            <w:r>
              <w:rPr>
                <w:rFonts w:ascii="Arial" w:hAnsi="Arial" w:cs="Arial"/>
                <w:sz w:val="20"/>
                <w:szCs w:val="20"/>
              </w:rPr>
              <w:t>3 765 843 tis. Kč</w:t>
            </w:r>
          </w:p>
        </w:tc>
      </w:tr>
    </w:tbl>
    <w:p w14:paraId="0D0E21BC" w14:textId="77777777" w:rsidR="002E30E4" w:rsidRDefault="002E30E4" w:rsidP="002E30E4">
      <w:pPr>
        <w:rPr>
          <w:rFonts w:eastAsia="Times New Roman" w:cs="Times New Roman"/>
          <w:sz w:val="24"/>
          <w:szCs w:val="20"/>
          <w:lang w:eastAsia="cs-CZ"/>
        </w:rPr>
      </w:pPr>
    </w:p>
    <w:p w14:paraId="4B021C97" w14:textId="62A4842C" w:rsidR="00E81F1F" w:rsidRPr="008B0616" w:rsidRDefault="002E30E4" w:rsidP="000B4248">
      <w:pPr>
        <w:pStyle w:val="KOMtext"/>
      </w:pPr>
      <w:r w:rsidRPr="006B6D61">
        <w:t>Kompenzace závazků veřejné služby v přepravě cestujících veřejnou železniční dopravou je kalkulována z výchozího finančního modelu. Součástí finančního modelu je i nákladová položka trakční energie, která vychází z ceny trakční energie zveřejněné státní organizací Správa železnic před začátkem platnosti jízdního řádu.</w:t>
      </w:r>
      <w:r w:rsidR="00D714BE">
        <w:t xml:space="preserve"> </w:t>
      </w:r>
      <w:r w:rsidRPr="006B6D61">
        <w:t>Kalkulovaná cena elektrické energie se pak od skutečně fakturované ceny může lišit z důvodu, že státní organizace Správa železnic část elektrické energie nakupuje na burze. Dopravci pak za trakční energii platí státní organizaci skutečnou cenu. Tato cena trakční energie je následně dopravci účtována Ministerstvu dopravy. Rozdíl mezi kalkulovanou a skutečnou cenou trakční energie vrací dopravci Ministerstvu dopravy. To je rovněž případ roku 2023</w:t>
      </w:r>
      <w:r w:rsidR="00E81F1F" w:rsidRPr="006B6D61">
        <w:t xml:space="preserve"> nižšího čerpání</w:t>
      </w:r>
      <w:r w:rsidR="008B0616" w:rsidRPr="008B0616">
        <w:t>.</w:t>
      </w:r>
    </w:p>
    <w:p w14:paraId="2B0FAD97" w14:textId="77777777" w:rsidR="00E81F1F" w:rsidRPr="006A755F" w:rsidRDefault="00E81F1F" w:rsidP="00E81F1F">
      <w:pPr>
        <w:pStyle w:val="KOMnadp5"/>
      </w:pPr>
      <w:r w:rsidRPr="006A755F">
        <w:t>Úhrada poplatků vybíraných za LPS poskytované ve vzdušném prostoru</w:t>
      </w:r>
    </w:p>
    <w:p w14:paraId="13834071" w14:textId="77777777" w:rsidR="00E81F1F" w:rsidRDefault="00E81F1F" w:rsidP="00E81F1F">
      <w:pPr>
        <w:pStyle w:val="KOMtext"/>
      </w:pPr>
      <w:r w:rsidRPr="006A755F">
        <w:t xml:space="preserve">V souladu s usnesením vlády ze dne 2. 11. 2005 č. 1404, k úhradě poplatků vybíraných </w:t>
      </w:r>
      <w:r w:rsidRPr="006A755F">
        <w:br/>
        <w:t xml:space="preserve">za letové provozní služby poskytované ve vzdušném prostoru České republiky a nařízením Komise (EU) č. 2019/317 ze dne 11. 2. 2019, kterým se stanoví systém sledování výkonnosti </w:t>
      </w:r>
      <w:r w:rsidRPr="006A755F">
        <w:br/>
        <w:t xml:space="preserve">a systém poplatků v jednotném evropském nebi a kterým se ruší prováděcí nařízení (EU) č. 390/2013 a (EU) č. 391/2013, stát hradí státnímu podniku Řízení letového provozu ČR náklady související s poskytováním letových služeb letům ve vzdušném prostoru České republiky osvobozeným od zpoplatnění. </w:t>
      </w:r>
    </w:p>
    <w:p w14:paraId="2D4BE693" w14:textId="5EAFFD5C" w:rsidR="00E81F1F" w:rsidRPr="00427D39" w:rsidRDefault="00E81F1F" w:rsidP="000B4248">
      <w:pPr>
        <w:pStyle w:val="KOMtext"/>
      </w:pPr>
      <w:r w:rsidRPr="00427D39">
        <w:lastRenderedPageBreak/>
        <w:t>Meziročně v porovnání s rokem 2022 vzrostly náklady ŘLP ČR, s.</w:t>
      </w:r>
      <w:r w:rsidR="00FA4E55">
        <w:t xml:space="preserve"> </w:t>
      </w:r>
      <w:r w:rsidRPr="00427D39">
        <w:t>p.</w:t>
      </w:r>
      <w:r w:rsidR="00D76B9B">
        <w:t>,</w:t>
      </w:r>
      <w:r w:rsidRPr="00427D39">
        <w:t xml:space="preserve"> vynaložené na služby poskytnuté osvobozeným letům od zpoplatnění o 3,4 %. Objem traťových navigačních služeb poskytnutých vojenským letům členských států NATO meziročně ke konci 4. čtvrtletí vzrostl </w:t>
      </w:r>
      <w:r w:rsidR="00FA4E55">
        <w:br/>
      </w:r>
      <w:r w:rsidRPr="00427D39">
        <w:t>o 6,5 %. Dopad válečného konfliktu na Ukrajině na objem vynaložených nákladů ŘLP ČR, s.</w:t>
      </w:r>
      <w:r w:rsidR="00FA4E55">
        <w:t xml:space="preserve"> </w:t>
      </w:r>
      <w:r w:rsidRPr="00427D39">
        <w:t>p.</w:t>
      </w:r>
      <w:r w:rsidR="00D76B9B">
        <w:t>,</w:t>
      </w:r>
      <w:r w:rsidRPr="00427D39">
        <w:t xml:space="preserve"> na poskytované traťové navigační služby těmto letům osvobozeným od zpoplatnění </w:t>
      </w:r>
      <w:r w:rsidR="00FA4E55">
        <w:br/>
      </w:r>
      <w:r w:rsidRPr="00427D39">
        <w:t xml:space="preserve">je odhadován ke konci 4. čtvrtletí 2023 na 12,94 mil. Kč. V říjnu a v listopadu 2023 došlo </w:t>
      </w:r>
      <w:r w:rsidR="00FA4E55">
        <w:br/>
      </w:r>
      <w:r w:rsidRPr="00427D39">
        <w:t xml:space="preserve">k výraznému zvýšení aktivity vojenských letů členských států NATO ve vzdušném prostoru ČR v porovnání s předcházejícím rokem. Kromě již zmiňovaného válečného konfliktu na Ukrajině byl příčinou i vývoj událostí v Izraeli, včetně zvýšeného počtu evakuačních letů z této oblasti. </w:t>
      </w:r>
    </w:p>
    <w:p w14:paraId="53D95FBB" w14:textId="77777777" w:rsidR="00E81F1F" w:rsidRPr="00427D39" w:rsidRDefault="00E81F1F" w:rsidP="00E81F1F">
      <w:pPr>
        <w:spacing w:line="276" w:lineRule="auto"/>
        <w:jc w:val="both"/>
        <w:rPr>
          <w:rFonts w:ascii="Calibri" w:hAnsi="Calibri" w:cs="Calibri"/>
          <w:sz w:val="24"/>
          <w:szCs w:val="24"/>
        </w:rPr>
      </w:pPr>
      <w:r>
        <w:rPr>
          <w:rFonts w:ascii="Calibri" w:hAnsi="Calibri" w:cs="Calibri"/>
          <w:sz w:val="24"/>
          <w:szCs w:val="24"/>
        </w:rPr>
        <w:t>Poskytnuté</w:t>
      </w:r>
      <w:r w:rsidRPr="00427D39">
        <w:rPr>
          <w:rFonts w:ascii="Calibri" w:hAnsi="Calibri" w:cs="Calibri"/>
          <w:sz w:val="24"/>
          <w:szCs w:val="24"/>
        </w:rPr>
        <w:t xml:space="preserve"> prostředky byly využity efektivně a účelně, v souladu s podmínkami výzvy a cílem dotačního programu.</w:t>
      </w:r>
    </w:p>
    <w:p w14:paraId="553A69F7" w14:textId="77777777" w:rsidR="00E81F1F" w:rsidRPr="006A755F" w:rsidRDefault="00E81F1F" w:rsidP="00E81F1F">
      <w:pPr>
        <w:pStyle w:val="KOMtext"/>
      </w:pPr>
      <w:r w:rsidRPr="006A755F">
        <w:t>Pro rok 202</w:t>
      </w:r>
      <w:r>
        <w:t>3</w:t>
      </w:r>
      <w:r w:rsidRPr="006A755F">
        <w:t xml:space="preserve"> byly rozpočtovány úhrady ve výši </w:t>
      </w:r>
      <w:r>
        <w:t>82 450</w:t>
      </w:r>
      <w:r w:rsidRPr="006A755F">
        <w:t xml:space="preserve"> tis. Kč. K 31. 12. 202</w:t>
      </w:r>
      <w:r>
        <w:t>3</w:t>
      </w:r>
      <w:r w:rsidRPr="006A755F">
        <w:t xml:space="preserve"> byla dotace čerpána ve výši </w:t>
      </w:r>
      <w:r>
        <w:t>78 850</w:t>
      </w:r>
      <w:r w:rsidRPr="006A755F">
        <w:rPr>
          <w:sz w:val="22"/>
          <w:szCs w:val="22"/>
        </w:rPr>
        <w:t xml:space="preserve"> tis. Kč,</w:t>
      </w:r>
      <w:r w:rsidRPr="006A755F">
        <w:t xml:space="preserve"> tj. </w:t>
      </w:r>
      <w:r>
        <w:t>95,6</w:t>
      </w:r>
      <w:r w:rsidRPr="006A755F">
        <w:t xml:space="preserve"> % schváleného rozpočtu.</w:t>
      </w:r>
    </w:p>
    <w:p w14:paraId="3D000B30" w14:textId="77777777" w:rsidR="00E81F1F" w:rsidRPr="006A755F" w:rsidRDefault="00E81F1F" w:rsidP="00E81F1F">
      <w:pPr>
        <w:pStyle w:val="KOMnadp5"/>
      </w:pPr>
      <w:r w:rsidRPr="006A755F">
        <w:t>Úhrada provozních nákladů spojených se zaváděním U-</w:t>
      </w:r>
      <w:proofErr w:type="spellStart"/>
      <w:r w:rsidRPr="006A755F">
        <w:t>Space</w:t>
      </w:r>
      <w:proofErr w:type="spellEnd"/>
      <w:r w:rsidRPr="006A755F">
        <w:t xml:space="preserve"> v ČR</w:t>
      </w:r>
    </w:p>
    <w:p w14:paraId="45B9FDD7" w14:textId="77777777" w:rsidR="00E81F1F" w:rsidRPr="006A755F" w:rsidRDefault="00E81F1F" w:rsidP="00E81F1F">
      <w:pPr>
        <w:pStyle w:val="KOMtext"/>
      </w:pPr>
      <w:r w:rsidRPr="006A755F">
        <w:t>V návaznosti na dynamický rozvoj a rostoucí potenciál sektoru bezpilotních letadel (dronů) vznikla nová koncepce EU pro bezpilotní letadla (drony) a U-</w:t>
      </w:r>
      <w:proofErr w:type="spellStart"/>
      <w:r w:rsidRPr="006A755F">
        <w:t>Space</w:t>
      </w:r>
      <w:proofErr w:type="spellEnd"/>
      <w:r w:rsidRPr="006A755F">
        <w:t xml:space="preserve"> (Centrálního prvku U-</w:t>
      </w:r>
      <w:proofErr w:type="spellStart"/>
      <w:r w:rsidRPr="006A755F">
        <w:t>Space</w:t>
      </w:r>
      <w:proofErr w:type="spellEnd"/>
      <w:r w:rsidRPr="006A755F">
        <w:t xml:space="preserve"> pro předávání klíčových validovaných informací a rozhraní pro zapojení) a interakci dalších aktérů, kterou ČR postupně implementuje. Provozní náklady související s U-</w:t>
      </w:r>
      <w:proofErr w:type="spellStart"/>
      <w:r w:rsidRPr="006A755F">
        <w:t>Space</w:t>
      </w:r>
      <w:proofErr w:type="spellEnd"/>
      <w:r w:rsidRPr="006A755F">
        <w:t xml:space="preserve"> jsou hrazen</w:t>
      </w:r>
      <w:r>
        <w:t>y</w:t>
      </w:r>
      <w:r w:rsidRPr="006A755F">
        <w:t xml:space="preserve"> z kapitoly 327 Ministerstvo dopravy. Náklady související s pořízením a rozvojem příslušných IT systémů představují infrastrukturu řízení, které budou hrazeny z prostředků Státního fondu dopravní infrastruktury.</w:t>
      </w:r>
      <w:r w:rsidRPr="00294129">
        <w:rPr>
          <w:rFonts w:ascii="Calibri" w:hAnsi="Calibri" w:cs="Calibri"/>
          <w:szCs w:val="24"/>
        </w:rPr>
        <w:t xml:space="preserve"> </w:t>
      </w:r>
      <w:r>
        <w:rPr>
          <w:rFonts w:ascii="Calibri" w:hAnsi="Calibri" w:cs="Calibri"/>
          <w:szCs w:val="24"/>
        </w:rPr>
        <w:t>Poskytnuté</w:t>
      </w:r>
      <w:r w:rsidRPr="00427D39">
        <w:rPr>
          <w:rFonts w:ascii="Calibri" w:hAnsi="Calibri" w:cs="Calibri"/>
          <w:szCs w:val="24"/>
        </w:rPr>
        <w:t xml:space="preserve"> prostředky byly využity efektivně a účelně, v souladu s podmínkami výzvy a cílem dotačního programu.</w:t>
      </w:r>
    </w:p>
    <w:p w14:paraId="0B4BECF0" w14:textId="34572438" w:rsidR="00E81F1F" w:rsidRPr="006A755F" w:rsidRDefault="00E81F1F" w:rsidP="00E81F1F">
      <w:pPr>
        <w:pStyle w:val="KOMtext"/>
      </w:pPr>
      <w:r w:rsidRPr="006A755F">
        <w:t>Pro rok 202</w:t>
      </w:r>
      <w:r>
        <w:t>3</w:t>
      </w:r>
      <w:r w:rsidRPr="006A755F">
        <w:t xml:space="preserve"> byla schváleným rozpočtem pro daný program částka ve výši </w:t>
      </w:r>
      <w:r>
        <w:t>24 500</w:t>
      </w:r>
      <w:r w:rsidRPr="006A755F">
        <w:t xml:space="preserve"> tis. Kč. </w:t>
      </w:r>
      <w:r>
        <w:t xml:space="preserve">Prostředky státního rozpočtu byly během roku 2023 plně nahrazeny nároky z nespotřebovaných výdajů. </w:t>
      </w:r>
      <w:r w:rsidRPr="006A755F">
        <w:t>K 31. 12. 202</w:t>
      </w:r>
      <w:r>
        <w:t>3</w:t>
      </w:r>
      <w:r w:rsidRPr="006A755F">
        <w:t xml:space="preserve"> byla dotace čerpána ve výši </w:t>
      </w:r>
      <w:r>
        <w:t>20 000</w:t>
      </w:r>
      <w:r w:rsidRPr="006A755F">
        <w:t xml:space="preserve"> tis. Kč, </w:t>
      </w:r>
      <w:r w:rsidR="00FA4E55">
        <w:br/>
      </w:r>
      <w:r w:rsidRPr="006A755F">
        <w:t xml:space="preserve">tj. </w:t>
      </w:r>
      <w:r>
        <w:t>81,6</w:t>
      </w:r>
      <w:r w:rsidRPr="006A755F">
        <w:t xml:space="preserve"> % </w:t>
      </w:r>
      <w:r>
        <w:t>koneč</w:t>
      </w:r>
      <w:r w:rsidRPr="006A755F">
        <w:t>ného rozpočtu.</w:t>
      </w:r>
    </w:p>
    <w:p w14:paraId="7ACD5FC4" w14:textId="77777777" w:rsidR="00E81F1F" w:rsidRPr="006A755F" w:rsidRDefault="00E81F1F" w:rsidP="00E81F1F">
      <w:pPr>
        <w:pStyle w:val="KOMnadp5"/>
      </w:pPr>
      <w:r>
        <w:t>Poskytování letových provozních služeb H 24 na regionálních letištích</w:t>
      </w:r>
    </w:p>
    <w:p w14:paraId="33DFE554" w14:textId="063ECAFB" w:rsidR="00E81F1F" w:rsidRPr="006A755F" w:rsidRDefault="00E81F1F" w:rsidP="00E81F1F">
      <w:pPr>
        <w:pStyle w:val="KOMtext"/>
      </w:pPr>
      <w:r>
        <w:t>Jedná se o kompenzaci provozní ztráty</w:t>
      </w:r>
      <w:r w:rsidR="00D76B9B">
        <w:t xml:space="preserve"> </w:t>
      </w:r>
      <w:r>
        <w:t xml:space="preserve">plynoucí ze zajištění letových provozních služeb státním podnikem ŘLP ČR na regionálních letištích Brno Tuřany, Ostrava Mošnov a Karlovy Vary. Celková ztráta </w:t>
      </w:r>
      <w:r w:rsidR="008141E8">
        <w:t>státního podniku ŘLP ČR na těchto regionálních letištích</w:t>
      </w:r>
      <w:r>
        <w:t xml:space="preserve"> v roce 2023 (po vyloučení nenárokových složek osobních nákladů) dosáhla výše 227 534 tis. Kč. Znamená to, že poskytnutá kompenzace ve výši</w:t>
      </w:r>
      <w:r w:rsidR="008141E8">
        <w:t xml:space="preserve"> </w:t>
      </w:r>
      <w:r w:rsidR="001E7CD8">
        <w:tab/>
      </w:r>
      <w:r>
        <w:t>100 000 tis. Kč pokrývá 43,95 % ztráty vygenerované na regionálních letištích.</w:t>
      </w:r>
      <w:r w:rsidRPr="00294129">
        <w:rPr>
          <w:rFonts w:ascii="Calibri" w:hAnsi="Calibri" w:cs="Calibri"/>
          <w:szCs w:val="24"/>
        </w:rPr>
        <w:t xml:space="preserve"> </w:t>
      </w:r>
      <w:r>
        <w:rPr>
          <w:rFonts w:ascii="Calibri" w:hAnsi="Calibri" w:cs="Calibri"/>
          <w:szCs w:val="24"/>
        </w:rPr>
        <w:t>Poskytnuté</w:t>
      </w:r>
      <w:r w:rsidRPr="00427D39">
        <w:rPr>
          <w:rFonts w:ascii="Calibri" w:hAnsi="Calibri" w:cs="Calibri"/>
          <w:szCs w:val="24"/>
        </w:rPr>
        <w:t xml:space="preserve"> prostředky byly využity efektivně a účelně, v souladu s podmínkami výzvy a cílem dotačního programu.</w:t>
      </w:r>
    </w:p>
    <w:p w14:paraId="2F6D9C90" w14:textId="77777777" w:rsidR="00E81F1F" w:rsidRPr="006A755F" w:rsidRDefault="00E81F1F" w:rsidP="00E81F1F">
      <w:pPr>
        <w:pStyle w:val="KOMtext"/>
      </w:pPr>
      <w:r w:rsidRPr="006A755F">
        <w:t>Prostředky byly v rámci roku 202</w:t>
      </w:r>
      <w:r>
        <w:t>3</w:t>
      </w:r>
      <w:r w:rsidRPr="006A755F">
        <w:t xml:space="preserve"> </w:t>
      </w:r>
      <w:r>
        <w:t>vy</w:t>
      </w:r>
      <w:r w:rsidRPr="006A755F">
        <w:t>čerpány v</w:t>
      </w:r>
      <w:r>
        <w:t xml:space="preserve"> plné</w:t>
      </w:r>
      <w:r w:rsidRPr="006A755F">
        <w:t xml:space="preserve"> výši </w:t>
      </w:r>
      <w:r>
        <w:t>100 000</w:t>
      </w:r>
      <w:r w:rsidRPr="006A755F">
        <w:t xml:space="preserve"> tis. Kč</w:t>
      </w:r>
      <w:r>
        <w:t xml:space="preserve">. Jediným zdrojem byly </w:t>
      </w:r>
      <w:r w:rsidRPr="006A755F">
        <w:t>nároky</w:t>
      </w:r>
      <w:r>
        <w:t>.</w:t>
      </w:r>
      <w:r w:rsidRPr="006A755F">
        <w:t xml:space="preserve"> </w:t>
      </w:r>
    </w:p>
    <w:p w14:paraId="1B1BFA03" w14:textId="77777777" w:rsidR="00E81F1F" w:rsidRPr="006A755F" w:rsidRDefault="00E81F1F" w:rsidP="00E81F1F">
      <w:pPr>
        <w:pStyle w:val="KOMnadp5"/>
      </w:pPr>
      <w:r w:rsidRPr="006A755F">
        <w:lastRenderedPageBreak/>
        <w:t>Program ROCET</w:t>
      </w:r>
    </w:p>
    <w:p w14:paraId="1B52F353" w14:textId="77777777" w:rsidR="00E81F1F" w:rsidRPr="006A755F" w:rsidRDefault="00E81F1F" w:rsidP="00E81F1F">
      <w:pPr>
        <w:pStyle w:val="KOMtext"/>
      </w:pPr>
      <w:r w:rsidRPr="006A755F">
        <w:t xml:space="preserve">Cílem programu je ekonomicky podpořit využití nákladní železniční dopravy s využitím elektrické trakce. Podpora je ve výši poplatku za obnovitelné zdroje, který hradí dopravci </w:t>
      </w:r>
      <w:r w:rsidRPr="006A755F">
        <w:br/>
        <w:t xml:space="preserve">za odebranou trakční energii celkem. </w:t>
      </w:r>
    </w:p>
    <w:p w14:paraId="584D6D66" w14:textId="77777777" w:rsidR="00E81F1F" w:rsidRPr="006A755F" w:rsidRDefault="00E81F1F" w:rsidP="00E81F1F">
      <w:pPr>
        <w:pStyle w:val="KOMtext"/>
      </w:pPr>
      <w:r w:rsidRPr="006A755F">
        <w:t>Podpora je schválena pro období pěti let, tj. do 19. 7. 2026, Rozhodnutím EK jako Státní podpora SA.62018 (2021/N) – Česko – Podpora provozovatelů železniční nákladní dopravy využívajících elektrickou trakci. V roce 202</w:t>
      </w:r>
      <w:r>
        <w:t>3</w:t>
      </w:r>
      <w:r w:rsidRPr="006A755F">
        <w:t xml:space="preserve"> byla z nároků vyplacena podpora v celkové výši </w:t>
      </w:r>
      <w:r w:rsidRPr="006A755F">
        <w:br/>
      </w:r>
      <w:r>
        <w:t>96 029</w:t>
      </w:r>
      <w:r w:rsidRPr="006A755F">
        <w:t xml:space="preserve"> tis. Kč (v tom </w:t>
      </w:r>
      <w:r>
        <w:t>92 545</w:t>
      </w:r>
      <w:r w:rsidRPr="006A755F">
        <w:t xml:space="preserve"> tis. Kč v rámci transferů podnikatelským subjektům</w:t>
      </w:r>
      <w:r>
        <w:t xml:space="preserve"> registrovaným v ČR </w:t>
      </w:r>
      <w:r w:rsidRPr="00B609EB">
        <w:t>a 3 484 tis. Kč v rámci</w:t>
      </w:r>
      <w:r w:rsidRPr="006A755F">
        <w:t xml:space="preserve"> mezinárodním transferům do </w:t>
      </w:r>
      <w:proofErr w:type="gramStart"/>
      <w:r w:rsidRPr="006A755F">
        <w:t>zahraničí - Slovensko</w:t>
      </w:r>
      <w:proofErr w:type="gramEnd"/>
      <w:r w:rsidRPr="006A755F">
        <w:t>)</w:t>
      </w:r>
      <w:r>
        <w:t>.</w:t>
      </w:r>
    </w:p>
    <w:p w14:paraId="2D6ACF60" w14:textId="77777777" w:rsidR="00E81F1F" w:rsidRPr="006A755F" w:rsidRDefault="00E81F1F" w:rsidP="00E81F1F">
      <w:pPr>
        <w:pStyle w:val="KOMnadp5"/>
      </w:pPr>
      <w:r w:rsidRPr="006A755F">
        <w:t xml:space="preserve">Program 127 67 Podpora obnovy historických železničních kolejových vozidel v období </w:t>
      </w:r>
      <w:proofErr w:type="gramStart"/>
      <w:r w:rsidRPr="006A755F">
        <w:t>2021 – 2023</w:t>
      </w:r>
      <w:proofErr w:type="gramEnd"/>
    </w:p>
    <w:p w14:paraId="75A2703C" w14:textId="77777777" w:rsidR="00E81F1F" w:rsidRPr="006A755F" w:rsidRDefault="00E81F1F" w:rsidP="00E81F1F">
      <w:pPr>
        <w:pStyle w:val="KOMtext"/>
      </w:pPr>
      <w:r w:rsidRPr="006A755F">
        <w:t xml:space="preserve">Cílem programu </w:t>
      </w:r>
      <w:r>
        <w:t>byla</w:t>
      </w:r>
      <w:r w:rsidRPr="006A755F">
        <w:t xml:space="preserve"> podpora obnovy historických železničních kolejových vozidel, </w:t>
      </w:r>
      <w:r w:rsidRPr="006A755F">
        <w:br/>
        <w:t>a to především z pohledu zachování technického a kulturního dědictví pro současnou i příští generaci, což přispívá ke zvýšení zájmu o historii v dopravním oboru železnice.</w:t>
      </w:r>
    </w:p>
    <w:p w14:paraId="73B8B03F" w14:textId="77777777" w:rsidR="00E81F1F" w:rsidRPr="006A755F" w:rsidRDefault="00E81F1F" w:rsidP="00E81F1F">
      <w:pPr>
        <w:pStyle w:val="KOMtext"/>
      </w:pPr>
      <w:r w:rsidRPr="006A755F">
        <w:t xml:space="preserve"> Schváleným rozpočtem byla pro rok 202</w:t>
      </w:r>
      <w:r>
        <w:t>3</w:t>
      </w:r>
      <w:r w:rsidRPr="006A755F">
        <w:t xml:space="preserve"> pro program vyčleněna částka 5 000 tis. Kč. Rozpočtovými opatřeními v celkovém objemu </w:t>
      </w:r>
      <w:r>
        <w:t>1 754</w:t>
      </w:r>
      <w:r w:rsidRPr="006A755F">
        <w:t xml:space="preserve"> tis. Kč ve prospěch spolků a obecně prospěšných společností byla rozpočtovaná částka pro neinvestiční transfery podnikatelským subjektům spojenými s obnovou historických železničních kolejových vozidel snížena na částku </w:t>
      </w:r>
      <w:r>
        <w:t>3 246</w:t>
      </w:r>
      <w:r w:rsidRPr="006A755F">
        <w:t xml:space="preserve"> tis. Kč. </w:t>
      </w:r>
    </w:p>
    <w:p w14:paraId="0F4E43DF" w14:textId="77777777" w:rsidR="00E81F1F" w:rsidRPr="006A755F" w:rsidRDefault="00E81F1F" w:rsidP="00E81F1F">
      <w:pPr>
        <w:pStyle w:val="KOMtext"/>
      </w:pPr>
      <w:r w:rsidRPr="006A755F">
        <w:t>Neinvestiční prostředky byly za rok 202</w:t>
      </w:r>
      <w:r>
        <w:t>3</w:t>
      </w:r>
      <w:r w:rsidRPr="006A755F">
        <w:t xml:space="preserve"> čerpány ve výši </w:t>
      </w:r>
      <w:r>
        <w:t>4 146</w:t>
      </w:r>
      <w:r w:rsidRPr="006A755F">
        <w:t xml:space="preserve"> tis. Kč</w:t>
      </w:r>
      <w:r>
        <w:t xml:space="preserve"> (z toho nároky </w:t>
      </w:r>
      <w:r>
        <w:br/>
        <w:t>906 tis. Kč)</w:t>
      </w:r>
      <w:r w:rsidRPr="006A755F">
        <w:t>,</w:t>
      </w:r>
      <w:r>
        <w:t xml:space="preserve"> </w:t>
      </w:r>
      <w:r w:rsidRPr="006A755F">
        <w:t>tj.</w:t>
      </w:r>
      <w:r>
        <w:t>127</w:t>
      </w:r>
      <w:r w:rsidRPr="006A755F">
        <w:t>,7</w:t>
      </w:r>
      <w:r>
        <w:t xml:space="preserve"> </w:t>
      </w:r>
      <w:r w:rsidRPr="006A755F">
        <w:t>%</w:t>
      </w:r>
      <w:r>
        <w:t xml:space="preserve"> </w:t>
      </w:r>
      <w:r w:rsidRPr="006A755F">
        <w:t>rozpočtu</w:t>
      </w:r>
      <w:r>
        <w:t xml:space="preserve"> </w:t>
      </w:r>
      <w:r w:rsidRPr="006A755F">
        <w:t xml:space="preserve">po změnách, na realizaci </w:t>
      </w:r>
      <w:r>
        <w:t>7</w:t>
      </w:r>
      <w:r w:rsidRPr="006A755F">
        <w:t xml:space="preserve"> akcí. Prostředky byly poskytnuty </w:t>
      </w:r>
      <w:r>
        <w:br/>
        <w:t xml:space="preserve">4 </w:t>
      </w:r>
      <w:proofErr w:type="gramStart"/>
      <w:r w:rsidRPr="006A755F">
        <w:t>společnostem - právnickým</w:t>
      </w:r>
      <w:proofErr w:type="gramEnd"/>
      <w:r w:rsidRPr="006A755F">
        <w:t xml:space="preserve"> osobám – </w:t>
      </w:r>
      <w:r>
        <w:t xml:space="preserve">České dráhy, a.s. (759 tis. Kč), </w:t>
      </w:r>
      <w:r w:rsidRPr="006A755F">
        <w:t>HERKULES KHKD, s.r.o. (6</w:t>
      </w:r>
      <w:r>
        <w:t>19</w:t>
      </w:r>
      <w:r w:rsidRPr="006A755F">
        <w:t xml:space="preserve"> tis. Kč), </w:t>
      </w:r>
      <w:r>
        <w:t>Junior market</w:t>
      </w:r>
      <w:r w:rsidRPr="006A755F">
        <w:t xml:space="preserve">, </w:t>
      </w:r>
      <w:r>
        <w:t>s.r.o</w:t>
      </w:r>
      <w:r w:rsidRPr="006A755F">
        <w:t>. (</w:t>
      </w:r>
      <w:r>
        <w:t>1 549</w:t>
      </w:r>
      <w:r w:rsidRPr="006A755F">
        <w:t xml:space="preserve"> tis. Kč)</w:t>
      </w:r>
      <w:r>
        <w:t>,</w:t>
      </w:r>
      <w:r w:rsidRPr="006A755F">
        <w:t xml:space="preserve"> KŽC Doprava, s.r.o. (</w:t>
      </w:r>
      <w:r>
        <w:t>547</w:t>
      </w:r>
      <w:r w:rsidRPr="006A755F">
        <w:t xml:space="preserve"> tis. Kč)</w:t>
      </w:r>
      <w:r>
        <w:t xml:space="preserve"> a TRAK </w:t>
      </w:r>
      <w:proofErr w:type="spellStart"/>
      <w:r>
        <w:t>Rail</w:t>
      </w:r>
      <w:proofErr w:type="spellEnd"/>
      <w:r>
        <w:t xml:space="preserve"> s.r.o. (372 tis. Kč)</w:t>
      </w:r>
      <w:r w:rsidRPr="006A755F">
        <w:t xml:space="preserve"> a </w:t>
      </w:r>
      <w:r>
        <w:t>1</w:t>
      </w:r>
      <w:r w:rsidRPr="006A755F">
        <w:t xml:space="preserve"> podnikající fyzick</w:t>
      </w:r>
      <w:r>
        <w:t>é</w:t>
      </w:r>
      <w:r w:rsidRPr="006A755F">
        <w:t xml:space="preserve"> osob</w:t>
      </w:r>
      <w:r>
        <w:t>ě</w:t>
      </w:r>
      <w:r w:rsidRPr="006A755F">
        <w:t xml:space="preserve"> – Petr Nepil (</w:t>
      </w:r>
      <w:r>
        <w:t>300</w:t>
      </w:r>
      <w:r w:rsidRPr="006A755F">
        <w:t xml:space="preserve"> tis. Kč).</w:t>
      </w:r>
    </w:p>
    <w:p w14:paraId="488E738A" w14:textId="77777777" w:rsidR="00E81F1F" w:rsidRPr="006A755F" w:rsidRDefault="00E81F1F" w:rsidP="00E81F1F">
      <w:pPr>
        <w:pStyle w:val="KOMnadp5"/>
      </w:pPr>
      <w:r w:rsidRPr="006A755F">
        <w:t>Program 127 6</w:t>
      </w:r>
      <w:r>
        <w:t>5</w:t>
      </w:r>
      <w:r w:rsidRPr="006A755F">
        <w:t xml:space="preserve"> </w:t>
      </w:r>
      <w:r>
        <w:t>Pořízení a modernizace železničních kolejových vozidel</w:t>
      </w:r>
    </w:p>
    <w:p w14:paraId="3B0BF4D7" w14:textId="77777777" w:rsidR="004F60FD" w:rsidRDefault="00E81F1F" w:rsidP="004F60FD">
      <w:pPr>
        <w:pStyle w:val="KOMtext"/>
      </w:pPr>
      <w:r>
        <w:t xml:space="preserve">Program je určen pro implementaci projektů zaměřených na podporu pořízení železničních kolejových vozidel v rámci specifického cíle 1.5 OPD 2014+. Finanční prostředky ve výši </w:t>
      </w:r>
      <w:r>
        <w:br/>
        <w:t xml:space="preserve">34 tis. Kč byly využity na publicitu v rámci obnovy vozidel pro Moravskoslezský kraj </w:t>
      </w:r>
      <w:r>
        <w:br/>
        <w:t>a příjemcem byly České dráhy, a.s. Jednalo se v plné výši o podíl EU a nároky.</w:t>
      </w:r>
      <w:r w:rsidR="004F60FD">
        <w:t xml:space="preserve"> </w:t>
      </w:r>
    </w:p>
    <w:p w14:paraId="636C4CC9" w14:textId="2DCB8406" w:rsidR="008F20F1" w:rsidRPr="004F60FD" w:rsidRDefault="008F20F1" w:rsidP="004F60FD">
      <w:pPr>
        <w:pStyle w:val="KOMnadp4"/>
      </w:pPr>
      <w:r w:rsidRPr="004F60FD">
        <w:lastRenderedPageBreak/>
        <w:t>Investiční transfery podnikatelským subjektům</w:t>
      </w:r>
    </w:p>
    <w:p w14:paraId="277ADEF9" w14:textId="77777777" w:rsidR="001D6168" w:rsidRPr="006B6D61" w:rsidRDefault="001D6168" w:rsidP="001D6168">
      <w:pPr>
        <w:pStyle w:val="KOMnadp5"/>
        <w:rPr>
          <w:rFonts w:ascii="Times New Roman" w:hAnsi="Times New Roman" w:cs="Times New Roman"/>
          <w:b/>
          <w:color w:val="auto"/>
        </w:rPr>
      </w:pPr>
      <w:r w:rsidRPr="006B6D61">
        <w:rPr>
          <w:color w:val="auto"/>
        </w:rPr>
        <w:t>Železniční doprava</w:t>
      </w:r>
    </w:p>
    <w:p w14:paraId="2FC8C01D" w14:textId="77777777" w:rsidR="001D6168" w:rsidRPr="006B6D61" w:rsidRDefault="001D6168" w:rsidP="001D6168">
      <w:pPr>
        <w:pStyle w:val="KOMtext"/>
      </w:pPr>
      <w:bookmarkStart w:id="1033" w:name="_Hlk158725911"/>
      <w:r w:rsidRPr="006B6D61">
        <w:t xml:space="preserve">Program </w:t>
      </w:r>
      <w:r w:rsidRPr="006B6D61">
        <w:rPr>
          <w:b/>
        </w:rPr>
        <w:t>127 65 Pořízení a modernizace železničních kolejových vozidel</w:t>
      </w:r>
      <w:r w:rsidRPr="006B6D61">
        <w:t xml:space="preserve"> byl určen pro implementaci projektů zaměřených na podporu pořízení železničních kolejových vozidel             v rámci specifického cíle 1.5 OPD 2014-2020. Program byl zaměřen na podporu dopravní obslužnosti na území České republiky formou zvýšení konkurenceschopnosti železniční dopravy.  Schváleným rozpočtem pro rok 2023 nebyla na investiční transfery programu vyčleněna žádná částka. Do financování potřeb programu byly zapojeny rovněž nároky (prostředky EU).</w:t>
      </w:r>
    </w:p>
    <w:p w14:paraId="437EE137" w14:textId="77777777" w:rsidR="001D6168" w:rsidRPr="00A86E19" w:rsidRDefault="001D6168" w:rsidP="001D6168">
      <w:pPr>
        <w:pStyle w:val="KOMtext"/>
      </w:pPr>
      <w:r w:rsidRPr="006B6D61">
        <w:t>V průběhu roku 2023 byl rozpracován jeden projekt. Na pořízení 15 kusů vozidel osobní železniční dopravy v Moravskoslezském kraji byla Českým dráhám, a.s. poskytnuta dotace       ve výši 688 500 tis. Kč. Poskytnutá částka byla plně vyčerpána.</w:t>
      </w:r>
    </w:p>
    <w:bookmarkEnd w:id="1033"/>
    <w:p w14:paraId="7592DC29" w14:textId="430A3B8C" w:rsidR="001D6168" w:rsidRPr="006B6D61" w:rsidRDefault="001D6168" w:rsidP="001D6168">
      <w:pPr>
        <w:pStyle w:val="KOMtext"/>
      </w:pPr>
      <w:r w:rsidRPr="006B6D61">
        <w:t xml:space="preserve">V rámci podprogramu </w:t>
      </w:r>
      <w:r w:rsidRPr="006B6D61">
        <w:rPr>
          <w:b/>
        </w:rPr>
        <w:t>127 772 Operační program Doprava 2014-2020 - Ministerstvo dopravy</w:t>
      </w:r>
      <w:r w:rsidRPr="006B6D61">
        <w:t xml:space="preserve"> bylo během roku v různých stádiích realizace 9 akcí zaměřených na plnění specifického cíle </w:t>
      </w:r>
      <w:r w:rsidR="00B22C50">
        <w:br/>
      </w:r>
      <w:r w:rsidRPr="006B6D61">
        <w:rPr>
          <w:b/>
          <w:i/>
        </w:rPr>
        <w:t>1.5 Zajištění interoperability v železniční dopravě</w:t>
      </w:r>
      <w:r w:rsidRPr="006B6D61">
        <w:t xml:space="preserve">. Pro rok 2023 nebyl stanoven rozpočet pro investiční transfery podnikatelským subjektům. </w:t>
      </w:r>
      <w:bookmarkStart w:id="1034" w:name="_Hlk158724664"/>
      <w:r w:rsidRPr="006B6D61">
        <w:t>Do financování potřeb podprogramu byly zapojeny nároky (prostředky EU)</w:t>
      </w:r>
      <w:bookmarkEnd w:id="1034"/>
      <w:r w:rsidRPr="006B6D61">
        <w:t xml:space="preserve">. </w:t>
      </w:r>
    </w:p>
    <w:p w14:paraId="1E15014A" w14:textId="06B08D5E" w:rsidR="001D6168" w:rsidRPr="00A86E19" w:rsidRDefault="001D6168" w:rsidP="001D6168">
      <w:pPr>
        <w:pStyle w:val="KOMtext"/>
      </w:pPr>
      <w:r w:rsidRPr="006B6D61">
        <w:t xml:space="preserve">K 31. 12. 2023 byly čerpány prostředky státního rozpočtu (prostředky EU) na dvě akce </w:t>
      </w:r>
      <w:r w:rsidRPr="006B6D61">
        <w:br/>
        <w:t xml:space="preserve">v celkové výši 43 759 tis. Kč, vše nároky. Konečným příjemcem obou transferů byl podnikatelský </w:t>
      </w:r>
      <w:proofErr w:type="gramStart"/>
      <w:r w:rsidRPr="006B6D61">
        <w:t>subjekt - právnická</w:t>
      </w:r>
      <w:proofErr w:type="gramEnd"/>
      <w:r w:rsidRPr="006B6D61">
        <w:t xml:space="preserve"> osoba (České dráhy, a.s.). </w:t>
      </w:r>
    </w:p>
    <w:p w14:paraId="26DF390B" w14:textId="77777777" w:rsidR="001D6168" w:rsidRPr="006B6D61" w:rsidRDefault="001D6168" w:rsidP="006B6D61">
      <w:pPr>
        <w:pStyle w:val="KOMnadp5"/>
        <w:ind w:left="567"/>
        <w:rPr>
          <w:rFonts w:ascii="Times New Roman" w:hAnsi="Times New Roman" w:cs="Times New Roman"/>
          <w:b/>
          <w:color w:val="auto"/>
        </w:rPr>
      </w:pPr>
      <w:r w:rsidRPr="006B6D61">
        <w:rPr>
          <w:color w:val="auto"/>
        </w:rPr>
        <w:t>Silniční doprava</w:t>
      </w:r>
    </w:p>
    <w:p w14:paraId="5C9C2792" w14:textId="77777777" w:rsidR="001D6168" w:rsidRPr="006B6D61" w:rsidRDefault="001D6168" w:rsidP="001D6168">
      <w:pPr>
        <w:pStyle w:val="KOMtext"/>
      </w:pPr>
      <w:r w:rsidRPr="006B6D61">
        <w:t xml:space="preserve">V rámci podprogramu </w:t>
      </w:r>
      <w:r w:rsidRPr="006B6D61">
        <w:rPr>
          <w:b/>
        </w:rPr>
        <w:t>127 772 Operační program Doprava 2014-2020 - Ministerstvo dopravy</w:t>
      </w:r>
      <w:r w:rsidRPr="006B6D61">
        <w:t xml:space="preserve"> nebyl pro rok 2023 stanoven rozpočet pro investiční transfery podnikatelským subjektům       na plnění specifického cíle </w:t>
      </w:r>
      <w:r w:rsidRPr="006B6D61">
        <w:rPr>
          <w:b/>
          <w:i/>
        </w:rPr>
        <w:t>2.2 Vytvoření podmínek pro širší využití vozidel na alternativní pohon na silniční síti</w:t>
      </w:r>
      <w:r w:rsidRPr="006B6D61">
        <w:t xml:space="preserve">. Do financování potřeb podprogramu byly zapojeny nároky (prostředky EU). Během roku bylo v různých stádiích realizace 20 akcí orientovaných na rozvoj čisté mobility.  </w:t>
      </w:r>
    </w:p>
    <w:p w14:paraId="6DA6FE4D" w14:textId="77777777" w:rsidR="001D6168" w:rsidRPr="00922081" w:rsidRDefault="001D6168" w:rsidP="001D6168">
      <w:pPr>
        <w:pStyle w:val="KOMtext"/>
      </w:pPr>
      <w:r w:rsidRPr="006B6D61">
        <w:t xml:space="preserve">K 31. 12. 2023 byly čerpány prostředky státního rozpočtu (prostředky EU) na osmnáct akcí          v celkové výši 242 105 tis. Kč, vše nároky. Konečnými příjemci transferů byly podnikatelské </w:t>
      </w:r>
      <w:proofErr w:type="gramStart"/>
      <w:r w:rsidRPr="006B6D61">
        <w:t>subjekty - právnické</w:t>
      </w:r>
      <w:proofErr w:type="gramEnd"/>
      <w:r w:rsidRPr="006B6D61">
        <w:t xml:space="preserve"> osoby.</w:t>
      </w:r>
      <w:r w:rsidRPr="00922081">
        <w:t xml:space="preserve"> </w:t>
      </w:r>
    </w:p>
    <w:p w14:paraId="45B25F61" w14:textId="311290B1" w:rsidR="00D9370D" w:rsidRPr="006B6D61" w:rsidRDefault="009D71D4" w:rsidP="00E20BD6">
      <w:pPr>
        <w:pStyle w:val="KOMnadp3"/>
      </w:pPr>
      <w:bookmarkStart w:id="1035" w:name="_Toc128397736"/>
      <w:bookmarkStart w:id="1036" w:name="_Toc128397869"/>
      <w:bookmarkStart w:id="1037" w:name="_Toc128398090"/>
      <w:bookmarkStart w:id="1038" w:name="_Toc128398433"/>
      <w:bookmarkStart w:id="1039" w:name="_Toc128398559"/>
      <w:bookmarkStart w:id="1040" w:name="_Toc128398772"/>
      <w:bookmarkStart w:id="1041" w:name="_Toc128400088"/>
      <w:bookmarkStart w:id="1042" w:name="_Toc128401328"/>
      <w:bookmarkStart w:id="1043" w:name="_Toc128401456"/>
      <w:bookmarkStart w:id="1044" w:name="_Toc128401943"/>
      <w:bookmarkStart w:id="1045" w:name="_Toc128400089"/>
      <w:bookmarkStart w:id="1046" w:name="_Toc162269276"/>
      <w:bookmarkEnd w:id="1035"/>
      <w:bookmarkEnd w:id="1036"/>
      <w:bookmarkEnd w:id="1037"/>
      <w:bookmarkEnd w:id="1038"/>
      <w:bookmarkEnd w:id="1039"/>
      <w:bookmarkEnd w:id="1040"/>
      <w:bookmarkEnd w:id="1041"/>
      <w:bookmarkEnd w:id="1042"/>
      <w:bookmarkEnd w:id="1043"/>
      <w:bookmarkEnd w:id="1044"/>
      <w:r w:rsidRPr="006B6D61">
        <w:lastRenderedPageBreak/>
        <w:t>Transfery státním fondům</w:t>
      </w:r>
      <w:bookmarkEnd w:id="1045"/>
      <w:bookmarkEnd w:id="1046"/>
    </w:p>
    <w:p w14:paraId="16C7D93D" w14:textId="77777777" w:rsidR="00453450" w:rsidRPr="006B6D61" w:rsidRDefault="00453450" w:rsidP="00453450">
      <w:pPr>
        <w:pStyle w:val="KOMtext"/>
      </w:pPr>
      <w:r w:rsidRPr="006B6D61">
        <w:t xml:space="preserve">Státní fond dopravní infrastruktury byl zřízen zákonem č. 104/2000 Sb., o Státním fondu dopravní infrastruktury, ve znění pozdějších předpisů. Státní fond dopravní infrastruktury je právnickou osobou v působnosti Ministerstva dopravy a </w:t>
      </w:r>
      <w:proofErr w:type="gramStart"/>
      <w:r w:rsidRPr="006B6D61">
        <w:t>hospodaří</w:t>
      </w:r>
      <w:proofErr w:type="gramEnd"/>
      <w:r w:rsidRPr="006B6D61">
        <w:t xml:space="preserve"> s majetkem ve vlastnictví státu. Účelem fondu je financování výstavby, modernizace, oprav a údržby silnic a dálnic celostátních a regionálních drah a dopravně významných vnitrozemských vodních cest v rozsahu citovaného zákona. Fond v souladu se svým účelem vykonává činnosti Zprostředkujícího subjektu OP Doprava a komponenty 2.1. Národního plánu obnovy.</w:t>
      </w:r>
    </w:p>
    <w:p w14:paraId="0BE5B196" w14:textId="77777777" w:rsidR="00453450" w:rsidRPr="0077128B" w:rsidRDefault="00453450" w:rsidP="00453450">
      <w:pPr>
        <w:pStyle w:val="KOMtext"/>
        <w:rPr>
          <w:rFonts w:cstheme="minorHAnsi"/>
          <w:color w:val="FF0000"/>
        </w:rPr>
      </w:pPr>
      <w:r w:rsidRPr="006B6D61">
        <w:t xml:space="preserve">Státní fond dopravní infrastruktury může dle § 4, odst. 1 písm. j) zákona č. 104/2000 Sb., </w:t>
      </w:r>
      <w:r w:rsidRPr="006B6D61">
        <w:br/>
        <w:t xml:space="preserve">o Státním fondu dopravní infrastruktury, přijímat dotace ze státního </w:t>
      </w:r>
      <w:r w:rsidRPr="00A722A3">
        <w:t>rozpočtu.</w:t>
      </w: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1125"/>
        <w:gridCol w:w="1125"/>
        <w:gridCol w:w="1152"/>
        <w:gridCol w:w="1134"/>
        <w:gridCol w:w="1089"/>
        <w:gridCol w:w="754"/>
      </w:tblGrid>
      <w:tr w:rsidR="002F1BE7" w:rsidRPr="002F1BE7" w14:paraId="4D94FFF7" w14:textId="77777777" w:rsidTr="005B2E1E">
        <w:trPr>
          <w:trHeight w:val="151"/>
          <w:tblHeader/>
        </w:trPr>
        <w:tc>
          <w:tcPr>
            <w:tcW w:w="9498" w:type="dxa"/>
            <w:gridSpan w:val="7"/>
            <w:tcBorders>
              <w:top w:val="nil"/>
              <w:left w:val="nil"/>
              <w:right w:val="nil"/>
            </w:tcBorders>
            <w:shd w:val="clear" w:color="auto" w:fill="auto"/>
          </w:tcPr>
          <w:p w14:paraId="05DA725B" w14:textId="77777777" w:rsidR="00453450" w:rsidRPr="006B6D61" w:rsidRDefault="00453450" w:rsidP="005B2E1E">
            <w:pPr>
              <w:spacing w:after="0"/>
              <w:jc w:val="right"/>
              <w:rPr>
                <w:rFonts w:cstheme="minorHAnsi"/>
                <w:sz w:val="20"/>
                <w:szCs w:val="20"/>
              </w:rPr>
            </w:pPr>
            <w:r w:rsidRPr="006B6D61">
              <w:rPr>
                <w:rFonts w:cstheme="minorHAnsi"/>
                <w:sz w:val="20"/>
                <w:szCs w:val="20"/>
              </w:rPr>
              <w:t>v tis. Kč</w:t>
            </w:r>
          </w:p>
        </w:tc>
      </w:tr>
      <w:tr w:rsidR="00B12724" w:rsidRPr="002F1BE7" w14:paraId="57F1DA7F" w14:textId="77777777" w:rsidTr="005B2E1E">
        <w:trPr>
          <w:trHeight w:val="442"/>
          <w:tblHeader/>
        </w:trPr>
        <w:tc>
          <w:tcPr>
            <w:tcW w:w="3119" w:type="dxa"/>
            <w:vMerge w:val="restart"/>
            <w:shd w:val="pct12" w:color="auto" w:fill="auto"/>
            <w:vAlign w:val="center"/>
          </w:tcPr>
          <w:p w14:paraId="488EA02B" w14:textId="334ACD4D" w:rsidR="00453450" w:rsidRPr="0077128B" w:rsidRDefault="003A727F" w:rsidP="005B2E1E">
            <w:pPr>
              <w:spacing w:after="0"/>
              <w:jc w:val="center"/>
              <w:rPr>
                <w:rFonts w:cstheme="minorHAnsi"/>
                <w:b/>
                <w:color w:val="FF0000"/>
                <w:sz w:val="20"/>
                <w:szCs w:val="20"/>
              </w:rPr>
            </w:pPr>
            <w:r w:rsidRPr="00C5192D">
              <w:rPr>
                <w:rFonts w:cstheme="minorHAnsi"/>
                <w:b/>
                <w:sz w:val="20"/>
                <w:szCs w:val="20"/>
              </w:rPr>
              <w:t>Ukazatel</w:t>
            </w:r>
          </w:p>
        </w:tc>
        <w:tc>
          <w:tcPr>
            <w:tcW w:w="1125" w:type="dxa"/>
            <w:vMerge w:val="restart"/>
            <w:tcBorders>
              <w:top w:val="single" w:sz="4" w:space="0" w:color="auto"/>
              <w:right w:val="single" w:sz="4" w:space="0" w:color="auto"/>
            </w:tcBorders>
            <w:shd w:val="pct12" w:color="auto" w:fill="auto"/>
            <w:vAlign w:val="center"/>
          </w:tcPr>
          <w:p w14:paraId="3C629D39" w14:textId="77777777" w:rsidR="003A727F" w:rsidRPr="00C5192D" w:rsidRDefault="003A727F" w:rsidP="003A727F">
            <w:pPr>
              <w:spacing w:after="0"/>
              <w:jc w:val="center"/>
              <w:rPr>
                <w:rFonts w:cstheme="minorHAnsi"/>
                <w:b/>
                <w:sz w:val="20"/>
                <w:szCs w:val="20"/>
              </w:rPr>
            </w:pPr>
            <w:r w:rsidRPr="00C5192D">
              <w:rPr>
                <w:rFonts w:cstheme="minorHAnsi"/>
                <w:b/>
                <w:sz w:val="20"/>
                <w:szCs w:val="20"/>
              </w:rPr>
              <w:t>Skutečnost</w:t>
            </w:r>
          </w:p>
          <w:p w14:paraId="6FEBBBBB" w14:textId="4F1287E5" w:rsidR="00453450" w:rsidRPr="0077128B" w:rsidRDefault="003A727F" w:rsidP="005B2E1E">
            <w:pPr>
              <w:spacing w:after="0"/>
              <w:jc w:val="center"/>
              <w:rPr>
                <w:rFonts w:cstheme="minorHAnsi"/>
                <w:b/>
                <w:color w:val="FF0000"/>
                <w:sz w:val="20"/>
                <w:szCs w:val="20"/>
              </w:rPr>
            </w:pPr>
            <w:r w:rsidRPr="00C5192D">
              <w:rPr>
                <w:rFonts w:cstheme="minorHAnsi"/>
                <w:b/>
                <w:sz w:val="20"/>
                <w:szCs w:val="20"/>
              </w:rPr>
              <w:t>2022</w:t>
            </w:r>
          </w:p>
        </w:tc>
        <w:tc>
          <w:tcPr>
            <w:tcW w:w="3411" w:type="dxa"/>
            <w:gridSpan w:val="3"/>
            <w:tcBorders>
              <w:top w:val="single" w:sz="4" w:space="0" w:color="auto"/>
              <w:left w:val="single" w:sz="4" w:space="0" w:color="auto"/>
              <w:bottom w:val="single" w:sz="4" w:space="0" w:color="auto"/>
              <w:right w:val="single" w:sz="4" w:space="0" w:color="auto"/>
            </w:tcBorders>
            <w:shd w:val="pct12" w:color="auto" w:fill="auto"/>
            <w:vAlign w:val="center"/>
          </w:tcPr>
          <w:p w14:paraId="418DDE5C" w14:textId="14F4488A" w:rsidR="00453450" w:rsidRPr="0077128B" w:rsidRDefault="003A727F" w:rsidP="005B2E1E">
            <w:pPr>
              <w:spacing w:after="0"/>
              <w:jc w:val="center"/>
              <w:rPr>
                <w:rFonts w:cstheme="minorHAnsi"/>
                <w:b/>
                <w:color w:val="FF0000"/>
                <w:sz w:val="20"/>
                <w:szCs w:val="20"/>
              </w:rPr>
            </w:pPr>
            <w:r w:rsidRPr="00C5192D">
              <w:rPr>
                <w:rFonts w:cstheme="minorHAnsi"/>
                <w:b/>
                <w:sz w:val="20"/>
                <w:szCs w:val="20"/>
              </w:rPr>
              <w:t>Rozpočet 2023</w:t>
            </w:r>
          </w:p>
        </w:tc>
        <w:tc>
          <w:tcPr>
            <w:tcW w:w="1089" w:type="dxa"/>
            <w:vMerge w:val="restart"/>
            <w:tcBorders>
              <w:top w:val="single" w:sz="4" w:space="0" w:color="auto"/>
              <w:left w:val="single" w:sz="4" w:space="0" w:color="auto"/>
              <w:right w:val="single" w:sz="4" w:space="0" w:color="auto"/>
            </w:tcBorders>
            <w:shd w:val="pct12" w:color="auto" w:fill="auto"/>
            <w:vAlign w:val="center"/>
          </w:tcPr>
          <w:p w14:paraId="20BE5D59" w14:textId="77777777" w:rsidR="003A727F" w:rsidRPr="00C5192D" w:rsidRDefault="003A727F" w:rsidP="003A727F">
            <w:pPr>
              <w:spacing w:after="0"/>
              <w:jc w:val="center"/>
              <w:rPr>
                <w:rFonts w:cstheme="minorHAnsi"/>
                <w:b/>
                <w:sz w:val="20"/>
                <w:szCs w:val="20"/>
              </w:rPr>
            </w:pPr>
            <w:r w:rsidRPr="00C5192D">
              <w:rPr>
                <w:rFonts w:cstheme="minorHAnsi"/>
                <w:b/>
                <w:sz w:val="20"/>
                <w:szCs w:val="20"/>
              </w:rPr>
              <w:t>Skutečnost</w:t>
            </w:r>
          </w:p>
          <w:p w14:paraId="3CC6FD77" w14:textId="373D482C" w:rsidR="00453450" w:rsidRPr="0077128B" w:rsidRDefault="003A727F" w:rsidP="005B2E1E">
            <w:pPr>
              <w:spacing w:after="0"/>
              <w:jc w:val="center"/>
              <w:rPr>
                <w:rFonts w:cstheme="minorHAnsi"/>
                <w:b/>
                <w:color w:val="FF0000"/>
                <w:sz w:val="20"/>
                <w:szCs w:val="20"/>
              </w:rPr>
            </w:pPr>
            <w:r w:rsidRPr="00C5192D">
              <w:rPr>
                <w:rFonts w:cstheme="minorHAnsi"/>
                <w:b/>
                <w:sz w:val="20"/>
                <w:szCs w:val="20"/>
              </w:rPr>
              <w:t>2023</w:t>
            </w:r>
          </w:p>
        </w:tc>
        <w:tc>
          <w:tcPr>
            <w:tcW w:w="754" w:type="dxa"/>
            <w:vMerge w:val="restart"/>
            <w:tcBorders>
              <w:top w:val="single" w:sz="4" w:space="0" w:color="auto"/>
              <w:left w:val="single" w:sz="4" w:space="0" w:color="auto"/>
            </w:tcBorders>
            <w:shd w:val="pct12" w:color="auto" w:fill="auto"/>
            <w:vAlign w:val="center"/>
          </w:tcPr>
          <w:p w14:paraId="2A7A0DB1" w14:textId="77777777" w:rsidR="003A727F" w:rsidRPr="003A727F" w:rsidRDefault="003A727F" w:rsidP="003A727F">
            <w:pPr>
              <w:spacing w:after="0"/>
              <w:jc w:val="center"/>
              <w:rPr>
                <w:rFonts w:cstheme="minorHAnsi"/>
                <w:b/>
                <w:sz w:val="20"/>
                <w:szCs w:val="20"/>
              </w:rPr>
            </w:pPr>
            <w:r w:rsidRPr="003A727F">
              <w:rPr>
                <w:rFonts w:cstheme="minorHAnsi"/>
                <w:b/>
                <w:sz w:val="20"/>
                <w:szCs w:val="20"/>
              </w:rPr>
              <w:t>Index</w:t>
            </w:r>
          </w:p>
          <w:p w14:paraId="650CD50A" w14:textId="5E76ACF0" w:rsidR="00453450" w:rsidRPr="006B6D61" w:rsidRDefault="003A727F" w:rsidP="005B2E1E">
            <w:pPr>
              <w:spacing w:after="0"/>
              <w:jc w:val="center"/>
              <w:rPr>
                <w:rFonts w:cstheme="minorHAnsi"/>
                <w:b/>
                <w:sz w:val="20"/>
                <w:szCs w:val="20"/>
              </w:rPr>
            </w:pPr>
            <w:r w:rsidRPr="003A727F">
              <w:rPr>
                <w:rFonts w:cstheme="minorHAnsi"/>
                <w:b/>
                <w:sz w:val="20"/>
                <w:szCs w:val="20"/>
              </w:rPr>
              <w:t>(v %)</w:t>
            </w:r>
          </w:p>
        </w:tc>
      </w:tr>
      <w:tr w:rsidR="00B12724" w:rsidRPr="002F1BE7" w14:paraId="75270BA7" w14:textId="77777777" w:rsidTr="005B2E1E">
        <w:trPr>
          <w:trHeight w:val="406"/>
          <w:tblHeader/>
        </w:trPr>
        <w:tc>
          <w:tcPr>
            <w:tcW w:w="3119" w:type="dxa"/>
            <w:vMerge/>
            <w:tcBorders>
              <w:bottom w:val="nil"/>
            </w:tcBorders>
          </w:tcPr>
          <w:p w14:paraId="4F661D05" w14:textId="77777777" w:rsidR="00453450" w:rsidRPr="0077128B" w:rsidRDefault="00453450" w:rsidP="005B2E1E">
            <w:pPr>
              <w:jc w:val="center"/>
              <w:rPr>
                <w:rFonts w:cstheme="minorHAnsi"/>
                <w:color w:val="FF0000"/>
                <w:sz w:val="20"/>
                <w:szCs w:val="20"/>
              </w:rPr>
            </w:pPr>
          </w:p>
        </w:tc>
        <w:tc>
          <w:tcPr>
            <w:tcW w:w="1125" w:type="dxa"/>
            <w:vMerge/>
            <w:tcBorders>
              <w:bottom w:val="nil"/>
              <w:right w:val="single" w:sz="4" w:space="0" w:color="auto"/>
            </w:tcBorders>
          </w:tcPr>
          <w:p w14:paraId="1B742C8C" w14:textId="77777777" w:rsidR="00453450" w:rsidRPr="0077128B" w:rsidRDefault="00453450" w:rsidP="005B2E1E">
            <w:pPr>
              <w:jc w:val="center"/>
              <w:rPr>
                <w:rFonts w:cstheme="minorHAnsi"/>
                <w:color w:val="FF0000"/>
                <w:sz w:val="20"/>
                <w:szCs w:val="20"/>
              </w:rPr>
            </w:pPr>
          </w:p>
        </w:tc>
        <w:tc>
          <w:tcPr>
            <w:tcW w:w="1125" w:type="dxa"/>
            <w:tcBorders>
              <w:top w:val="single" w:sz="4" w:space="0" w:color="auto"/>
              <w:left w:val="single" w:sz="4" w:space="0" w:color="auto"/>
              <w:bottom w:val="single" w:sz="4" w:space="0" w:color="auto"/>
              <w:right w:val="single" w:sz="4" w:space="0" w:color="auto"/>
            </w:tcBorders>
            <w:shd w:val="pct12" w:color="auto" w:fill="auto"/>
          </w:tcPr>
          <w:p w14:paraId="52DDC7A2" w14:textId="09D55C9E" w:rsidR="00453450" w:rsidRPr="0077128B" w:rsidRDefault="003A727F" w:rsidP="005B2E1E">
            <w:pPr>
              <w:spacing w:before="60" w:after="60"/>
              <w:jc w:val="center"/>
              <w:rPr>
                <w:rFonts w:cstheme="minorHAnsi"/>
                <w:b/>
                <w:color w:val="FF0000"/>
                <w:sz w:val="20"/>
                <w:szCs w:val="20"/>
              </w:rPr>
            </w:pPr>
            <w:r w:rsidRPr="00C5192D">
              <w:rPr>
                <w:rFonts w:cstheme="minorHAnsi"/>
                <w:b/>
                <w:sz w:val="20"/>
                <w:szCs w:val="20"/>
              </w:rPr>
              <w:t>schválený</w:t>
            </w:r>
          </w:p>
        </w:tc>
        <w:tc>
          <w:tcPr>
            <w:tcW w:w="1152" w:type="dxa"/>
            <w:tcBorders>
              <w:top w:val="single" w:sz="4" w:space="0" w:color="auto"/>
              <w:left w:val="single" w:sz="4" w:space="0" w:color="auto"/>
              <w:bottom w:val="single" w:sz="4" w:space="0" w:color="auto"/>
              <w:right w:val="single" w:sz="4" w:space="0" w:color="auto"/>
            </w:tcBorders>
            <w:shd w:val="pct12" w:color="auto" w:fill="auto"/>
          </w:tcPr>
          <w:p w14:paraId="2140645A" w14:textId="594EBC50" w:rsidR="00453450" w:rsidRPr="0077128B" w:rsidRDefault="003A727F" w:rsidP="005B2E1E">
            <w:pPr>
              <w:spacing w:before="60" w:after="60"/>
              <w:jc w:val="center"/>
              <w:rPr>
                <w:rFonts w:cstheme="minorHAnsi"/>
                <w:b/>
                <w:color w:val="FF0000"/>
                <w:sz w:val="20"/>
                <w:szCs w:val="20"/>
              </w:rPr>
            </w:pPr>
            <w:r w:rsidRPr="00C5192D">
              <w:rPr>
                <w:rFonts w:cstheme="minorHAnsi"/>
                <w:b/>
                <w:sz w:val="20"/>
                <w:szCs w:val="20"/>
              </w:rPr>
              <w:t>po změnách</w:t>
            </w:r>
          </w:p>
        </w:tc>
        <w:tc>
          <w:tcPr>
            <w:tcW w:w="1134" w:type="dxa"/>
            <w:tcBorders>
              <w:top w:val="single" w:sz="4" w:space="0" w:color="auto"/>
              <w:left w:val="single" w:sz="4" w:space="0" w:color="auto"/>
              <w:bottom w:val="single" w:sz="4" w:space="0" w:color="auto"/>
              <w:right w:val="single" w:sz="4" w:space="0" w:color="auto"/>
            </w:tcBorders>
            <w:shd w:val="pct12" w:color="auto" w:fill="auto"/>
          </w:tcPr>
          <w:p w14:paraId="3E5683A6" w14:textId="3C9B3BA1" w:rsidR="00453450" w:rsidRPr="0077128B" w:rsidRDefault="003A727F" w:rsidP="005B2E1E">
            <w:pPr>
              <w:spacing w:before="60" w:after="60"/>
              <w:jc w:val="center"/>
              <w:rPr>
                <w:rFonts w:cstheme="minorHAnsi"/>
                <w:b/>
                <w:color w:val="FF0000"/>
                <w:sz w:val="20"/>
                <w:szCs w:val="20"/>
              </w:rPr>
            </w:pPr>
            <w:r w:rsidRPr="00C5192D">
              <w:rPr>
                <w:rFonts w:cstheme="minorHAnsi"/>
                <w:b/>
                <w:sz w:val="20"/>
                <w:szCs w:val="20"/>
              </w:rPr>
              <w:t>konečný</w:t>
            </w:r>
          </w:p>
        </w:tc>
        <w:tc>
          <w:tcPr>
            <w:tcW w:w="1089" w:type="dxa"/>
            <w:vMerge/>
            <w:tcBorders>
              <w:left w:val="single" w:sz="4" w:space="0" w:color="auto"/>
              <w:bottom w:val="nil"/>
              <w:right w:val="single" w:sz="4" w:space="0" w:color="auto"/>
            </w:tcBorders>
          </w:tcPr>
          <w:p w14:paraId="18053E90" w14:textId="77777777" w:rsidR="00453450" w:rsidRPr="0077128B" w:rsidRDefault="00453450" w:rsidP="005B2E1E">
            <w:pPr>
              <w:jc w:val="center"/>
              <w:rPr>
                <w:rFonts w:cstheme="minorHAnsi"/>
                <w:color w:val="FF0000"/>
                <w:sz w:val="20"/>
                <w:szCs w:val="20"/>
              </w:rPr>
            </w:pPr>
          </w:p>
        </w:tc>
        <w:tc>
          <w:tcPr>
            <w:tcW w:w="754" w:type="dxa"/>
            <w:vMerge/>
            <w:tcBorders>
              <w:left w:val="single" w:sz="4" w:space="0" w:color="auto"/>
              <w:bottom w:val="nil"/>
            </w:tcBorders>
          </w:tcPr>
          <w:p w14:paraId="1C3DEA30" w14:textId="77777777" w:rsidR="00453450" w:rsidRPr="0077128B" w:rsidRDefault="00453450" w:rsidP="005B2E1E">
            <w:pPr>
              <w:jc w:val="center"/>
              <w:rPr>
                <w:rFonts w:cstheme="minorHAnsi"/>
                <w:color w:val="FF0000"/>
                <w:sz w:val="20"/>
                <w:szCs w:val="20"/>
              </w:rPr>
            </w:pPr>
          </w:p>
        </w:tc>
      </w:tr>
      <w:tr w:rsidR="002F1BE7" w:rsidRPr="002F1BE7" w14:paraId="1A2CF0E8" w14:textId="77777777" w:rsidTr="005B2E1E">
        <w:trPr>
          <w:trHeight w:val="100"/>
          <w:tblHeader/>
        </w:trPr>
        <w:tc>
          <w:tcPr>
            <w:tcW w:w="3119" w:type="dxa"/>
            <w:tcBorders>
              <w:top w:val="single" w:sz="4" w:space="0" w:color="auto"/>
              <w:left w:val="single" w:sz="4" w:space="0" w:color="auto"/>
              <w:bottom w:val="single" w:sz="4" w:space="0" w:color="auto"/>
              <w:right w:val="single" w:sz="4" w:space="0" w:color="auto"/>
            </w:tcBorders>
          </w:tcPr>
          <w:p w14:paraId="613E0709" w14:textId="2A4B5EEA" w:rsidR="00453450" w:rsidRPr="0077128B" w:rsidRDefault="003A727F" w:rsidP="005B2E1E">
            <w:pPr>
              <w:spacing w:after="0"/>
              <w:jc w:val="center"/>
              <w:rPr>
                <w:rFonts w:cstheme="minorHAnsi"/>
                <w:color w:val="FF0000"/>
                <w:sz w:val="20"/>
                <w:szCs w:val="20"/>
              </w:rPr>
            </w:pPr>
            <w:r w:rsidRPr="00C5192D">
              <w:rPr>
                <w:rFonts w:cstheme="minorHAnsi"/>
                <w:sz w:val="20"/>
                <w:szCs w:val="20"/>
              </w:rPr>
              <w:t>a</w:t>
            </w:r>
          </w:p>
        </w:tc>
        <w:tc>
          <w:tcPr>
            <w:tcW w:w="1125" w:type="dxa"/>
            <w:tcBorders>
              <w:top w:val="single" w:sz="4" w:space="0" w:color="auto"/>
              <w:left w:val="single" w:sz="4" w:space="0" w:color="auto"/>
              <w:bottom w:val="single" w:sz="4" w:space="0" w:color="auto"/>
              <w:right w:val="single" w:sz="4" w:space="0" w:color="auto"/>
            </w:tcBorders>
          </w:tcPr>
          <w:p w14:paraId="23A0CD65" w14:textId="2884FF2A" w:rsidR="00453450" w:rsidRPr="0077128B" w:rsidRDefault="003A727F" w:rsidP="005B2E1E">
            <w:pPr>
              <w:spacing w:after="0"/>
              <w:jc w:val="center"/>
              <w:rPr>
                <w:rFonts w:cstheme="minorHAnsi"/>
                <w:color w:val="FF0000"/>
                <w:sz w:val="20"/>
                <w:szCs w:val="20"/>
              </w:rPr>
            </w:pPr>
            <w:r w:rsidRPr="00C5192D">
              <w:rPr>
                <w:rFonts w:cstheme="minorHAnsi"/>
                <w:sz w:val="20"/>
                <w:szCs w:val="20"/>
              </w:rPr>
              <w:t>1</w:t>
            </w:r>
          </w:p>
        </w:tc>
        <w:tc>
          <w:tcPr>
            <w:tcW w:w="1125" w:type="dxa"/>
            <w:tcBorders>
              <w:top w:val="single" w:sz="4" w:space="0" w:color="auto"/>
              <w:left w:val="single" w:sz="4" w:space="0" w:color="auto"/>
              <w:bottom w:val="single" w:sz="4" w:space="0" w:color="auto"/>
              <w:right w:val="single" w:sz="4" w:space="0" w:color="auto"/>
            </w:tcBorders>
          </w:tcPr>
          <w:p w14:paraId="6AF46F75" w14:textId="113DC507" w:rsidR="00453450" w:rsidRPr="0077128B" w:rsidRDefault="003A727F" w:rsidP="005B2E1E">
            <w:pPr>
              <w:spacing w:after="0"/>
              <w:jc w:val="center"/>
              <w:rPr>
                <w:rFonts w:cstheme="minorHAnsi"/>
                <w:color w:val="FF0000"/>
                <w:sz w:val="20"/>
                <w:szCs w:val="20"/>
              </w:rPr>
            </w:pPr>
            <w:r w:rsidRPr="00C5192D">
              <w:rPr>
                <w:rFonts w:cstheme="minorHAnsi"/>
                <w:sz w:val="20"/>
                <w:szCs w:val="20"/>
              </w:rPr>
              <w:t>2</w:t>
            </w:r>
          </w:p>
        </w:tc>
        <w:tc>
          <w:tcPr>
            <w:tcW w:w="1152" w:type="dxa"/>
            <w:tcBorders>
              <w:top w:val="single" w:sz="4" w:space="0" w:color="auto"/>
              <w:left w:val="single" w:sz="4" w:space="0" w:color="auto"/>
              <w:bottom w:val="single" w:sz="4" w:space="0" w:color="auto"/>
              <w:right w:val="single" w:sz="4" w:space="0" w:color="auto"/>
            </w:tcBorders>
          </w:tcPr>
          <w:p w14:paraId="3E64DE8E" w14:textId="09BC5E0F" w:rsidR="00453450" w:rsidRPr="0077128B" w:rsidRDefault="003A727F" w:rsidP="005B2E1E">
            <w:pPr>
              <w:spacing w:after="0"/>
              <w:jc w:val="center"/>
              <w:rPr>
                <w:rFonts w:cstheme="minorHAnsi"/>
                <w:color w:val="FF0000"/>
                <w:sz w:val="20"/>
                <w:szCs w:val="20"/>
              </w:rPr>
            </w:pPr>
            <w:r w:rsidRPr="00C5192D">
              <w:rPr>
                <w:rFonts w:cstheme="minorHAnsi"/>
                <w:sz w:val="20"/>
                <w:szCs w:val="20"/>
              </w:rPr>
              <w:t>3</w:t>
            </w:r>
          </w:p>
        </w:tc>
        <w:tc>
          <w:tcPr>
            <w:tcW w:w="1134" w:type="dxa"/>
            <w:tcBorders>
              <w:top w:val="single" w:sz="4" w:space="0" w:color="auto"/>
              <w:left w:val="single" w:sz="4" w:space="0" w:color="auto"/>
              <w:bottom w:val="single" w:sz="4" w:space="0" w:color="auto"/>
              <w:right w:val="single" w:sz="4" w:space="0" w:color="auto"/>
            </w:tcBorders>
          </w:tcPr>
          <w:p w14:paraId="3EBABB96" w14:textId="1A7127FD" w:rsidR="00453450" w:rsidRPr="0077128B" w:rsidRDefault="003A727F" w:rsidP="005B2E1E">
            <w:pPr>
              <w:spacing w:after="0"/>
              <w:jc w:val="center"/>
              <w:rPr>
                <w:rFonts w:cstheme="minorHAnsi"/>
                <w:color w:val="FF0000"/>
                <w:sz w:val="20"/>
                <w:szCs w:val="20"/>
              </w:rPr>
            </w:pPr>
            <w:r w:rsidRPr="00C5192D">
              <w:rPr>
                <w:rFonts w:cstheme="minorHAnsi"/>
                <w:sz w:val="20"/>
                <w:szCs w:val="20"/>
              </w:rPr>
              <w:t>4</w:t>
            </w:r>
          </w:p>
        </w:tc>
        <w:tc>
          <w:tcPr>
            <w:tcW w:w="1089" w:type="dxa"/>
            <w:tcBorders>
              <w:top w:val="single" w:sz="4" w:space="0" w:color="auto"/>
              <w:left w:val="single" w:sz="4" w:space="0" w:color="auto"/>
              <w:bottom w:val="single" w:sz="4" w:space="0" w:color="auto"/>
              <w:right w:val="single" w:sz="4" w:space="0" w:color="auto"/>
            </w:tcBorders>
          </w:tcPr>
          <w:p w14:paraId="1CBB46B5" w14:textId="0217D3C7" w:rsidR="00453450" w:rsidRPr="0077128B" w:rsidRDefault="003A727F" w:rsidP="005B2E1E">
            <w:pPr>
              <w:spacing w:after="0"/>
              <w:jc w:val="center"/>
              <w:rPr>
                <w:rFonts w:cstheme="minorHAnsi"/>
                <w:color w:val="FF0000"/>
                <w:sz w:val="20"/>
                <w:szCs w:val="20"/>
              </w:rPr>
            </w:pPr>
            <w:r w:rsidRPr="00C5192D">
              <w:rPr>
                <w:rFonts w:cstheme="minorHAnsi"/>
                <w:sz w:val="20"/>
                <w:szCs w:val="20"/>
              </w:rPr>
              <w:t>5</w:t>
            </w:r>
          </w:p>
        </w:tc>
        <w:tc>
          <w:tcPr>
            <w:tcW w:w="754" w:type="dxa"/>
            <w:tcBorders>
              <w:top w:val="single" w:sz="4" w:space="0" w:color="auto"/>
              <w:left w:val="single" w:sz="4" w:space="0" w:color="auto"/>
              <w:bottom w:val="single" w:sz="4" w:space="0" w:color="auto"/>
              <w:right w:val="single" w:sz="4" w:space="0" w:color="auto"/>
            </w:tcBorders>
          </w:tcPr>
          <w:p w14:paraId="57943FBB" w14:textId="67243BFA" w:rsidR="00453450" w:rsidRPr="0077128B" w:rsidRDefault="003A727F" w:rsidP="005B2E1E">
            <w:pPr>
              <w:spacing w:after="0"/>
              <w:jc w:val="center"/>
              <w:rPr>
                <w:rFonts w:cstheme="minorHAnsi"/>
                <w:color w:val="FF0000"/>
                <w:sz w:val="20"/>
                <w:szCs w:val="20"/>
              </w:rPr>
            </w:pPr>
            <w:r w:rsidRPr="00C5192D">
              <w:rPr>
                <w:rFonts w:cstheme="minorHAnsi"/>
                <w:sz w:val="20"/>
                <w:szCs w:val="20"/>
              </w:rPr>
              <w:t>5/1</w:t>
            </w:r>
          </w:p>
        </w:tc>
      </w:tr>
      <w:tr w:rsidR="00B12724" w:rsidRPr="002F1BE7" w14:paraId="685EA1C1" w14:textId="77777777" w:rsidTr="005B2E1E">
        <w:trPr>
          <w:trHeight w:val="388"/>
          <w:tblHeader/>
        </w:trPr>
        <w:tc>
          <w:tcPr>
            <w:tcW w:w="3119" w:type="dxa"/>
            <w:tcBorders>
              <w:top w:val="single" w:sz="4" w:space="0" w:color="auto"/>
              <w:left w:val="single" w:sz="4" w:space="0" w:color="auto"/>
              <w:bottom w:val="single" w:sz="4" w:space="0" w:color="auto"/>
              <w:right w:val="single" w:sz="4" w:space="0" w:color="auto"/>
            </w:tcBorders>
            <w:shd w:val="pct12" w:color="auto" w:fill="auto"/>
          </w:tcPr>
          <w:p w14:paraId="41E90D63" w14:textId="381A335C" w:rsidR="00453450" w:rsidRPr="0077128B" w:rsidRDefault="003A727F" w:rsidP="005B2E1E">
            <w:pPr>
              <w:pStyle w:val="Zkladntext"/>
              <w:spacing w:before="60" w:after="60"/>
              <w:rPr>
                <w:rFonts w:cstheme="minorHAnsi"/>
                <w:b/>
                <w:bCs/>
                <w:color w:val="FF0000"/>
                <w:sz w:val="20"/>
                <w:szCs w:val="20"/>
              </w:rPr>
            </w:pPr>
            <w:r w:rsidRPr="00C5192D">
              <w:rPr>
                <w:rFonts w:cstheme="minorHAnsi"/>
                <w:b/>
                <w:bCs/>
                <w:sz w:val="20"/>
                <w:szCs w:val="20"/>
              </w:rPr>
              <w:t xml:space="preserve">Transfery celkem </w:t>
            </w:r>
            <w:r w:rsidRPr="00C5192D">
              <w:rPr>
                <w:rFonts w:cstheme="minorHAnsi"/>
                <w:bCs/>
                <w:sz w:val="20"/>
                <w:szCs w:val="20"/>
              </w:rPr>
              <w:t>(v tom:)</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24B355C6" w14:textId="603114FB" w:rsidR="00453450" w:rsidRPr="0077128B" w:rsidRDefault="003A727F" w:rsidP="005B2E1E">
            <w:pPr>
              <w:spacing w:before="60" w:after="60"/>
              <w:jc w:val="right"/>
              <w:rPr>
                <w:rFonts w:cstheme="minorHAnsi"/>
                <w:b/>
                <w:bCs/>
                <w:color w:val="FF0000"/>
                <w:sz w:val="20"/>
                <w:szCs w:val="20"/>
              </w:rPr>
            </w:pPr>
            <w:r w:rsidRPr="00C5192D">
              <w:rPr>
                <w:rFonts w:cstheme="minorHAnsi"/>
                <w:b/>
                <w:bCs/>
                <w:sz w:val="20"/>
                <w:szCs w:val="20"/>
              </w:rPr>
              <w:t>93 808 913</w:t>
            </w:r>
          </w:p>
        </w:tc>
        <w:tc>
          <w:tcPr>
            <w:tcW w:w="1125" w:type="dxa"/>
            <w:tcBorders>
              <w:top w:val="single" w:sz="4" w:space="0" w:color="auto"/>
              <w:left w:val="single" w:sz="4" w:space="0" w:color="auto"/>
              <w:bottom w:val="single" w:sz="4" w:space="0" w:color="auto"/>
              <w:right w:val="single" w:sz="4" w:space="0" w:color="auto"/>
            </w:tcBorders>
            <w:shd w:val="pct12" w:color="auto" w:fill="auto"/>
            <w:vAlign w:val="center"/>
          </w:tcPr>
          <w:p w14:paraId="0EEE595C" w14:textId="55FEC2BD" w:rsidR="00453450" w:rsidRPr="0077128B" w:rsidRDefault="003A727F" w:rsidP="005B2E1E">
            <w:pPr>
              <w:spacing w:before="60" w:after="60"/>
              <w:jc w:val="right"/>
              <w:rPr>
                <w:rFonts w:cstheme="minorHAnsi"/>
                <w:b/>
                <w:bCs/>
                <w:color w:val="FF0000"/>
                <w:sz w:val="20"/>
                <w:szCs w:val="20"/>
              </w:rPr>
            </w:pPr>
            <w:r>
              <w:rPr>
                <w:rFonts w:cstheme="minorHAnsi"/>
                <w:b/>
                <w:bCs/>
                <w:sz w:val="20"/>
                <w:szCs w:val="20"/>
              </w:rPr>
              <w:t>92 369 489</w:t>
            </w:r>
          </w:p>
        </w:tc>
        <w:tc>
          <w:tcPr>
            <w:tcW w:w="1152" w:type="dxa"/>
            <w:tcBorders>
              <w:top w:val="single" w:sz="4" w:space="0" w:color="auto"/>
              <w:left w:val="single" w:sz="4" w:space="0" w:color="auto"/>
              <w:bottom w:val="single" w:sz="4" w:space="0" w:color="auto"/>
              <w:right w:val="single" w:sz="4" w:space="0" w:color="auto"/>
            </w:tcBorders>
            <w:shd w:val="pct12" w:color="auto" w:fill="auto"/>
            <w:vAlign w:val="center"/>
          </w:tcPr>
          <w:p w14:paraId="68E6DC63" w14:textId="2981B988" w:rsidR="00453450" w:rsidRPr="0077128B" w:rsidRDefault="003A727F" w:rsidP="005B2E1E">
            <w:pPr>
              <w:spacing w:before="60" w:after="60"/>
              <w:jc w:val="right"/>
              <w:rPr>
                <w:rFonts w:cstheme="minorHAnsi"/>
                <w:b/>
                <w:bCs/>
                <w:color w:val="FF0000"/>
                <w:sz w:val="20"/>
                <w:szCs w:val="20"/>
              </w:rPr>
            </w:pPr>
            <w:r>
              <w:rPr>
                <w:rFonts w:cstheme="minorHAnsi"/>
                <w:b/>
                <w:bCs/>
                <w:sz w:val="20"/>
                <w:szCs w:val="20"/>
              </w:rPr>
              <w:t>91 986 999</w:t>
            </w:r>
          </w:p>
        </w:tc>
        <w:tc>
          <w:tcPr>
            <w:tcW w:w="1134" w:type="dxa"/>
            <w:tcBorders>
              <w:top w:val="single" w:sz="4" w:space="0" w:color="auto"/>
              <w:left w:val="single" w:sz="4" w:space="0" w:color="auto"/>
              <w:bottom w:val="single" w:sz="4" w:space="0" w:color="auto"/>
              <w:right w:val="single" w:sz="4" w:space="0" w:color="auto"/>
            </w:tcBorders>
            <w:shd w:val="pct12" w:color="auto" w:fill="auto"/>
          </w:tcPr>
          <w:p w14:paraId="7BA1A41E" w14:textId="70B76D52" w:rsidR="00453450" w:rsidRPr="0077128B" w:rsidRDefault="003A727F" w:rsidP="005B2E1E">
            <w:pPr>
              <w:spacing w:before="60" w:after="60"/>
              <w:ind w:left="-70"/>
              <w:jc w:val="right"/>
              <w:rPr>
                <w:rFonts w:cstheme="minorHAnsi"/>
                <w:b/>
                <w:bCs/>
                <w:color w:val="FF0000"/>
                <w:sz w:val="20"/>
                <w:szCs w:val="20"/>
              </w:rPr>
            </w:pPr>
            <w:r>
              <w:rPr>
                <w:rFonts w:cstheme="minorHAnsi"/>
                <w:b/>
                <w:bCs/>
                <w:sz w:val="20"/>
                <w:szCs w:val="20"/>
              </w:rPr>
              <w:t>96 355 023</w:t>
            </w:r>
          </w:p>
        </w:tc>
        <w:tc>
          <w:tcPr>
            <w:tcW w:w="1089" w:type="dxa"/>
            <w:tcBorders>
              <w:top w:val="single" w:sz="4" w:space="0" w:color="auto"/>
              <w:left w:val="single" w:sz="4" w:space="0" w:color="auto"/>
              <w:bottom w:val="single" w:sz="4" w:space="0" w:color="auto"/>
              <w:right w:val="single" w:sz="4" w:space="0" w:color="auto"/>
            </w:tcBorders>
            <w:shd w:val="pct12" w:color="auto" w:fill="auto"/>
            <w:vAlign w:val="center"/>
          </w:tcPr>
          <w:p w14:paraId="03221128" w14:textId="47E9D79A" w:rsidR="00453450" w:rsidRPr="0077128B" w:rsidRDefault="003A727F" w:rsidP="005B2E1E">
            <w:pPr>
              <w:spacing w:before="60" w:after="60"/>
              <w:jc w:val="right"/>
              <w:rPr>
                <w:rFonts w:cstheme="minorHAnsi"/>
                <w:b/>
                <w:bCs/>
                <w:color w:val="FF0000"/>
                <w:sz w:val="20"/>
                <w:szCs w:val="20"/>
              </w:rPr>
            </w:pPr>
            <w:r>
              <w:rPr>
                <w:rFonts w:cstheme="minorHAnsi"/>
                <w:b/>
                <w:bCs/>
                <w:sz w:val="20"/>
                <w:szCs w:val="20"/>
              </w:rPr>
              <w:t>88 156 755</w:t>
            </w:r>
          </w:p>
        </w:tc>
        <w:tc>
          <w:tcPr>
            <w:tcW w:w="754" w:type="dxa"/>
            <w:tcBorders>
              <w:top w:val="single" w:sz="4" w:space="0" w:color="auto"/>
              <w:left w:val="single" w:sz="4" w:space="0" w:color="auto"/>
              <w:bottom w:val="single" w:sz="4" w:space="0" w:color="auto"/>
              <w:right w:val="single" w:sz="4" w:space="0" w:color="auto"/>
            </w:tcBorders>
            <w:shd w:val="pct12" w:color="auto" w:fill="auto"/>
            <w:vAlign w:val="center"/>
          </w:tcPr>
          <w:p w14:paraId="4CF8E18E" w14:textId="71010FAD" w:rsidR="00453450" w:rsidRPr="0077128B" w:rsidRDefault="003A727F" w:rsidP="005B2E1E">
            <w:pPr>
              <w:spacing w:before="60" w:after="60"/>
              <w:jc w:val="right"/>
              <w:rPr>
                <w:rFonts w:cstheme="minorHAnsi"/>
                <w:b/>
                <w:bCs/>
                <w:color w:val="FF0000"/>
                <w:sz w:val="20"/>
                <w:szCs w:val="20"/>
              </w:rPr>
            </w:pPr>
            <w:r>
              <w:rPr>
                <w:rFonts w:cstheme="minorHAnsi"/>
                <w:b/>
                <w:bCs/>
                <w:sz w:val="20"/>
                <w:szCs w:val="20"/>
              </w:rPr>
              <w:t>94,0</w:t>
            </w:r>
          </w:p>
        </w:tc>
      </w:tr>
      <w:tr w:rsidR="002F1BE7" w:rsidRPr="002F1BE7" w14:paraId="57CAC283" w14:textId="77777777" w:rsidTr="005B2E1E">
        <w:trPr>
          <w:trHeight w:val="388"/>
          <w:tblHeader/>
        </w:trPr>
        <w:tc>
          <w:tcPr>
            <w:tcW w:w="3119" w:type="dxa"/>
            <w:tcBorders>
              <w:top w:val="single" w:sz="4" w:space="0" w:color="auto"/>
              <w:left w:val="single" w:sz="4" w:space="0" w:color="auto"/>
              <w:bottom w:val="nil"/>
              <w:right w:val="single" w:sz="4" w:space="0" w:color="auto"/>
            </w:tcBorders>
          </w:tcPr>
          <w:p w14:paraId="13B846BC" w14:textId="6F65E5C7" w:rsidR="00453450" w:rsidRPr="0077128B" w:rsidRDefault="003A727F" w:rsidP="005B2E1E">
            <w:pPr>
              <w:pStyle w:val="Zkladntext"/>
              <w:spacing w:before="60" w:after="60"/>
              <w:rPr>
                <w:rFonts w:cstheme="minorHAnsi"/>
                <w:b/>
                <w:bCs/>
                <w:color w:val="FF0000"/>
                <w:sz w:val="20"/>
                <w:szCs w:val="20"/>
              </w:rPr>
            </w:pPr>
            <w:r w:rsidRPr="00C5192D">
              <w:rPr>
                <w:rFonts w:cstheme="minorHAnsi"/>
                <w:b/>
                <w:bCs/>
                <w:color w:val="2E74B5" w:themeColor="accent1" w:themeShade="BF"/>
                <w:sz w:val="20"/>
                <w:szCs w:val="20"/>
              </w:rPr>
              <w:t xml:space="preserve">Neinvestiční transfer </w:t>
            </w:r>
            <w:r w:rsidRPr="00C5192D">
              <w:rPr>
                <w:rFonts w:cstheme="minorHAnsi"/>
                <w:bCs/>
                <w:color w:val="2E74B5" w:themeColor="accent1" w:themeShade="BF"/>
                <w:sz w:val="20"/>
                <w:szCs w:val="20"/>
              </w:rPr>
              <w:t>(v tom)</w:t>
            </w:r>
          </w:p>
        </w:tc>
        <w:tc>
          <w:tcPr>
            <w:tcW w:w="1125" w:type="dxa"/>
            <w:tcBorders>
              <w:top w:val="single" w:sz="4" w:space="0" w:color="auto"/>
              <w:left w:val="single" w:sz="4" w:space="0" w:color="auto"/>
              <w:bottom w:val="nil"/>
              <w:right w:val="single" w:sz="4" w:space="0" w:color="auto"/>
            </w:tcBorders>
            <w:vAlign w:val="center"/>
          </w:tcPr>
          <w:p w14:paraId="1F7E45D6" w14:textId="332D01EC" w:rsidR="00453450" w:rsidRPr="0077128B" w:rsidRDefault="003A727F" w:rsidP="005B2E1E">
            <w:pPr>
              <w:spacing w:before="60" w:after="60"/>
              <w:jc w:val="right"/>
              <w:rPr>
                <w:rFonts w:cstheme="minorHAnsi"/>
                <w:b/>
                <w:bCs/>
                <w:color w:val="FF0000"/>
                <w:sz w:val="20"/>
                <w:szCs w:val="20"/>
              </w:rPr>
            </w:pPr>
            <w:r w:rsidRPr="00C5192D">
              <w:rPr>
                <w:rFonts w:cstheme="minorHAnsi"/>
                <w:b/>
                <w:bCs/>
                <w:color w:val="2E74B5" w:themeColor="accent1" w:themeShade="BF"/>
                <w:sz w:val="20"/>
                <w:szCs w:val="20"/>
              </w:rPr>
              <w:t>17 098 245</w:t>
            </w:r>
          </w:p>
        </w:tc>
        <w:tc>
          <w:tcPr>
            <w:tcW w:w="1125" w:type="dxa"/>
            <w:tcBorders>
              <w:top w:val="single" w:sz="4" w:space="0" w:color="auto"/>
              <w:left w:val="single" w:sz="4" w:space="0" w:color="auto"/>
              <w:bottom w:val="nil"/>
              <w:right w:val="single" w:sz="4" w:space="0" w:color="auto"/>
            </w:tcBorders>
            <w:vAlign w:val="center"/>
          </w:tcPr>
          <w:p w14:paraId="4A49DB50" w14:textId="60AF93AC" w:rsidR="00453450" w:rsidRPr="0077128B" w:rsidRDefault="003A727F" w:rsidP="005B2E1E">
            <w:pPr>
              <w:spacing w:before="60" w:after="60"/>
              <w:jc w:val="right"/>
              <w:rPr>
                <w:rFonts w:cstheme="minorHAnsi"/>
                <w:b/>
                <w:bCs/>
                <w:color w:val="FF0000"/>
                <w:sz w:val="20"/>
                <w:szCs w:val="20"/>
              </w:rPr>
            </w:pPr>
            <w:r>
              <w:rPr>
                <w:rFonts w:cstheme="minorHAnsi"/>
                <w:b/>
                <w:bCs/>
                <w:color w:val="2E74B5" w:themeColor="accent1" w:themeShade="BF"/>
                <w:sz w:val="20"/>
                <w:szCs w:val="20"/>
              </w:rPr>
              <w:t>16 423 000</w:t>
            </w:r>
          </w:p>
        </w:tc>
        <w:tc>
          <w:tcPr>
            <w:tcW w:w="1152" w:type="dxa"/>
            <w:tcBorders>
              <w:top w:val="single" w:sz="4" w:space="0" w:color="auto"/>
              <w:left w:val="single" w:sz="4" w:space="0" w:color="auto"/>
              <w:bottom w:val="nil"/>
              <w:right w:val="single" w:sz="4" w:space="0" w:color="auto"/>
            </w:tcBorders>
            <w:vAlign w:val="center"/>
          </w:tcPr>
          <w:p w14:paraId="0E6F6B3A" w14:textId="4AC11EA0" w:rsidR="00453450" w:rsidRPr="0077128B" w:rsidRDefault="003A727F" w:rsidP="005B2E1E">
            <w:pPr>
              <w:spacing w:before="60" w:after="60"/>
              <w:jc w:val="right"/>
              <w:rPr>
                <w:rFonts w:cstheme="minorHAnsi"/>
                <w:b/>
                <w:bCs/>
                <w:color w:val="FF0000"/>
                <w:sz w:val="20"/>
                <w:szCs w:val="20"/>
              </w:rPr>
            </w:pPr>
            <w:r>
              <w:rPr>
                <w:rFonts w:cstheme="minorHAnsi"/>
                <w:b/>
                <w:bCs/>
                <w:color w:val="2E74B5" w:themeColor="accent1" w:themeShade="BF"/>
                <w:sz w:val="20"/>
                <w:szCs w:val="20"/>
              </w:rPr>
              <w:t>21 378 361</w:t>
            </w:r>
          </w:p>
        </w:tc>
        <w:tc>
          <w:tcPr>
            <w:tcW w:w="1134" w:type="dxa"/>
            <w:tcBorders>
              <w:top w:val="single" w:sz="4" w:space="0" w:color="auto"/>
              <w:left w:val="single" w:sz="4" w:space="0" w:color="auto"/>
              <w:bottom w:val="nil"/>
              <w:right w:val="single" w:sz="4" w:space="0" w:color="auto"/>
            </w:tcBorders>
            <w:vAlign w:val="center"/>
          </w:tcPr>
          <w:p w14:paraId="63713768" w14:textId="6DC0C49A" w:rsidR="00453450" w:rsidRPr="0077128B" w:rsidRDefault="003A727F" w:rsidP="005B2E1E">
            <w:pPr>
              <w:spacing w:before="60" w:after="60"/>
              <w:jc w:val="right"/>
              <w:rPr>
                <w:rFonts w:cstheme="minorHAnsi"/>
                <w:b/>
                <w:bCs/>
                <w:color w:val="FF0000"/>
                <w:sz w:val="20"/>
                <w:szCs w:val="20"/>
              </w:rPr>
            </w:pPr>
            <w:r>
              <w:rPr>
                <w:rFonts w:cstheme="minorHAnsi"/>
                <w:b/>
                <w:bCs/>
                <w:color w:val="2E74B5" w:themeColor="accent1" w:themeShade="BF"/>
                <w:sz w:val="20"/>
                <w:szCs w:val="20"/>
              </w:rPr>
              <w:t>21 491 827</w:t>
            </w:r>
          </w:p>
        </w:tc>
        <w:tc>
          <w:tcPr>
            <w:tcW w:w="1089" w:type="dxa"/>
            <w:tcBorders>
              <w:top w:val="single" w:sz="4" w:space="0" w:color="auto"/>
              <w:left w:val="single" w:sz="4" w:space="0" w:color="auto"/>
              <w:bottom w:val="nil"/>
              <w:right w:val="single" w:sz="4" w:space="0" w:color="auto"/>
            </w:tcBorders>
            <w:vAlign w:val="center"/>
          </w:tcPr>
          <w:p w14:paraId="0967787C" w14:textId="1743380A" w:rsidR="00453450" w:rsidRPr="0077128B" w:rsidRDefault="003A727F" w:rsidP="005B2E1E">
            <w:pPr>
              <w:spacing w:before="60" w:after="60"/>
              <w:jc w:val="right"/>
              <w:rPr>
                <w:rFonts w:cstheme="minorHAnsi"/>
                <w:b/>
                <w:bCs/>
                <w:color w:val="FF0000"/>
                <w:sz w:val="20"/>
                <w:szCs w:val="20"/>
              </w:rPr>
            </w:pPr>
            <w:r>
              <w:rPr>
                <w:rFonts w:cstheme="minorHAnsi"/>
                <w:b/>
                <w:bCs/>
                <w:color w:val="2E74B5" w:themeColor="accent1" w:themeShade="BF"/>
                <w:sz w:val="20"/>
                <w:szCs w:val="20"/>
              </w:rPr>
              <w:t>21 428 873</w:t>
            </w:r>
          </w:p>
        </w:tc>
        <w:tc>
          <w:tcPr>
            <w:tcW w:w="754" w:type="dxa"/>
            <w:tcBorders>
              <w:top w:val="single" w:sz="4" w:space="0" w:color="auto"/>
              <w:left w:val="single" w:sz="4" w:space="0" w:color="auto"/>
              <w:bottom w:val="nil"/>
              <w:right w:val="single" w:sz="4" w:space="0" w:color="auto"/>
            </w:tcBorders>
            <w:vAlign w:val="center"/>
          </w:tcPr>
          <w:p w14:paraId="6185EF82" w14:textId="08C9A749" w:rsidR="00453450" w:rsidRPr="0077128B" w:rsidRDefault="003A727F" w:rsidP="005B2E1E">
            <w:pPr>
              <w:spacing w:before="60" w:after="60"/>
              <w:jc w:val="right"/>
              <w:rPr>
                <w:rFonts w:cstheme="minorHAnsi"/>
                <w:b/>
                <w:bCs/>
                <w:color w:val="FF0000"/>
                <w:sz w:val="20"/>
                <w:szCs w:val="20"/>
              </w:rPr>
            </w:pPr>
            <w:r>
              <w:rPr>
                <w:rFonts w:cstheme="minorHAnsi"/>
                <w:b/>
                <w:bCs/>
                <w:color w:val="2E74B5" w:themeColor="accent1" w:themeShade="BF"/>
                <w:sz w:val="20"/>
                <w:szCs w:val="20"/>
              </w:rPr>
              <w:t>125,3</w:t>
            </w:r>
          </w:p>
        </w:tc>
      </w:tr>
      <w:tr w:rsidR="002F1BE7" w:rsidRPr="002F1BE7" w14:paraId="41049B47" w14:textId="77777777" w:rsidTr="005B2E1E">
        <w:trPr>
          <w:tblHeader/>
        </w:trPr>
        <w:tc>
          <w:tcPr>
            <w:tcW w:w="3119" w:type="dxa"/>
            <w:tcBorders>
              <w:top w:val="nil"/>
              <w:left w:val="single" w:sz="4" w:space="0" w:color="auto"/>
              <w:bottom w:val="nil"/>
              <w:right w:val="single" w:sz="4" w:space="0" w:color="auto"/>
            </w:tcBorders>
          </w:tcPr>
          <w:p w14:paraId="07B17E39" w14:textId="5515F8BF" w:rsidR="00453450" w:rsidRPr="0077128B" w:rsidRDefault="00453450" w:rsidP="005B2E1E">
            <w:pPr>
              <w:spacing w:before="60" w:after="60"/>
              <w:jc w:val="both"/>
              <w:rPr>
                <w:rFonts w:cstheme="minorHAnsi"/>
                <w:color w:val="FF0000"/>
                <w:sz w:val="20"/>
                <w:szCs w:val="20"/>
              </w:rPr>
            </w:pPr>
            <w:r w:rsidRPr="00C5192D">
              <w:rPr>
                <w:rFonts w:cstheme="minorHAnsi"/>
                <w:sz w:val="20"/>
                <w:szCs w:val="20"/>
              </w:rPr>
              <w:t xml:space="preserve">dotace pro </w:t>
            </w:r>
            <w:proofErr w:type="spellStart"/>
            <w:r w:rsidRPr="00C5192D">
              <w:rPr>
                <w:rFonts w:cstheme="minorHAnsi"/>
                <w:sz w:val="20"/>
                <w:szCs w:val="20"/>
              </w:rPr>
              <w:t>společ</w:t>
            </w:r>
            <w:proofErr w:type="spellEnd"/>
            <w:r w:rsidRPr="00C5192D">
              <w:rPr>
                <w:rFonts w:cstheme="minorHAnsi"/>
                <w:sz w:val="20"/>
                <w:szCs w:val="20"/>
              </w:rPr>
              <w:t xml:space="preserve">. </w:t>
            </w:r>
            <w:r w:rsidR="003A727F" w:rsidRPr="00C5192D">
              <w:rPr>
                <w:rFonts w:cstheme="minorHAnsi"/>
                <w:sz w:val="20"/>
                <w:szCs w:val="20"/>
              </w:rPr>
              <w:t>programy EU a ČR</w:t>
            </w:r>
          </w:p>
        </w:tc>
        <w:tc>
          <w:tcPr>
            <w:tcW w:w="1125" w:type="dxa"/>
            <w:tcBorders>
              <w:top w:val="nil"/>
              <w:left w:val="single" w:sz="4" w:space="0" w:color="auto"/>
              <w:bottom w:val="nil"/>
              <w:right w:val="single" w:sz="4" w:space="0" w:color="auto"/>
            </w:tcBorders>
            <w:vAlign w:val="center"/>
          </w:tcPr>
          <w:p w14:paraId="3F43F6C5" w14:textId="46F49F63" w:rsidR="00453450" w:rsidRPr="0077128B" w:rsidRDefault="003A727F" w:rsidP="005B2E1E">
            <w:pPr>
              <w:spacing w:before="60" w:after="60"/>
              <w:jc w:val="right"/>
              <w:rPr>
                <w:rFonts w:cstheme="minorHAnsi"/>
                <w:color w:val="FF0000"/>
                <w:sz w:val="20"/>
                <w:szCs w:val="20"/>
              </w:rPr>
            </w:pPr>
            <w:r w:rsidRPr="00C5192D">
              <w:rPr>
                <w:rFonts w:cstheme="minorHAnsi"/>
                <w:sz w:val="20"/>
                <w:szCs w:val="20"/>
              </w:rPr>
              <w:t xml:space="preserve">38 178 </w:t>
            </w:r>
          </w:p>
        </w:tc>
        <w:tc>
          <w:tcPr>
            <w:tcW w:w="1125" w:type="dxa"/>
            <w:tcBorders>
              <w:top w:val="nil"/>
              <w:left w:val="single" w:sz="4" w:space="0" w:color="auto"/>
              <w:bottom w:val="nil"/>
              <w:right w:val="single" w:sz="4" w:space="0" w:color="auto"/>
            </w:tcBorders>
            <w:vAlign w:val="center"/>
          </w:tcPr>
          <w:p w14:paraId="2D5EC7E6" w14:textId="3193774D" w:rsidR="00453450" w:rsidRPr="0077128B" w:rsidRDefault="003A727F" w:rsidP="005B2E1E">
            <w:pPr>
              <w:spacing w:before="60" w:after="60"/>
              <w:jc w:val="right"/>
              <w:rPr>
                <w:rFonts w:cstheme="minorHAnsi"/>
                <w:color w:val="FF0000"/>
                <w:sz w:val="20"/>
                <w:szCs w:val="20"/>
              </w:rPr>
            </w:pPr>
            <w:r>
              <w:rPr>
                <w:rFonts w:cstheme="minorHAnsi"/>
                <w:sz w:val="20"/>
                <w:szCs w:val="20"/>
              </w:rPr>
              <w:t>0</w:t>
            </w:r>
            <w:r w:rsidRPr="00C5192D">
              <w:rPr>
                <w:rFonts w:cstheme="minorHAnsi"/>
                <w:sz w:val="20"/>
                <w:szCs w:val="20"/>
              </w:rPr>
              <w:t xml:space="preserve"> </w:t>
            </w:r>
          </w:p>
        </w:tc>
        <w:tc>
          <w:tcPr>
            <w:tcW w:w="1152" w:type="dxa"/>
            <w:tcBorders>
              <w:top w:val="nil"/>
              <w:left w:val="single" w:sz="4" w:space="0" w:color="auto"/>
              <w:bottom w:val="nil"/>
              <w:right w:val="single" w:sz="4" w:space="0" w:color="auto"/>
            </w:tcBorders>
            <w:vAlign w:val="center"/>
          </w:tcPr>
          <w:p w14:paraId="28277E59" w14:textId="015492C1" w:rsidR="00453450" w:rsidRPr="0077128B" w:rsidRDefault="003A727F" w:rsidP="005B2E1E">
            <w:pPr>
              <w:spacing w:before="60" w:after="60"/>
              <w:jc w:val="right"/>
              <w:rPr>
                <w:rFonts w:cstheme="minorHAnsi"/>
                <w:color w:val="FF0000"/>
                <w:sz w:val="20"/>
                <w:szCs w:val="20"/>
              </w:rPr>
            </w:pPr>
            <w:r>
              <w:rPr>
                <w:rFonts w:cstheme="minorHAnsi"/>
                <w:sz w:val="20"/>
                <w:szCs w:val="20"/>
              </w:rPr>
              <w:t>767</w:t>
            </w:r>
          </w:p>
        </w:tc>
        <w:tc>
          <w:tcPr>
            <w:tcW w:w="1134" w:type="dxa"/>
            <w:tcBorders>
              <w:top w:val="nil"/>
              <w:left w:val="single" w:sz="4" w:space="0" w:color="auto"/>
              <w:bottom w:val="nil"/>
              <w:right w:val="single" w:sz="4" w:space="0" w:color="auto"/>
            </w:tcBorders>
            <w:vAlign w:val="center"/>
          </w:tcPr>
          <w:p w14:paraId="0E26F43A" w14:textId="248E980F" w:rsidR="00453450" w:rsidRPr="0077128B" w:rsidRDefault="003A727F" w:rsidP="005B2E1E">
            <w:pPr>
              <w:spacing w:before="60" w:after="60"/>
              <w:jc w:val="right"/>
              <w:rPr>
                <w:rFonts w:cstheme="minorHAnsi"/>
                <w:color w:val="FF0000"/>
                <w:sz w:val="20"/>
                <w:szCs w:val="20"/>
              </w:rPr>
            </w:pPr>
            <w:r>
              <w:rPr>
                <w:rFonts w:cstheme="minorHAnsi"/>
                <w:sz w:val="20"/>
                <w:szCs w:val="20"/>
              </w:rPr>
              <w:t>114 233</w:t>
            </w:r>
            <w:r w:rsidRPr="00C5192D">
              <w:rPr>
                <w:rFonts w:cstheme="minorHAnsi"/>
                <w:sz w:val="20"/>
                <w:szCs w:val="20"/>
              </w:rPr>
              <w:t xml:space="preserve"> </w:t>
            </w:r>
          </w:p>
        </w:tc>
        <w:tc>
          <w:tcPr>
            <w:tcW w:w="1089" w:type="dxa"/>
            <w:tcBorders>
              <w:top w:val="nil"/>
              <w:left w:val="single" w:sz="4" w:space="0" w:color="auto"/>
              <w:bottom w:val="nil"/>
              <w:right w:val="single" w:sz="4" w:space="0" w:color="auto"/>
            </w:tcBorders>
            <w:vAlign w:val="center"/>
          </w:tcPr>
          <w:p w14:paraId="07740B06" w14:textId="0D6C35CB" w:rsidR="00453450" w:rsidRPr="0077128B" w:rsidRDefault="003A727F" w:rsidP="005B2E1E">
            <w:pPr>
              <w:spacing w:before="60" w:after="60"/>
              <w:jc w:val="right"/>
              <w:rPr>
                <w:rFonts w:cstheme="minorHAnsi"/>
                <w:color w:val="FF0000"/>
                <w:sz w:val="20"/>
                <w:szCs w:val="20"/>
              </w:rPr>
            </w:pPr>
            <w:r>
              <w:rPr>
                <w:rFonts w:cstheme="minorHAnsi"/>
                <w:sz w:val="20"/>
                <w:szCs w:val="20"/>
              </w:rPr>
              <w:t>51 279</w:t>
            </w:r>
            <w:r w:rsidRPr="00C5192D">
              <w:rPr>
                <w:rFonts w:cstheme="minorHAnsi"/>
                <w:sz w:val="20"/>
                <w:szCs w:val="20"/>
              </w:rPr>
              <w:t xml:space="preserve"> </w:t>
            </w:r>
          </w:p>
        </w:tc>
        <w:tc>
          <w:tcPr>
            <w:tcW w:w="754" w:type="dxa"/>
            <w:tcBorders>
              <w:top w:val="nil"/>
              <w:left w:val="single" w:sz="4" w:space="0" w:color="auto"/>
              <w:bottom w:val="nil"/>
              <w:right w:val="single" w:sz="4" w:space="0" w:color="auto"/>
            </w:tcBorders>
            <w:vAlign w:val="center"/>
          </w:tcPr>
          <w:p w14:paraId="09D79044" w14:textId="0B587086" w:rsidR="00453450" w:rsidRPr="0077128B" w:rsidRDefault="003A727F" w:rsidP="005B2E1E">
            <w:pPr>
              <w:spacing w:before="60" w:after="60"/>
              <w:jc w:val="right"/>
              <w:rPr>
                <w:rFonts w:cstheme="minorHAnsi"/>
                <w:color w:val="FF0000"/>
                <w:sz w:val="20"/>
                <w:szCs w:val="20"/>
              </w:rPr>
            </w:pPr>
            <w:r>
              <w:rPr>
                <w:rFonts w:cstheme="minorHAnsi"/>
                <w:sz w:val="20"/>
                <w:szCs w:val="20"/>
              </w:rPr>
              <w:t>134,3</w:t>
            </w:r>
          </w:p>
        </w:tc>
      </w:tr>
      <w:tr w:rsidR="002F1BE7" w:rsidRPr="002F1BE7" w14:paraId="3A5A9BB8" w14:textId="77777777" w:rsidTr="005B2E1E">
        <w:trPr>
          <w:tblHeader/>
        </w:trPr>
        <w:tc>
          <w:tcPr>
            <w:tcW w:w="3119" w:type="dxa"/>
            <w:tcBorders>
              <w:top w:val="nil"/>
              <w:left w:val="single" w:sz="4" w:space="0" w:color="auto"/>
              <w:bottom w:val="nil"/>
              <w:right w:val="single" w:sz="4" w:space="0" w:color="auto"/>
            </w:tcBorders>
          </w:tcPr>
          <w:p w14:paraId="2A591D07" w14:textId="5AE17040" w:rsidR="00453450" w:rsidRPr="0077128B" w:rsidRDefault="003A727F" w:rsidP="005B2E1E">
            <w:pPr>
              <w:spacing w:before="60" w:after="60"/>
              <w:ind w:firstLine="4"/>
              <w:jc w:val="both"/>
              <w:rPr>
                <w:rFonts w:cstheme="minorHAnsi"/>
                <w:color w:val="FF0000"/>
                <w:sz w:val="20"/>
                <w:szCs w:val="20"/>
              </w:rPr>
            </w:pPr>
            <w:r w:rsidRPr="00C5192D">
              <w:rPr>
                <w:rFonts w:cstheme="minorHAnsi"/>
                <w:sz w:val="20"/>
                <w:szCs w:val="20"/>
              </w:rPr>
              <w:t>ostatní dotace pro SFDI</w:t>
            </w:r>
          </w:p>
        </w:tc>
        <w:tc>
          <w:tcPr>
            <w:tcW w:w="1125" w:type="dxa"/>
            <w:tcBorders>
              <w:top w:val="nil"/>
              <w:left w:val="single" w:sz="4" w:space="0" w:color="auto"/>
              <w:bottom w:val="nil"/>
              <w:right w:val="single" w:sz="4" w:space="0" w:color="auto"/>
            </w:tcBorders>
            <w:vAlign w:val="center"/>
          </w:tcPr>
          <w:p w14:paraId="37BB602C" w14:textId="159C25DA" w:rsidR="00453450" w:rsidRPr="0077128B" w:rsidRDefault="003A727F" w:rsidP="005B2E1E">
            <w:pPr>
              <w:spacing w:before="60" w:after="60"/>
              <w:jc w:val="right"/>
              <w:rPr>
                <w:rFonts w:cstheme="minorHAnsi"/>
                <w:color w:val="FF0000"/>
                <w:sz w:val="20"/>
                <w:szCs w:val="20"/>
              </w:rPr>
            </w:pPr>
            <w:r w:rsidRPr="00C5192D">
              <w:rPr>
                <w:rFonts w:cstheme="minorHAnsi"/>
                <w:sz w:val="20"/>
                <w:szCs w:val="20"/>
              </w:rPr>
              <w:t>17 060 067</w:t>
            </w:r>
          </w:p>
        </w:tc>
        <w:tc>
          <w:tcPr>
            <w:tcW w:w="1125" w:type="dxa"/>
            <w:tcBorders>
              <w:top w:val="nil"/>
              <w:left w:val="single" w:sz="4" w:space="0" w:color="auto"/>
              <w:bottom w:val="nil"/>
              <w:right w:val="single" w:sz="4" w:space="0" w:color="auto"/>
            </w:tcBorders>
            <w:vAlign w:val="center"/>
          </w:tcPr>
          <w:p w14:paraId="2A654E87" w14:textId="2264C8DB" w:rsidR="00453450" w:rsidRPr="0077128B" w:rsidRDefault="003A727F" w:rsidP="005B2E1E">
            <w:pPr>
              <w:spacing w:before="60" w:after="60"/>
              <w:jc w:val="right"/>
              <w:rPr>
                <w:rFonts w:cstheme="minorHAnsi"/>
                <w:color w:val="FF0000"/>
                <w:sz w:val="20"/>
                <w:szCs w:val="20"/>
              </w:rPr>
            </w:pPr>
            <w:r>
              <w:rPr>
                <w:rFonts w:cstheme="minorHAnsi"/>
                <w:sz w:val="20"/>
                <w:szCs w:val="20"/>
              </w:rPr>
              <w:t>16 423 000</w:t>
            </w:r>
          </w:p>
        </w:tc>
        <w:tc>
          <w:tcPr>
            <w:tcW w:w="1152" w:type="dxa"/>
            <w:tcBorders>
              <w:top w:val="nil"/>
              <w:left w:val="single" w:sz="4" w:space="0" w:color="auto"/>
              <w:bottom w:val="nil"/>
              <w:right w:val="single" w:sz="4" w:space="0" w:color="auto"/>
            </w:tcBorders>
            <w:vAlign w:val="center"/>
          </w:tcPr>
          <w:p w14:paraId="0B826305" w14:textId="0F7A36EE" w:rsidR="00453450" w:rsidRPr="0077128B" w:rsidRDefault="003A727F" w:rsidP="005B2E1E">
            <w:pPr>
              <w:spacing w:before="60" w:after="60"/>
              <w:jc w:val="right"/>
              <w:rPr>
                <w:rFonts w:cstheme="minorHAnsi"/>
                <w:color w:val="FF0000"/>
                <w:sz w:val="20"/>
                <w:szCs w:val="20"/>
              </w:rPr>
            </w:pPr>
            <w:r>
              <w:rPr>
                <w:rFonts w:cstheme="minorHAnsi"/>
                <w:sz w:val="20"/>
                <w:szCs w:val="20"/>
              </w:rPr>
              <w:t>21 377 594</w:t>
            </w:r>
          </w:p>
        </w:tc>
        <w:tc>
          <w:tcPr>
            <w:tcW w:w="1134" w:type="dxa"/>
            <w:tcBorders>
              <w:top w:val="nil"/>
              <w:left w:val="single" w:sz="4" w:space="0" w:color="auto"/>
              <w:bottom w:val="nil"/>
              <w:right w:val="single" w:sz="4" w:space="0" w:color="auto"/>
            </w:tcBorders>
            <w:vAlign w:val="center"/>
          </w:tcPr>
          <w:p w14:paraId="241D5F5B" w14:textId="5E99F2DE" w:rsidR="00453450" w:rsidRPr="0077128B" w:rsidRDefault="003A727F" w:rsidP="005B2E1E">
            <w:pPr>
              <w:spacing w:before="60" w:after="60"/>
              <w:jc w:val="right"/>
              <w:rPr>
                <w:rFonts w:cstheme="minorHAnsi"/>
                <w:color w:val="FF0000"/>
                <w:sz w:val="20"/>
                <w:szCs w:val="20"/>
              </w:rPr>
            </w:pPr>
            <w:r>
              <w:rPr>
                <w:rFonts w:cstheme="minorHAnsi"/>
                <w:sz w:val="20"/>
                <w:szCs w:val="20"/>
              </w:rPr>
              <w:t>21 377 594</w:t>
            </w:r>
          </w:p>
        </w:tc>
        <w:tc>
          <w:tcPr>
            <w:tcW w:w="1089" w:type="dxa"/>
            <w:tcBorders>
              <w:top w:val="nil"/>
              <w:left w:val="single" w:sz="4" w:space="0" w:color="auto"/>
              <w:bottom w:val="nil"/>
              <w:right w:val="single" w:sz="4" w:space="0" w:color="auto"/>
            </w:tcBorders>
            <w:vAlign w:val="center"/>
          </w:tcPr>
          <w:p w14:paraId="15DFE3CD" w14:textId="53072782" w:rsidR="00453450" w:rsidRPr="0077128B" w:rsidRDefault="003A727F" w:rsidP="005B2E1E">
            <w:pPr>
              <w:spacing w:before="60" w:after="60"/>
              <w:jc w:val="right"/>
              <w:rPr>
                <w:rFonts w:cstheme="minorHAnsi"/>
                <w:color w:val="FF0000"/>
                <w:sz w:val="20"/>
                <w:szCs w:val="20"/>
              </w:rPr>
            </w:pPr>
            <w:r>
              <w:rPr>
                <w:rFonts w:cstheme="minorHAnsi"/>
                <w:sz w:val="20"/>
                <w:szCs w:val="20"/>
              </w:rPr>
              <w:t>21 377 594</w:t>
            </w:r>
          </w:p>
        </w:tc>
        <w:tc>
          <w:tcPr>
            <w:tcW w:w="754" w:type="dxa"/>
            <w:tcBorders>
              <w:top w:val="nil"/>
              <w:left w:val="single" w:sz="4" w:space="0" w:color="auto"/>
              <w:bottom w:val="nil"/>
              <w:right w:val="single" w:sz="4" w:space="0" w:color="auto"/>
            </w:tcBorders>
            <w:vAlign w:val="center"/>
          </w:tcPr>
          <w:p w14:paraId="4932FCB9" w14:textId="54837F8A" w:rsidR="00453450" w:rsidRPr="0077128B" w:rsidRDefault="003A727F" w:rsidP="005B2E1E">
            <w:pPr>
              <w:spacing w:before="60" w:after="60"/>
              <w:jc w:val="right"/>
              <w:rPr>
                <w:rFonts w:cstheme="minorHAnsi"/>
                <w:color w:val="FF0000"/>
                <w:sz w:val="20"/>
                <w:szCs w:val="20"/>
              </w:rPr>
            </w:pPr>
            <w:r>
              <w:rPr>
                <w:rFonts w:cstheme="minorHAnsi"/>
                <w:sz w:val="20"/>
                <w:szCs w:val="20"/>
              </w:rPr>
              <w:t>125,3</w:t>
            </w:r>
          </w:p>
        </w:tc>
      </w:tr>
      <w:tr w:rsidR="002F1BE7" w:rsidRPr="002F1BE7" w14:paraId="707B9D99" w14:textId="77777777" w:rsidTr="005B2E1E">
        <w:trPr>
          <w:tblHeader/>
        </w:trPr>
        <w:tc>
          <w:tcPr>
            <w:tcW w:w="3119" w:type="dxa"/>
            <w:tcBorders>
              <w:top w:val="single" w:sz="4" w:space="0" w:color="auto"/>
              <w:left w:val="single" w:sz="4" w:space="0" w:color="auto"/>
              <w:bottom w:val="nil"/>
              <w:right w:val="single" w:sz="4" w:space="0" w:color="auto"/>
            </w:tcBorders>
          </w:tcPr>
          <w:p w14:paraId="21416F0F" w14:textId="2462C1FD" w:rsidR="00453450" w:rsidRPr="0077128B" w:rsidRDefault="003A727F" w:rsidP="005B2E1E">
            <w:pPr>
              <w:spacing w:before="60" w:after="60"/>
              <w:jc w:val="both"/>
              <w:rPr>
                <w:rFonts w:cstheme="minorHAnsi"/>
                <w:b/>
                <w:color w:val="FF0000"/>
                <w:sz w:val="20"/>
                <w:szCs w:val="20"/>
              </w:rPr>
            </w:pPr>
            <w:r w:rsidRPr="00C5192D">
              <w:rPr>
                <w:rFonts w:cstheme="minorHAnsi"/>
                <w:b/>
                <w:color w:val="2E74B5" w:themeColor="accent1" w:themeShade="BF"/>
                <w:sz w:val="20"/>
                <w:szCs w:val="20"/>
              </w:rPr>
              <w:t xml:space="preserve">Investiční transfer </w:t>
            </w:r>
            <w:r w:rsidRPr="00C5192D">
              <w:rPr>
                <w:rFonts w:cstheme="minorHAnsi"/>
                <w:color w:val="2E74B5" w:themeColor="accent1" w:themeShade="BF"/>
                <w:sz w:val="20"/>
                <w:szCs w:val="20"/>
              </w:rPr>
              <w:t>(v tom:)</w:t>
            </w:r>
          </w:p>
        </w:tc>
        <w:tc>
          <w:tcPr>
            <w:tcW w:w="1125" w:type="dxa"/>
            <w:tcBorders>
              <w:top w:val="single" w:sz="4" w:space="0" w:color="auto"/>
              <w:left w:val="single" w:sz="4" w:space="0" w:color="auto"/>
              <w:bottom w:val="nil"/>
              <w:right w:val="single" w:sz="4" w:space="0" w:color="auto"/>
            </w:tcBorders>
            <w:vAlign w:val="center"/>
          </w:tcPr>
          <w:p w14:paraId="664E4819" w14:textId="7BB8D282" w:rsidR="00453450" w:rsidRPr="0077128B" w:rsidRDefault="003A727F" w:rsidP="005B2E1E">
            <w:pPr>
              <w:spacing w:before="60" w:after="60"/>
              <w:jc w:val="right"/>
              <w:rPr>
                <w:rFonts w:cstheme="minorHAnsi"/>
                <w:b/>
                <w:color w:val="FF0000"/>
                <w:sz w:val="20"/>
                <w:szCs w:val="20"/>
              </w:rPr>
            </w:pPr>
            <w:r w:rsidRPr="00C5192D">
              <w:rPr>
                <w:rFonts w:cstheme="minorHAnsi"/>
                <w:b/>
                <w:color w:val="2E74B5" w:themeColor="accent1" w:themeShade="BF"/>
                <w:sz w:val="20"/>
                <w:szCs w:val="20"/>
              </w:rPr>
              <w:t>76 710 668</w:t>
            </w:r>
          </w:p>
        </w:tc>
        <w:tc>
          <w:tcPr>
            <w:tcW w:w="1125" w:type="dxa"/>
            <w:tcBorders>
              <w:top w:val="single" w:sz="4" w:space="0" w:color="auto"/>
              <w:left w:val="single" w:sz="4" w:space="0" w:color="auto"/>
              <w:bottom w:val="nil"/>
              <w:right w:val="single" w:sz="4" w:space="0" w:color="auto"/>
            </w:tcBorders>
            <w:vAlign w:val="center"/>
          </w:tcPr>
          <w:p w14:paraId="6430C304" w14:textId="7C70CFFE" w:rsidR="00453450" w:rsidRPr="0077128B" w:rsidRDefault="003A727F" w:rsidP="005B2E1E">
            <w:pPr>
              <w:spacing w:before="60" w:after="60"/>
              <w:jc w:val="right"/>
              <w:rPr>
                <w:rFonts w:cstheme="minorHAnsi"/>
                <w:b/>
                <w:color w:val="FF0000"/>
                <w:sz w:val="20"/>
                <w:szCs w:val="20"/>
              </w:rPr>
            </w:pPr>
            <w:r>
              <w:rPr>
                <w:rFonts w:cstheme="minorHAnsi"/>
                <w:b/>
                <w:color w:val="2E74B5" w:themeColor="accent1" w:themeShade="BF"/>
                <w:sz w:val="20"/>
                <w:szCs w:val="20"/>
              </w:rPr>
              <w:t>75 946 489</w:t>
            </w:r>
          </w:p>
        </w:tc>
        <w:tc>
          <w:tcPr>
            <w:tcW w:w="1152" w:type="dxa"/>
            <w:tcBorders>
              <w:top w:val="single" w:sz="4" w:space="0" w:color="auto"/>
              <w:left w:val="single" w:sz="4" w:space="0" w:color="auto"/>
              <w:bottom w:val="nil"/>
              <w:right w:val="single" w:sz="4" w:space="0" w:color="auto"/>
            </w:tcBorders>
            <w:vAlign w:val="center"/>
          </w:tcPr>
          <w:p w14:paraId="3DB66BC9" w14:textId="0EE82C67" w:rsidR="00453450" w:rsidRPr="0077128B" w:rsidRDefault="003A727F" w:rsidP="005B2E1E">
            <w:pPr>
              <w:spacing w:before="60" w:after="60"/>
              <w:jc w:val="right"/>
              <w:rPr>
                <w:rFonts w:cstheme="minorHAnsi"/>
                <w:b/>
                <w:color w:val="FF0000"/>
                <w:sz w:val="20"/>
                <w:szCs w:val="20"/>
              </w:rPr>
            </w:pPr>
            <w:r>
              <w:rPr>
                <w:rFonts w:cstheme="minorHAnsi"/>
                <w:b/>
                <w:color w:val="2E74B5" w:themeColor="accent1" w:themeShade="BF"/>
                <w:sz w:val="20"/>
                <w:szCs w:val="20"/>
              </w:rPr>
              <w:t>70 608 638</w:t>
            </w:r>
          </w:p>
        </w:tc>
        <w:tc>
          <w:tcPr>
            <w:tcW w:w="1134" w:type="dxa"/>
            <w:tcBorders>
              <w:top w:val="single" w:sz="4" w:space="0" w:color="auto"/>
              <w:left w:val="single" w:sz="4" w:space="0" w:color="auto"/>
              <w:bottom w:val="nil"/>
              <w:right w:val="single" w:sz="4" w:space="0" w:color="auto"/>
            </w:tcBorders>
            <w:vAlign w:val="center"/>
          </w:tcPr>
          <w:p w14:paraId="1A51D71D" w14:textId="7BFC18E5" w:rsidR="00453450" w:rsidRPr="0077128B" w:rsidRDefault="003A727F" w:rsidP="005B2E1E">
            <w:pPr>
              <w:spacing w:before="60" w:after="60"/>
              <w:jc w:val="right"/>
              <w:rPr>
                <w:rFonts w:cstheme="minorHAnsi"/>
                <w:b/>
                <w:color w:val="FF0000"/>
                <w:sz w:val="20"/>
                <w:szCs w:val="20"/>
              </w:rPr>
            </w:pPr>
            <w:r>
              <w:rPr>
                <w:rFonts w:cstheme="minorHAnsi"/>
                <w:b/>
                <w:color w:val="2E74B5" w:themeColor="accent1" w:themeShade="BF"/>
                <w:sz w:val="20"/>
                <w:szCs w:val="20"/>
              </w:rPr>
              <w:t>74 863 196</w:t>
            </w:r>
          </w:p>
        </w:tc>
        <w:tc>
          <w:tcPr>
            <w:tcW w:w="1089" w:type="dxa"/>
            <w:tcBorders>
              <w:top w:val="single" w:sz="4" w:space="0" w:color="auto"/>
              <w:left w:val="single" w:sz="4" w:space="0" w:color="auto"/>
              <w:bottom w:val="nil"/>
              <w:right w:val="single" w:sz="4" w:space="0" w:color="auto"/>
            </w:tcBorders>
            <w:vAlign w:val="center"/>
          </w:tcPr>
          <w:p w14:paraId="50B625E3" w14:textId="11541336" w:rsidR="00453450" w:rsidRPr="0077128B" w:rsidRDefault="003A727F" w:rsidP="005B2E1E">
            <w:pPr>
              <w:spacing w:before="60" w:after="60"/>
              <w:jc w:val="right"/>
              <w:rPr>
                <w:rFonts w:cstheme="minorHAnsi"/>
                <w:b/>
                <w:color w:val="FF0000"/>
                <w:sz w:val="20"/>
                <w:szCs w:val="20"/>
              </w:rPr>
            </w:pPr>
            <w:r>
              <w:rPr>
                <w:rFonts w:cstheme="minorHAnsi"/>
                <w:b/>
                <w:color w:val="2E74B5" w:themeColor="accent1" w:themeShade="BF"/>
                <w:sz w:val="20"/>
                <w:szCs w:val="20"/>
              </w:rPr>
              <w:t>66 727 882</w:t>
            </w:r>
          </w:p>
        </w:tc>
        <w:tc>
          <w:tcPr>
            <w:tcW w:w="754" w:type="dxa"/>
            <w:tcBorders>
              <w:top w:val="single" w:sz="4" w:space="0" w:color="auto"/>
              <w:left w:val="single" w:sz="4" w:space="0" w:color="auto"/>
              <w:bottom w:val="nil"/>
              <w:right w:val="single" w:sz="4" w:space="0" w:color="auto"/>
            </w:tcBorders>
            <w:vAlign w:val="center"/>
          </w:tcPr>
          <w:p w14:paraId="76D851B3" w14:textId="6171C892" w:rsidR="00453450" w:rsidRPr="0077128B" w:rsidRDefault="003A727F" w:rsidP="005B2E1E">
            <w:pPr>
              <w:spacing w:before="60" w:after="60"/>
              <w:jc w:val="right"/>
              <w:rPr>
                <w:rFonts w:cstheme="minorHAnsi"/>
                <w:b/>
                <w:color w:val="FF0000"/>
                <w:sz w:val="20"/>
                <w:szCs w:val="20"/>
              </w:rPr>
            </w:pPr>
            <w:r>
              <w:rPr>
                <w:rFonts w:cstheme="minorHAnsi"/>
                <w:b/>
                <w:color w:val="2E74B5" w:themeColor="accent1" w:themeShade="BF"/>
                <w:sz w:val="20"/>
                <w:szCs w:val="20"/>
              </w:rPr>
              <w:t>87,0</w:t>
            </w:r>
          </w:p>
        </w:tc>
      </w:tr>
      <w:tr w:rsidR="002F1BE7" w:rsidRPr="002F1BE7" w14:paraId="53DBEBB6" w14:textId="77777777" w:rsidTr="005B2E1E">
        <w:trPr>
          <w:tblHeader/>
        </w:trPr>
        <w:tc>
          <w:tcPr>
            <w:tcW w:w="3119" w:type="dxa"/>
            <w:tcBorders>
              <w:top w:val="nil"/>
              <w:left w:val="single" w:sz="4" w:space="0" w:color="auto"/>
              <w:bottom w:val="nil"/>
              <w:right w:val="single" w:sz="4" w:space="0" w:color="auto"/>
            </w:tcBorders>
          </w:tcPr>
          <w:p w14:paraId="5236A3C4" w14:textId="5B0130EA" w:rsidR="00453450" w:rsidRPr="0077128B" w:rsidRDefault="00453450" w:rsidP="005B2E1E">
            <w:pPr>
              <w:spacing w:before="60" w:after="60"/>
              <w:jc w:val="both"/>
              <w:rPr>
                <w:rFonts w:cstheme="minorHAnsi"/>
                <w:color w:val="FF0000"/>
                <w:sz w:val="20"/>
                <w:szCs w:val="20"/>
              </w:rPr>
            </w:pPr>
            <w:r w:rsidRPr="00C5192D">
              <w:rPr>
                <w:rFonts w:cstheme="minorHAnsi"/>
                <w:sz w:val="20"/>
                <w:szCs w:val="20"/>
              </w:rPr>
              <w:t xml:space="preserve">dotace pro </w:t>
            </w:r>
            <w:proofErr w:type="spellStart"/>
            <w:r w:rsidRPr="00C5192D">
              <w:rPr>
                <w:rFonts w:cstheme="minorHAnsi"/>
                <w:sz w:val="20"/>
                <w:szCs w:val="20"/>
              </w:rPr>
              <w:t>společ</w:t>
            </w:r>
            <w:proofErr w:type="spellEnd"/>
            <w:r w:rsidRPr="00C5192D">
              <w:rPr>
                <w:rFonts w:cstheme="minorHAnsi"/>
                <w:sz w:val="20"/>
                <w:szCs w:val="20"/>
              </w:rPr>
              <w:t xml:space="preserve">. </w:t>
            </w:r>
            <w:r w:rsidR="003A727F" w:rsidRPr="00C5192D">
              <w:rPr>
                <w:rFonts w:cstheme="minorHAnsi"/>
                <w:sz w:val="20"/>
                <w:szCs w:val="20"/>
              </w:rPr>
              <w:t xml:space="preserve">programy EU a ČR </w:t>
            </w:r>
          </w:p>
        </w:tc>
        <w:tc>
          <w:tcPr>
            <w:tcW w:w="1125" w:type="dxa"/>
            <w:tcBorders>
              <w:top w:val="nil"/>
              <w:left w:val="single" w:sz="4" w:space="0" w:color="auto"/>
              <w:bottom w:val="nil"/>
              <w:right w:val="single" w:sz="4" w:space="0" w:color="auto"/>
            </w:tcBorders>
            <w:vAlign w:val="center"/>
          </w:tcPr>
          <w:p w14:paraId="15357E5B" w14:textId="57BE72E6" w:rsidR="00453450" w:rsidRPr="0077128B" w:rsidRDefault="003A727F" w:rsidP="005B2E1E">
            <w:pPr>
              <w:spacing w:before="60" w:after="60"/>
              <w:jc w:val="right"/>
              <w:rPr>
                <w:rFonts w:cstheme="minorHAnsi"/>
                <w:color w:val="FF0000"/>
                <w:sz w:val="20"/>
                <w:szCs w:val="20"/>
              </w:rPr>
            </w:pPr>
            <w:r w:rsidRPr="00C5192D">
              <w:rPr>
                <w:rFonts w:cstheme="minorHAnsi"/>
                <w:sz w:val="20"/>
                <w:szCs w:val="20"/>
              </w:rPr>
              <w:t>42 870 981</w:t>
            </w:r>
          </w:p>
        </w:tc>
        <w:tc>
          <w:tcPr>
            <w:tcW w:w="1125" w:type="dxa"/>
            <w:tcBorders>
              <w:top w:val="nil"/>
              <w:left w:val="single" w:sz="4" w:space="0" w:color="auto"/>
              <w:bottom w:val="nil"/>
              <w:right w:val="single" w:sz="4" w:space="0" w:color="auto"/>
            </w:tcBorders>
            <w:vAlign w:val="center"/>
          </w:tcPr>
          <w:p w14:paraId="403D2EF8" w14:textId="404ABEFE" w:rsidR="00453450" w:rsidRPr="0077128B" w:rsidRDefault="003A727F" w:rsidP="005B2E1E">
            <w:pPr>
              <w:spacing w:before="60" w:after="60"/>
              <w:jc w:val="right"/>
              <w:rPr>
                <w:rFonts w:cstheme="minorHAnsi"/>
                <w:color w:val="FF0000"/>
                <w:sz w:val="20"/>
                <w:szCs w:val="20"/>
              </w:rPr>
            </w:pPr>
            <w:r>
              <w:rPr>
                <w:rFonts w:cstheme="minorHAnsi"/>
                <w:sz w:val="20"/>
                <w:szCs w:val="20"/>
              </w:rPr>
              <w:t>27 544 489</w:t>
            </w:r>
          </w:p>
        </w:tc>
        <w:tc>
          <w:tcPr>
            <w:tcW w:w="1152" w:type="dxa"/>
            <w:tcBorders>
              <w:top w:val="nil"/>
              <w:left w:val="single" w:sz="4" w:space="0" w:color="auto"/>
              <w:bottom w:val="nil"/>
              <w:right w:val="single" w:sz="4" w:space="0" w:color="auto"/>
            </w:tcBorders>
            <w:vAlign w:val="center"/>
          </w:tcPr>
          <w:p w14:paraId="063FA5A2" w14:textId="0E8DDD29" w:rsidR="00453450" w:rsidRPr="0077128B" w:rsidRDefault="003A727F" w:rsidP="005B2E1E">
            <w:pPr>
              <w:spacing w:before="60" w:after="60"/>
              <w:jc w:val="right"/>
              <w:rPr>
                <w:rFonts w:cstheme="minorHAnsi"/>
                <w:color w:val="FF0000"/>
                <w:sz w:val="20"/>
                <w:szCs w:val="20"/>
              </w:rPr>
            </w:pPr>
            <w:r>
              <w:rPr>
                <w:rFonts w:cstheme="minorHAnsi"/>
                <w:sz w:val="20"/>
                <w:szCs w:val="20"/>
              </w:rPr>
              <w:t>28 061 232</w:t>
            </w:r>
          </w:p>
        </w:tc>
        <w:tc>
          <w:tcPr>
            <w:tcW w:w="1134" w:type="dxa"/>
            <w:tcBorders>
              <w:top w:val="nil"/>
              <w:left w:val="single" w:sz="4" w:space="0" w:color="auto"/>
              <w:bottom w:val="nil"/>
              <w:right w:val="single" w:sz="4" w:space="0" w:color="auto"/>
            </w:tcBorders>
            <w:vAlign w:val="center"/>
          </w:tcPr>
          <w:p w14:paraId="52C1DA8B" w14:textId="736A1AEC" w:rsidR="00453450" w:rsidRPr="0077128B" w:rsidRDefault="003A727F" w:rsidP="005B2E1E">
            <w:pPr>
              <w:spacing w:before="60" w:after="60"/>
              <w:jc w:val="right"/>
              <w:rPr>
                <w:rFonts w:cstheme="minorHAnsi"/>
                <w:color w:val="FF0000"/>
                <w:sz w:val="20"/>
                <w:szCs w:val="20"/>
              </w:rPr>
            </w:pPr>
            <w:r>
              <w:rPr>
                <w:rFonts w:cstheme="minorHAnsi"/>
                <w:sz w:val="20"/>
                <w:szCs w:val="20"/>
              </w:rPr>
              <w:t>31 885 841</w:t>
            </w:r>
          </w:p>
        </w:tc>
        <w:tc>
          <w:tcPr>
            <w:tcW w:w="1089" w:type="dxa"/>
            <w:tcBorders>
              <w:top w:val="nil"/>
              <w:left w:val="single" w:sz="4" w:space="0" w:color="auto"/>
              <w:bottom w:val="nil"/>
              <w:right w:val="single" w:sz="4" w:space="0" w:color="auto"/>
            </w:tcBorders>
            <w:vAlign w:val="center"/>
          </w:tcPr>
          <w:p w14:paraId="71E9E427" w14:textId="4897D64E" w:rsidR="00453450" w:rsidRPr="0077128B" w:rsidRDefault="003A727F" w:rsidP="005B2E1E">
            <w:pPr>
              <w:spacing w:before="60" w:after="60"/>
              <w:jc w:val="right"/>
              <w:rPr>
                <w:rFonts w:cstheme="minorHAnsi"/>
                <w:color w:val="FF0000"/>
                <w:sz w:val="20"/>
                <w:szCs w:val="20"/>
              </w:rPr>
            </w:pPr>
            <w:r>
              <w:rPr>
                <w:rFonts w:cstheme="minorHAnsi"/>
                <w:sz w:val="20"/>
                <w:szCs w:val="20"/>
              </w:rPr>
              <w:t>23 752 471</w:t>
            </w:r>
            <w:r w:rsidRPr="00C5192D">
              <w:rPr>
                <w:rFonts w:cstheme="minorHAnsi"/>
                <w:sz w:val="20"/>
                <w:szCs w:val="20"/>
              </w:rPr>
              <w:t xml:space="preserve">  </w:t>
            </w:r>
          </w:p>
        </w:tc>
        <w:tc>
          <w:tcPr>
            <w:tcW w:w="754" w:type="dxa"/>
            <w:tcBorders>
              <w:top w:val="nil"/>
              <w:left w:val="single" w:sz="4" w:space="0" w:color="auto"/>
              <w:bottom w:val="nil"/>
              <w:right w:val="single" w:sz="4" w:space="0" w:color="auto"/>
            </w:tcBorders>
            <w:vAlign w:val="center"/>
          </w:tcPr>
          <w:p w14:paraId="34E2AE52" w14:textId="040550DF" w:rsidR="00453450" w:rsidRPr="0077128B" w:rsidRDefault="003A727F" w:rsidP="005B2E1E">
            <w:pPr>
              <w:spacing w:before="60" w:after="60"/>
              <w:jc w:val="right"/>
              <w:rPr>
                <w:rFonts w:cstheme="minorHAnsi"/>
                <w:color w:val="FF0000"/>
                <w:sz w:val="20"/>
                <w:szCs w:val="20"/>
              </w:rPr>
            </w:pPr>
            <w:r>
              <w:rPr>
                <w:rFonts w:cstheme="minorHAnsi"/>
                <w:sz w:val="20"/>
                <w:szCs w:val="20"/>
              </w:rPr>
              <w:t>55,4</w:t>
            </w:r>
          </w:p>
        </w:tc>
      </w:tr>
      <w:tr w:rsidR="002F1BE7" w:rsidRPr="002F1BE7" w14:paraId="345C376A" w14:textId="77777777" w:rsidTr="005B2E1E">
        <w:trPr>
          <w:tblHeader/>
        </w:trPr>
        <w:tc>
          <w:tcPr>
            <w:tcW w:w="3119" w:type="dxa"/>
            <w:tcBorders>
              <w:top w:val="nil"/>
              <w:left w:val="single" w:sz="4" w:space="0" w:color="auto"/>
              <w:bottom w:val="single" w:sz="4" w:space="0" w:color="auto"/>
              <w:right w:val="single" w:sz="4" w:space="0" w:color="auto"/>
            </w:tcBorders>
          </w:tcPr>
          <w:p w14:paraId="5E1AA77D" w14:textId="5AFC2904" w:rsidR="00453450" w:rsidRPr="0077128B" w:rsidRDefault="003A727F" w:rsidP="005B2E1E">
            <w:pPr>
              <w:spacing w:before="60" w:after="60"/>
              <w:ind w:firstLine="4"/>
              <w:jc w:val="both"/>
              <w:rPr>
                <w:rFonts w:cstheme="minorHAnsi"/>
                <w:color w:val="FF0000"/>
                <w:sz w:val="20"/>
                <w:szCs w:val="20"/>
              </w:rPr>
            </w:pPr>
            <w:r w:rsidRPr="00C5192D">
              <w:rPr>
                <w:rFonts w:cstheme="minorHAnsi"/>
                <w:sz w:val="20"/>
                <w:szCs w:val="20"/>
              </w:rPr>
              <w:t>ostatní dotace pro SFDI</w:t>
            </w:r>
          </w:p>
        </w:tc>
        <w:tc>
          <w:tcPr>
            <w:tcW w:w="1125" w:type="dxa"/>
            <w:tcBorders>
              <w:top w:val="nil"/>
              <w:left w:val="single" w:sz="4" w:space="0" w:color="auto"/>
              <w:bottom w:val="single" w:sz="4" w:space="0" w:color="auto"/>
              <w:right w:val="single" w:sz="4" w:space="0" w:color="auto"/>
            </w:tcBorders>
            <w:vAlign w:val="center"/>
          </w:tcPr>
          <w:p w14:paraId="3F98609E" w14:textId="16BE6C87" w:rsidR="00453450" w:rsidRPr="0077128B" w:rsidRDefault="003A727F" w:rsidP="005B2E1E">
            <w:pPr>
              <w:spacing w:before="60" w:after="60"/>
              <w:jc w:val="right"/>
              <w:rPr>
                <w:rFonts w:cstheme="minorHAnsi"/>
                <w:color w:val="FF0000"/>
                <w:sz w:val="20"/>
                <w:szCs w:val="20"/>
              </w:rPr>
            </w:pPr>
            <w:r w:rsidRPr="00C5192D">
              <w:rPr>
                <w:rFonts w:cstheme="minorHAnsi"/>
                <w:sz w:val="20"/>
                <w:szCs w:val="20"/>
              </w:rPr>
              <w:t xml:space="preserve">33 839 687  </w:t>
            </w:r>
          </w:p>
        </w:tc>
        <w:tc>
          <w:tcPr>
            <w:tcW w:w="1125" w:type="dxa"/>
            <w:tcBorders>
              <w:top w:val="nil"/>
              <w:left w:val="single" w:sz="4" w:space="0" w:color="auto"/>
              <w:bottom w:val="single" w:sz="4" w:space="0" w:color="auto"/>
              <w:right w:val="single" w:sz="4" w:space="0" w:color="auto"/>
            </w:tcBorders>
            <w:vAlign w:val="center"/>
          </w:tcPr>
          <w:p w14:paraId="53BF710D" w14:textId="22562401" w:rsidR="00453450" w:rsidRPr="0077128B" w:rsidRDefault="003A727F" w:rsidP="005B2E1E">
            <w:pPr>
              <w:spacing w:before="60" w:after="60"/>
              <w:jc w:val="right"/>
              <w:rPr>
                <w:rFonts w:cstheme="minorHAnsi"/>
                <w:color w:val="FF0000"/>
                <w:sz w:val="20"/>
                <w:szCs w:val="20"/>
              </w:rPr>
            </w:pPr>
            <w:r>
              <w:rPr>
                <w:rFonts w:cstheme="minorHAnsi"/>
                <w:sz w:val="20"/>
                <w:szCs w:val="20"/>
              </w:rPr>
              <w:t>48 402 000</w:t>
            </w:r>
          </w:p>
        </w:tc>
        <w:tc>
          <w:tcPr>
            <w:tcW w:w="1152" w:type="dxa"/>
            <w:tcBorders>
              <w:top w:val="nil"/>
              <w:left w:val="single" w:sz="4" w:space="0" w:color="auto"/>
              <w:bottom w:val="single" w:sz="4" w:space="0" w:color="auto"/>
              <w:right w:val="single" w:sz="4" w:space="0" w:color="auto"/>
            </w:tcBorders>
            <w:vAlign w:val="center"/>
          </w:tcPr>
          <w:p w14:paraId="7260EFE3" w14:textId="5DAFED3D" w:rsidR="00453450" w:rsidRPr="0077128B" w:rsidRDefault="003A727F" w:rsidP="005B2E1E">
            <w:pPr>
              <w:spacing w:before="60" w:after="60"/>
              <w:jc w:val="right"/>
              <w:rPr>
                <w:rFonts w:cstheme="minorHAnsi"/>
                <w:color w:val="FF0000"/>
                <w:sz w:val="20"/>
                <w:szCs w:val="20"/>
              </w:rPr>
            </w:pPr>
            <w:r>
              <w:rPr>
                <w:rFonts w:cstheme="minorHAnsi"/>
                <w:sz w:val="20"/>
                <w:szCs w:val="20"/>
              </w:rPr>
              <w:t>42 547 406</w:t>
            </w:r>
          </w:p>
        </w:tc>
        <w:tc>
          <w:tcPr>
            <w:tcW w:w="1134" w:type="dxa"/>
            <w:tcBorders>
              <w:top w:val="nil"/>
              <w:left w:val="single" w:sz="4" w:space="0" w:color="auto"/>
              <w:bottom w:val="single" w:sz="4" w:space="0" w:color="auto"/>
              <w:right w:val="single" w:sz="4" w:space="0" w:color="auto"/>
            </w:tcBorders>
            <w:vAlign w:val="center"/>
          </w:tcPr>
          <w:p w14:paraId="0BDFD473" w14:textId="412D23D0" w:rsidR="00453450" w:rsidRPr="0077128B" w:rsidRDefault="003A727F" w:rsidP="005B2E1E">
            <w:pPr>
              <w:spacing w:before="60" w:after="60"/>
              <w:jc w:val="right"/>
              <w:rPr>
                <w:rFonts w:cstheme="minorHAnsi"/>
                <w:color w:val="FF0000"/>
                <w:sz w:val="20"/>
                <w:szCs w:val="20"/>
              </w:rPr>
            </w:pPr>
            <w:r>
              <w:rPr>
                <w:rFonts w:cstheme="minorHAnsi"/>
                <w:sz w:val="20"/>
                <w:szCs w:val="20"/>
              </w:rPr>
              <w:t>42 977 355</w:t>
            </w:r>
          </w:p>
        </w:tc>
        <w:tc>
          <w:tcPr>
            <w:tcW w:w="1089" w:type="dxa"/>
            <w:tcBorders>
              <w:top w:val="nil"/>
              <w:left w:val="single" w:sz="4" w:space="0" w:color="auto"/>
              <w:bottom w:val="single" w:sz="4" w:space="0" w:color="auto"/>
              <w:right w:val="single" w:sz="4" w:space="0" w:color="auto"/>
            </w:tcBorders>
            <w:vAlign w:val="center"/>
          </w:tcPr>
          <w:p w14:paraId="24E5F25B" w14:textId="7BC3B68E" w:rsidR="00453450" w:rsidRPr="0077128B" w:rsidRDefault="003A727F" w:rsidP="005B2E1E">
            <w:pPr>
              <w:spacing w:before="60" w:after="60"/>
              <w:jc w:val="right"/>
              <w:rPr>
                <w:rFonts w:cstheme="minorHAnsi"/>
                <w:color w:val="FF0000"/>
                <w:sz w:val="20"/>
                <w:szCs w:val="20"/>
              </w:rPr>
            </w:pPr>
            <w:r>
              <w:rPr>
                <w:rFonts w:cstheme="minorHAnsi"/>
                <w:sz w:val="20"/>
                <w:szCs w:val="20"/>
              </w:rPr>
              <w:t>42 975 411</w:t>
            </w:r>
            <w:r w:rsidRPr="00C5192D">
              <w:rPr>
                <w:rFonts w:cstheme="minorHAnsi"/>
                <w:sz w:val="20"/>
                <w:szCs w:val="20"/>
              </w:rPr>
              <w:t xml:space="preserve">  </w:t>
            </w:r>
          </w:p>
        </w:tc>
        <w:tc>
          <w:tcPr>
            <w:tcW w:w="754" w:type="dxa"/>
            <w:tcBorders>
              <w:top w:val="nil"/>
              <w:left w:val="single" w:sz="4" w:space="0" w:color="auto"/>
              <w:bottom w:val="single" w:sz="4" w:space="0" w:color="auto"/>
              <w:right w:val="single" w:sz="4" w:space="0" w:color="auto"/>
            </w:tcBorders>
            <w:vAlign w:val="center"/>
          </w:tcPr>
          <w:p w14:paraId="248F57D7" w14:textId="1E3F572E" w:rsidR="00453450" w:rsidRPr="0077128B" w:rsidRDefault="003A727F" w:rsidP="005B2E1E">
            <w:pPr>
              <w:spacing w:before="60" w:after="60"/>
              <w:jc w:val="right"/>
              <w:rPr>
                <w:rFonts w:cstheme="minorHAnsi"/>
                <w:color w:val="FF0000"/>
                <w:sz w:val="20"/>
                <w:szCs w:val="20"/>
              </w:rPr>
            </w:pPr>
            <w:r>
              <w:rPr>
                <w:rFonts w:cstheme="minorHAnsi"/>
                <w:sz w:val="20"/>
                <w:szCs w:val="20"/>
              </w:rPr>
              <w:t>127,0</w:t>
            </w:r>
          </w:p>
        </w:tc>
      </w:tr>
    </w:tbl>
    <w:p w14:paraId="013C8B29" w14:textId="52513F10" w:rsidR="00826150" w:rsidRPr="00826150" w:rsidRDefault="00826150" w:rsidP="00A722A3">
      <w:pPr>
        <w:keepLines/>
        <w:spacing w:before="120" w:after="120" w:line="276" w:lineRule="auto"/>
        <w:jc w:val="both"/>
        <w:rPr>
          <w:rFonts w:eastAsia="Times New Roman" w:cs="Times New Roman"/>
          <w:sz w:val="24"/>
          <w:szCs w:val="20"/>
          <w:lang w:eastAsia="cs-CZ"/>
        </w:rPr>
      </w:pPr>
      <w:r w:rsidRPr="00826150">
        <w:rPr>
          <w:rFonts w:eastAsia="Times New Roman" w:cs="Times New Roman"/>
          <w:sz w:val="24"/>
          <w:szCs w:val="20"/>
          <w:lang w:eastAsia="cs-CZ"/>
        </w:rPr>
        <w:t xml:space="preserve">Schválený rozpočet ve výši 92 369 489 tis. Kč byl v průběhu roku snížen o 382 490 tis. Kč </w:t>
      </w:r>
      <w:r>
        <w:rPr>
          <w:rFonts w:eastAsia="Times New Roman" w:cs="Times New Roman"/>
          <w:sz w:val="24"/>
          <w:szCs w:val="20"/>
          <w:lang w:eastAsia="cs-CZ"/>
        </w:rPr>
        <w:t xml:space="preserve">                       </w:t>
      </w:r>
      <w:r w:rsidRPr="00826150">
        <w:rPr>
          <w:rFonts w:eastAsia="Times New Roman" w:cs="Times New Roman"/>
          <w:sz w:val="24"/>
          <w:szCs w:val="20"/>
          <w:lang w:eastAsia="cs-CZ"/>
        </w:rPr>
        <w:t>na částku 91 986 999 tis. Kč. Skutečné čerpání činilo 88 156 755 tis. Kč, tj. 95,8 % rozpočtu po změnách, a to včetně nároků z nespotřebovaných výdajů ve výši 3 678 749 tis. Kč. Prostředky EU byly čerpány ve výši 23 803 750 tis. Kč.</w:t>
      </w:r>
    </w:p>
    <w:p w14:paraId="0AB3477D" w14:textId="77777777" w:rsidR="00826150" w:rsidRPr="00826150" w:rsidRDefault="00826150" w:rsidP="00826150">
      <w:pPr>
        <w:keepLines/>
        <w:spacing w:before="240" w:after="240" w:line="276" w:lineRule="auto"/>
        <w:jc w:val="both"/>
        <w:rPr>
          <w:rFonts w:eastAsia="Times New Roman" w:cs="Times New Roman"/>
          <w:sz w:val="24"/>
          <w:szCs w:val="20"/>
          <w:lang w:eastAsia="cs-CZ"/>
        </w:rPr>
      </w:pPr>
      <w:r w:rsidRPr="00826150">
        <w:rPr>
          <w:rFonts w:eastAsia="Times New Roman" w:cs="Times New Roman"/>
          <w:sz w:val="24"/>
          <w:szCs w:val="20"/>
          <w:lang w:eastAsia="cs-CZ"/>
        </w:rPr>
        <w:t xml:space="preserve">Oproti roku 2022 došlo ke snížení čerpání o 5 652 158 tis. Kč, tj. o 6 %. Snížení se týkalo především dotací pro společné programy EU a ČR. </w:t>
      </w:r>
    </w:p>
    <w:p w14:paraId="1ACA449B" w14:textId="77777777" w:rsidR="00826150" w:rsidRPr="00826150" w:rsidRDefault="00826150" w:rsidP="00826150">
      <w:pPr>
        <w:spacing w:beforeLines="100" w:before="240" w:after="0" w:line="276" w:lineRule="auto"/>
        <w:jc w:val="both"/>
        <w:rPr>
          <w:sz w:val="24"/>
          <w:szCs w:val="24"/>
        </w:rPr>
      </w:pPr>
      <w:r w:rsidRPr="00826150">
        <w:rPr>
          <w:sz w:val="24"/>
          <w:szCs w:val="24"/>
          <w:u w:val="single"/>
        </w:rPr>
        <w:t>Prostředky byly poskytovány v rámci dotace pro společné programy EU a ČR na projekty</w:t>
      </w:r>
      <w:r w:rsidRPr="00826150">
        <w:rPr>
          <w:sz w:val="24"/>
          <w:szCs w:val="24"/>
        </w:rPr>
        <w:t xml:space="preserve">: </w:t>
      </w:r>
    </w:p>
    <w:p w14:paraId="5CB6A425"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Operačního programu Doprava 2014+,</w:t>
      </w:r>
    </w:p>
    <w:p w14:paraId="65C3F99E"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Operačního programu Doprava 2021+,</w:t>
      </w:r>
    </w:p>
    <w:p w14:paraId="2A4C0036"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 xml:space="preserve">komunitárního </w:t>
      </w:r>
      <w:proofErr w:type="gramStart"/>
      <w:r w:rsidRPr="00826150">
        <w:rPr>
          <w:sz w:val="24"/>
          <w:szCs w:val="24"/>
          <w:lang w:eastAsia="cs-CZ"/>
        </w:rPr>
        <w:t>programu - Nástroj</w:t>
      </w:r>
      <w:proofErr w:type="gramEnd"/>
      <w:r w:rsidRPr="00826150">
        <w:rPr>
          <w:sz w:val="24"/>
          <w:szCs w:val="24"/>
          <w:lang w:eastAsia="cs-CZ"/>
        </w:rPr>
        <w:t xml:space="preserve"> pro propojení Evropy 2014+,</w:t>
      </w:r>
    </w:p>
    <w:p w14:paraId="40B0DAFA"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komunitárního programu – Nástroj pro propojení Evropy 2021+,</w:t>
      </w:r>
    </w:p>
    <w:p w14:paraId="5BCD8DF9"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Národního plánu obnovy (RRF) – komponenta Udržitelná doprava,</w:t>
      </w:r>
    </w:p>
    <w:p w14:paraId="77CC6B89"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 xml:space="preserve">Národního plánu obnovy (RRF) – komponenta Elektrifikace železniční dopravy.  </w:t>
      </w:r>
    </w:p>
    <w:p w14:paraId="78465E0D" w14:textId="77777777" w:rsidR="00826150" w:rsidRPr="00826150" w:rsidRDefault="00826150" w:rsidP="00826150">
      <w:pPr>
        <w:spacing w:beforeLines="100" w:before="240" w:line="276" w:lineRule="auto"/>
        <w:jc w:val="both"/>
        <w:rPr>
          <w:sz w:val="24"/>
          <w:szCs w:val="24"/>
          <w:u w:val="single"/>
        </w:rPr>
      </w:pPr>
      <w:r w:rsidRPr="00826150">
        <w:rPr>
          <w:sz w:val="24"/>
          <w:szCs w:val="24"/>
          <w:u w:val="single"/>
        </w:rPr>
        <w:lastRenderedPageBreak/>
        <w:t xml:space="preserve">Prostředky byly poskytovány v rámci ostatní dotace pro SFDI na: </w:t>
      </w:r>
    </w:p>
    <w:p w14:paraId="3E931F85"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krytí deficitu rozpočtu SFDI,</w:t>
      </w:r>
    </w:p>
    <w:p w14:paraId="2D2D0277" w14:textId="77777777" w:rsidR="00826150" w:rsidRPr="00826150" w:rsidRDefault="00826150" w:rsidP="00826150">
      <w:pPr>
        <w:numPr>
          <w:ilvl w:val="0"/>
          <w:numId w:val="10"/>
        </w:numPr>
        <w:spacing w:before="120" w:after="120" w:line="276" w:lineRule="auto"/>
        <w:ind w:left="714" w:hanging="357"/>
        <w:jc w:val="both"/>
        <w:rPr>
          <w:sz w:val="24"/>
          <w:szCs w:val="24"/>
          <w:lang w:eastAsia="cs-CZ"/>
        </w:rPr>
      </w:pPr>
      <w:r w:rsidRPr="00826150">
        <w:rPr>
          <w:sz w:val="24"/>
          <w:szCs w:val="24"/>
          <w:lang w:eastAsia="cs-CZ"/>
        </w:rPr>
        <w:t>na projekty spolufinancované z EIB.</w:t>
      </w:r>
    </w:p>
    <w:p w14:paraId="165FA41D" w14:textId="77777777" w:rsidR="00453450" w:rsidRPr="006B6D61" w:rsidRDefault="00453450" w:rsidP="00453450">
      <w:pPr>
        <w:spacing w:beforeLines="100" w:before="240" w:line="276" w:lineRule="auto"/>
        <w:rPr>
          <w:b/>
          <w:color w:val="2E74B5" w:themeColor="accent1" w:themeShade="BF"/>
          <w:sz w:val="24"/>
          <w:szCs w:val="24"/>
          <w:u w:val="single"/>
        </w:rPr>
      </w:pPr>
      <w:r w:rsidRPr="006B6D61">
        <w:rPr>
          <w:b/>
          <w:color w:val="2E74B5" w:themeColor="accent1" w:themeShade="BF"/>
          <w:sz w:val="24"/>
          <w:szCs w:val="24"/>
          <w:u w:val="single"/>
        </w:rPr>
        <w:t>Neinvestiční transfer</w:t>
      </w:r>
    </w:p>
    <w:p w14:paraId="6E27A986" w14:textId="10EEF1E0" w:rsidR="00453450" w:rsidRPr="0077128B" w:rsidRDefault="001A431F" w:rsidP="00453450">
      <w:pPr>
        <w:pStyle w:val="KOMtext"/>
        <w:spacing w:after="0"/>
        <w:ind w:left="57"/>
        <w:rPr>
          <w:rFonts w:cstheme="minorHAnsi"/>
          <w:color w:val="FF0000"/>
          <w:szCs w:val="24"/>
        </w:rPr>
      </w:pPr>
      <w:r w:rsidRPr="00103E77">
        <w:rPr>
          <w:rFonts w:cstheme="minorHAnsi"/>
          <w:szCs w:val="24"/>
        </w:rPr>
        <w:t xml:space="preserve">Schválený objem neinvestičního transferu určeného pro SFDI ve výši 16 423 000 tis. Kč (z toho prostředky EU 0 tis. Kč) byl v průběhu roku navýšen o 4 955 361 tis. Kč na 21 378 361 tis. Kč (z toho prostředky EU 767 tis. Kč). </w:t>
      </w:r>
      <w:r w:rsidRPr="006B0360">
        <w:rPr>
          <w:rFonts w:cstheme="minorHAnsi"/>
          <w:szCs w:val="24"/>
        </w:rPr>
        <w:t xml:space="preserve">K navýšení o 767 tis. Kč došlo u prostředků Nástroj pro propojení Evropy 2021+ a o 5 854 594 tis. Kč u prostředků určených na krytí deficitu rozpočtu SFDI. Navýšení bylo provedeno v obou případech na úkor investičního transferu SFDI.  Následně došlo ke snížení prostředků určených na krytí deficitu rozpočtu SFDI </w:t>
      </w:r>
      <w:r w:rsidR="00331541">
        <w:rPr>
          <w:rFonts w:cstheme="minorHAnsi"/>
          <w:szCs w:val="24"/>
        </w:rPr>
        <w:br/>
      </w:r>
      <w:r w:rsidRPr="006B0360">
        <w:rPr>
          <w:rFonts w:cstheme="minorHAnsi"/>
          <w:szCs w:val="24"/>
        </w:rPr>
        <w:t>o 900 000 tis. Kč ve prospěch Ředitelství silnic a dálnic ČR.</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533"/>
        <w:gridCol w:w="1444"/>
        <w:gridCol w:w="1271"/>
      </w:tblGrid>
      <w:tr w:rsidR="002F1BE7" w:rsidRPr="002F1BE7" w14:paraId="5FECF5EA" w14:textId="77777777" w:rsidTr="005B2E1E">
        <w:trPr>
          <w:trHeight w:val="293"/>
          <w:tblHeader/>
        </w:trPr>
        <w:tc>
          <w:tcPr>
            <w:tcW w:w="9351" w:type="dxa"/>
            <w:gridSpan w:val="4"/>
            <w:tcBorders>
              <w:top w:val="nil"/>
              <w:left w:val="nil"/>
              <w:right w:val="nil"/>
            </w:tcBorders>
            <w:shd w:val="clear" w:color="auto" w:fill="auto"/>
            <w:vAlign w:val="center"/>
          </w:tcPr>
          <w:p w14:paraId="029F7457" w14:textId="77777777" w:rsidR="00453450" w:rsidRPr="0077128B" w:rsidRDefault="00453450" w:rsidP="005B2E1E">
            <w:pPr>
              <w:spacing w:after="0"/>
              <w:jc w:val="right"/>
              <w:rPr>
                <w:rFonts w:cstheme="minorHAnsi"/>
                <w:color w:val="FF0000"/>
                <w:sz w:val="20"/>
                <w:szCs w:val="20"/>
              </w:rPr>
            </w:pPr>
            <w:r w:rsidRPr="006B6D61">
              <w:rPr>
                <w:rFonts w:cstheme="minorHAnsi"/>
                <w:sz w:val="20"/>
                <w:szCs w:val="20"/>
              </w:rPr>
              <w:t>v tis. Kč</w:t>
            </w:r>
          </w:p>
        </w:tc>
      </w:tr>
      <w:tr w:rsidR="008D0438" w:rsidRPr="008D2ADE" w14:paraId="08335B7C" w14:textId="77777777" w:rsidTr="008D0438">
        <w:trPr>
          <w:trHeight w:val="425"/>
          <w:tblHeader/>
        </w:trPr>
        <w:tc>
          <w:tcPr>
            <w:tcW w:w="5103" w:type="dxa"/>
            <w:vMerge w:val="restart"/>
            <w:shd w:val="clear" w:color="auto" w:fill="D9D9D9" w:themeFill="background1" w:themeFillShade="D9"/>
            <w:vAlign w:val="center"/>
          </w:tcPr>
          <w:p w14:paraId="46F23425" w14:textId="77777777" w:rsidR="008D0438" w:rsidRPr="008D2ADE" w:rsidRDefault="008D0438" w:rsidP="00136A61">
            <w:pPr>
              <w:spacing w:after="0"/>
              <w:jc w:val="center"/>
              <w:rPr>
                <w:rFonts w:cstheme="minorHAnsi"/>
                <w:b/>
                <w:sz w:val="20"/>
                <w:szCs w:val="20"/>
              </w:rPr>
            </w:pPr>
            <w:r w:rsidRPr="008D2ADE">
              <w:rPr>
                <w:rFonts w:cstheme="minorHAnsi"/>
                <w:b/>
                <w:sz w:val="20"/>
                <w:szCs w:val="20"/>
              </w:rPr>
              <w:t>Oblast podpory</w:t>
            </w:r>
          </w:p>
        </w:tc>
        <w:tc>
          <w:tcPr>
            <w:tcW w:w="2977" w:type="dxa"/>
            <w:gridSpan w:val="2"/>
            <w:tcBorders>
              <w:top w:val="single" w:sz="4" w:space="0" w:color="auto"/>
              <w:left w:val="single" w:sz="4" w:space="0" w:color="auto"/>
              <w:bottom w:val="single" w:sz="4" w:space="0" w:color="auto"/>
            </w:tcBorders>
            <w:shd w:val="clear" w:color="auto" w:fill="D9D9D9" w:themeFill="background1" w:themeFillShade="D9"/>
            <w:vAlign w:val="center"/>
          </w:tcPr>
          <w:p w14:paraId="22818EB8" w14:textId="478C7A55" w:rsidR="008D0438" w:rsidRPr="008D2ADE" w:rsidRDefault="008D0438" w:rsidP="00136A61">
            <w:pPr>
              <w:spacing w:before="60" w:after="60"/>
              <w:jc w:val="center"/>
              <w:rPr>
                <w:rFonts w:cstheme="minorHAnsi"/>
                <w:b/>
                <w:sz w:val="20"/>
                <w:szCs w:val="20"/>
              </w:rPr>
            </w:pPr>
            <w:r w:rsidRPr="008D2ADE">
              <w:rPr>
                <w:rFonts w:cstheme="minorHAnsi"/>
                <w:b/>
                <w:sz w:val="20"/>
                <w:szCs w:val="20"/>
              </w:rPr>
              <w:t>Rozpočet 202</w:t>
            </w:r>
            <w:r>
              <w:rPr>
                <w:rFonts w:cstheme="minorHAnsi"/>
                <w:b/>
                <w:sz w:val="20"/>
                <w:szCs w:val="20"/>
              </w:rPr>
              <w:t>3</w:t>
            </w:r>
          </w:p>
        </w:tc>
        <w:tc>
          <w:tcPr>
            <w:tcW w:w="1271" w:type="dxa"/>
            <w:vMerge w:val="restart"/>
            <w:shd w:val="clear" w:color="auto" w:fill="D9D9D9" w:themeFill="background1" w:themeFillShade="D9"/>
            <w:vAlign w:val="center"/>
          </w:tcPr>
          <w:p w14:paraId="18517648" w14:textId="438BB149" w:rsidR="008D0438" w:rsidRPr="008D2ADE" w:rsidRDefault="008D0438" w:rsidP="00136A61">
            <w:pPr>
              <w:spacing w:after="0"/>
              <w:jc w:val="center"/>
              <w:rPr>
                <w:rFonts w:cstheme="minorHAnsi"/>
                <w:b/>
                <w:sz w:val="20"/>
                <w:szCs w:val="20"/>
              </w:rPr>
            </w:pPr>
            <w:r w:rsidRPr="008D2ADE">
              <w:rPr>
                <w:rFonts w:cstheme="minorHAnsi"/>
                <w:b/>
                <w:sz w:val="20"/>
                <w:szCs w:val="20"/>
              </w:rPr>
              <w:t>Skutečnost 202</w:t>
            </w:r>
            <w:r>
              <w:rPr>
                <w:rFonts w:cstheme="minorHAnsi"/>
                <w:b/>
                <w:sz w:val="20"/>
                <w:szCs w:val="20"/>
              </w:rPr>
              <w:t>3</w:t>
            </w:r>
          </w:p>
        </w:tc>
      </w:tr>
      <w:tr w:rsidR="00A3216E" w:rsidRPr="008D2ADE" w14:paraId="05823C2C" w14:textId="77777777" w:rsidTr="008D0438">
        <w:trPr>
          <w:tblHeader/>
        </w:trPr>
        <w:tc>
          <w:tcPr>
            <w:tcW w:w="5103" w:type="dxa"/>
            <w:vMerge/>
            <w:tcBorders>
              <w:bottom w:val="single" w:sz="4" w:space="0" w:color="auto"/>
            </w:tcBorders>
            <w:shd w:val="clear" w:color="auto" w:fill="auto"/>
          </w:tcPr>
          <w:p w14:paraId="354967C8" w14:textId="77777777" w:rsidR="00A3216E" w:rsidRPr="008D2ADE" w:rsidRDefault="00A3216E" w:rsidP="00136A61">
            <w:pPr>
              <w:spacing w:before="60" w:after="60"/>
              <w:rPr>
                <w:rFonts w:cstheme="minorHAnsi"/>
                <w:b/>
                <w:sz w:val="20"/>
                <w:szCs w:val="20"/>
              </w:rPr>
            </w:pPr>
          </w:p>
        </w:tc>
        <w:tc>
          <w:tcPr>
            <w:tcW w:w="1533" w:type="dxa"/>
            <w:tcBorders>
              <w:top w:val="single" w:sz="4" w:space="0" w:color="auto"/>
              <w:left w:val="single" w:sz="4" w:space="0" w:color="auto"/>
              <w:bottom w:val="single" w:sz="4" w:space="0" w:color="auto"/>
            </w:tcBorders>
            <w:shd w:val="clear" w:color="auto" w:fill="D9D9D9" w:themeFill="background1" w:themeFillShade="D9"/>
          </w:tcPr>
          <w:p w14:paraId="5C1F4549" w14:textId="77777777" w:rsidR="00A3216E" w:rsidRPr="008D2ADE" w:rsidRDefault="00A3216E" w:rsidP="00136A61">
            <w:pPr>
              <w:spacing w:before="60" w:after="60"/>
              <w:jc w:val="center"/>
              <w:rPr>
                <w:rFonts w:cstheme="minorHAnsi"/>
                <w:b/>
                <w:sz w:val="20"/>
                <w:szCs w:val="20"/>
              </w:rPr>
            </w:pPr>
            <w:r w:rsidRPr="008D2ADE">
              <w:rPr>
                <w:rFonts w:cstheme="minorHAnsi"/>
                <w:b/>
                <w:sz w:val="20"/>
                <w:szCs w:val="20"/>
              </w:rPr>
              <w:t>schválený</w:t>
            </w:r>
          </w:p>
        </w:tc>
        <w:tc>
          <w:tcPr>
            <w:tcW w:w="1444" w:type="dxa"/>
            <w:tcBorders>
              <w:bottom w:val="single" w:sz="4" w:space="0" w:color="auto"/>
            </w:tcBorders>
            <w:shd w:val="clear" w:color="auto" w:fill="D9D9D9" w:themeFill="background1" w:themeFillShade="D9"/>
          </w:tcPr>
          <w:p w14:paraId="36B1F55C" w14:textId="0BD8ABBF" w:rsidR="00A3216E" w:rsidRPr="008D2ADE" w:rsidRDefault="00746AD6" w:rsidP="00136A61">
            <w:pPr>
              <w:spacing w:before="60" w:after="60"/>
              <w:jc w:val="center"/>
              <w:rPr>
                <w:rFonts w:cstheme="minorHAnsi"/>
                <w:b/>
                <w:sz w:val="20"/>
                <w:szCs w:val="20"/>
              </w:rPr>
            </w:pPr>
            <w:r w:rsidRPr="008D2ADE">
              <w:rPr>
                <w:rFonts w:cstheme="minorHAnsi"/>
                <w:b/>
                <w:sz w:val="20"/>
                <w:szCs w:val="20"/>
              </w:rPr>
              <w:t>po změnách</w:t>
            </w:r>
          </w:p>
        </w:tc>
        <w:tc>
          <w:tcPr>
            <w:tcW w:w="1271" w:type="dxa"/>
            <w:vMerge/>
            <w:tcBorders>
              <w:bottom w:val="single" w:sz="4" w:space="0" w:color="auto"/>
            </w:tcBorders>
            <w:shd w:val="clear" w:color="auto" w:fill="auto"/>
          </w:tcPr>
          <w:p w14:paraId="641E9D37" w14:textId="77777777" w:rsidR="00A3216E" w:rsidRPr="008D2ADE" w:rsidRDefault="00A3216E" w:rsidP="00136A61">
            <w:pPr>
              <w:spacing w:before="60" w:after="60"/>
              <w:jc w:val="center"/>
              <w:rPr>
                <w:rFonts w:cstheme="minorHAnsi"/>
                <w:b/>
                <w:sz w:val="20"/>
                <w:szCs w:val="20"/>
              </w:rPr>
            </w:pPr>
          </w:p>
        </w:tc>
      </w:tr>
      <w:tr w:rsidR="00F23343" w:rsidRPr="008D2ADE" w14:paraId="3E04C80D" w14:textId="77777777" w:rsidTr="008D0438">
        <w:trPr>
          <w:tblHeader/>
        </w:trPr>
        <w:tc>
          <w:tcPr>
            <w:tcW w:w="5103" w:type="dxa"/>
            <w:tcBorders>
              <w:bottom w:val="single" w:sz="4" w:space="0" w:color="auto"/>
            </w:tcBorders>
            <w:shd w:val="clear" w:color="auto" w:fill="D9D9D9" w:themeFill="background1" w:themeFillShade="D9"/>
          </w:tcPr>
          <w:p w14:paraId="704B1AC1" w14:textId="77777777" w:rsidR="00F23343" w:rsidRPr="008D2ADE" w:rsidRDefault="00F23343" w:rsidP="00136A61">
            <w:pPr>
              <w:spacing w:before="60" w:after="60"/>
              <w:rPr>
                <w:rFonts w:cstheme="minorHAnsi"/>
                <w:b/>
                <w:sz w:val="20"/>
                <w:szCs w:val="20"/>
              </w:rPr>
            </w:pPr>
            <w:r w:rsidRPr="008D2ADE">
              <w:rPr>
                <w:rFonts w:cstheme="minorHAnsi"/>
                <w:b/>
                <w:sz w:val="20"/>
                <w:szCs w:val="20"/>
              </w:rPr>
              <w:t xml:space="preserve">Neinvestiční transfer </w:t>
            </w:r>
            <w:r w:rsidRPr="008D2ADE">
              <w:rPr>
                <w:rFonts w:cstheme="minorHAnsi"/>
                <w:sz w:val="20"/>
                <w:szCs w:val="20"/>
              </w:rPr>
              <w:t>(v tom:)</w:t>
            </w:r>
          </w:p>
        </w:tc>
        <w:tc>
          <w:tcPr>
            <w:tcW w:w="1533" w:type="dxa"/>
            <w:tcBorders>
              <w:bottom w:val="single" w:sz="4" w:space="0" w:color="auto"/>
            </w:tcBorders>
            <w:shd w:val="clear" w:color="auto" w:fill="D9D9D9" w:themeFill="background1" w:themeFillShade="D9"/>
          </w:tcPr>
          <w:p w14:paraId="0C4E55DA" w14:textId="77777777" w:rsidR="00F23343" w:rsidRPr="008D2ADE" w:rsidRDefault="00F23343" w:rsidP="00136A61">
            <w:pPr>
              <w:spacing w:before="60" w:after="60"/>
              <w:jc w:val="right"/>
              <w:rPr>
                <w:rFonts w:cstheme="minorHAnsi"/>
                <w:b/>
                <w:sz w:val="20"/>
                <w:szCs w:val="20"/>
              </w:rPr>
            </w:pPr>
            <w:r w:rsidRPr="008D2ADE">
              <w:rPr>
                <w:rFonts w:cstheme="minorHAnsi"/>
                <w:b/>
                <w:bCs/>
                <w:sz w:val="20"/>
                <w:szCs w:val="20"/>
              </w:rPr>
              <w:t>16 423 000</w:t>
            </w:r>
          </w:p>
        </w:tc>
        <w:tc>
          <w:tcPr>
            <w:tcW w:w="1444" w:type="dxa"/>
            <w:tcBorders>
              <w:bottom w:val="single" w:sz="4" w:space="0" w:color="auto"/>
            </w:tcBorders>
            <w:shd w:val="clear" w:color="auto" w:fill="D9D9D9" w:themeFill="background1" w:themeFillShade="D9"/>
          </w:tcPr>
          <w:p w14:paraId="344049DD" w14:textId="77777777" w:rsidR="00F23343" w:rsidRPr="008D2ADE" w:rsidRDefault="00F23343" w:rsidP="00136A61">
            <w:pPr>
              <w:spacing w:before="60" w:after="60"/>
              <w:jc w:val="right"/>
              <w:rPr>
                <w:rFonts w:cstheme="minorHAnsi"/>
                <w:b/>
                <w:sz w:val="20"/>
                <w:szCs w:val="20"/>
              </w:rPr>
            </w:pPr>
            <w:r>
              <w:rPr>
                <w:rFonts w:cstheme="minorHAnsi"/>
                <w:b/>
                <w:bCs/>
                <w:sz w:val="20"/>
                <w:szCs w:val="20"/>
              </w:rPr>
              <w:t>21 378 361</w:t>
            </w:r>
          </w:p>
        </w:tc>
        <w:tc>
          <w:tcPr>
            <w:tcW w:w="1271" w:type="dxa"/>
            <w:tcBorders>
              <w:bottom w:val="single" w:sz="4" w:space="0" w:color="auto"/>
            </w:tcBorders>
            <w:shd w:val="clear" w:color="auto" w:fill="D9D9D9" w:themeFill="background1" w:themeFillShade="D9"/>
          </w:tcPr>
          <w:p w14:paraId="215E6992" w14:textId="77777777" w:rsidR="00F23343" w:rsidRPr="008D2ADE" w:rsidRDefault="00F23343" w:rsidP="00136A61">
            <w:pPr>
              <w:spacing w:before="60" w:after="60"/>
              <w:jc w:val="right"/>
              <w:rPr>
                <w:rFonts w:cstheme="minorHAnsi"/>
                <w:b/>
                <w:sz w:val="20"/>
                <w:szCs w:val="20"/>
              </w:rPr>
            </w:pPr>
            <w:r>
              <w:rPr>
                <w:rFonts w:cstheme="minorHAnsi"/>
                <w:b/>
                <w:bCs/>
                <w:sz w:val="20"/>
                <w:szCs w:val="20"/>
              </w:rPr>
              <w:t>21 428 873</w:t>
            </w:r>
          </w:p>
        </w:tc>
      </w:tr>
      <w:tr w:rsidR="00F23343" w:rsidRPr="00CD237E" w14:paraId="392F580F" w14:textId="77777777" w:rsidTr="008D0438">
        <w:trPr>
          <w:tblHeader/>
        </w:trPr>
        <w:tc>
          <w:tcPr>
            <w:tcW w:w="5103" w:type="dxa"/>
            <w:tcBorders>
              <w:bottom w:val="nil"/>
            </w:tcBorders>
            <w:shd w:val="clear" w:color="auto" w:fill="auto"/>
          </w:tcPr>
          <w:p w14:paraId="587B7589" w14:textId="77777777" w:rsidR="00F23343" w:rsidRPr="00CD237E" w:rsidRDefault="00F23343" w:rsidP="00136A61">
            <w:pPr>
              <w:spacing w:before="60" w:after="60"/>
              <w:rPr>
                <w:rFonts w:cstheme="minorHAnsi"/>
                <w:color w:val="2E74B5" w:themeColor="accent1" w:themeShade="BF"/>
                <w:sz w:val="20"/>
                <w:szCs w:val="20"/>
              </w:rPr>
            </w:pPr>
            <w:r w:rsidRPr="00CD237E">
              <w:rPr>
                <w:rFonts w:cstheme="minorHAnsi"/>
                <w:b/>
                <w:color w:val="2E74B5" w:themeColor="accent1" w:themeShade="BF"/>
                <w:sz w:val="20"/>
                <w:szCs w:val="20"/>
              </w:rPr>
              <w:t xml:space="preserve">Ostatní dotace pro SFDI </w:t>
            </w:r>
            <w:r w:rsidRPr="00CD237E">
              <w:rPr>
                <w:rFonts w:cstheme="minorHAnsi"/>
                <w:color w:val="2E74B5" w:themeColor="accent1" w:themeShade="BF"/>
                <w:sz w:val="20"/>
                <w:szCs w:val="20"/>
              </w:rPr>
              <w:t>(v tom:)</w:t>
            </w:r>
          </w:p>
        </w:tc>
        <w:tc>
          <w:tcPr>
            <w:tcW w:w="1533" w:type="dxa"/>
            <w:tcBorders>
              <w:bottom w:val="nil"/>
            </w:tcBorders>
            <w:shd w:val="clear" w:color="auto" w:fill="auto"/>
          </w:tcPr>
          <w:p w14:paraId="1358E84E" w14:textId="77777777" w:rsidR="00F23343" w:rsidRPr="00CD237E" w:rsidRDefault="00F2334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16 423 000</w:t>
            </w:r>
          </w:p>
        </w:tc>
        <w:tc>
          <w:tcPr>
            <w:tcW w:w="1444" w:type="dxa"/>
            <w:tcBorders>
              <w:bottom w:val="nil"/>
            </w:tcBorders>
            <w:shd w:val="clear" w:color="auto" w:fill="auto"/>
          </w:tcPr>
          <w:p w14:paraId="54D4C284" w14:textId="77777777" w:rsidR="00F23343" w:rsidRPr="00CD237E" w:rsidRDefault="00F2334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21 377 594</w:t>
            </w:r>
          </w:p>
        </w:tc>
        <w:tc>
          <w:tcPr>
            <w:tcW w:w="1271" w:type="dxa"/>
            <w:tcBorders>
              <w:bottom w:val="nil"/>
            </w:tcBorders>
            <w:shd w:val="clear" w:color="auto" w:fill="auto"/>
          </w:tcPr>
          <w:p w14:paraId="0137150E" w14:textId="77777777" w:rsidR="00F23343" w:rsidRPr="00CD237E" w:rsidRDefault="00F2334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21 377 594</w:t>
            </w:r>
          </w:p>
        </w:tc>
      </w:tr>
      <w:tr w:rsidR="00F23343" w:rsidRPr="00CD237E" w14:paraId="78911030" w14:textId="77777777" w:rsidTr="008D0438">
        <w:trPr>
          <w:tblHeader/>
        </w:trPr>
        <w:tc>
          <w:tcPr>
            <w:tcW w:w="5103" w:type="dxa"/>
            <w:tcBorders>
              <w:top w:val="nil"/>
              <w:bottom w:val="nil"/>
            </w:tcBorders>
            <w:shd w:val="clear" w:color="auto" w:fill="auto"/>
          </w:tcPr>
          <w:p w14:paraId="6852041A" w14:textId="77777777" w:rsidR="00F23343" w:rsidRPr="00CD237E" w:rsidRDefault="00F23343" w:rsidP="00136A61">
            <w:pPr>
              <w:spacing w:before="60" w:after="60"/>
              <w:rPr>
                <w:rFonts w:cstheme="minorHAnsi"/>
                <w:b/>
                <w:sz w:val="20"/>
                <w:szCs w:val="20"/>
              </w:rPr>
            </w:pPr>
            <w:r w:rsidRPr="00CD237E">
              <w:rPr>
                <w:rFonts w:cstheme="minorHAnsi"/>
                <w:b/>
                <w:sz w:val="20"/>
                <w:szCs w:val="20"/>
              </w:rPr>
              <w:t xml:space="preserve">Krytí deficitu rozpočtu SFDI (v tom:) </w:t>
            </w:r>
          </w:p>
        </w:tc>
        <w:tc>
          <w:tcPr>
            <w:tcW w:w="1533" w:type="dxa"/>
            <w:tcBorders>
              <w:top w:val="nil"/>
              <w:bottom w:val="nil"/>
            </w:tcBorders>
            <w:shd w:val="clear" w:color="auto" w:fill="auto"/>
          </w:tcPr>
          <w:p w14:paraId="2D7437C8" w14:textId="77777777" w:rsidR="00F23343" w:rsidRPr="00CD237E" w:rsidRDefault="00F23343" w:rsidP="00136A61">
            <w:pPr>
              <w:spacing w:before="60" w:after="60"/>
              <w:jc w:val="right"/>
              <w:rPr>
                <w:rFonts w:cstheme="minorHAnsi"/>
                <w:b/>
                <w:sz w:val="20"/>
                <w:szCs w:val="20"/>
              </w:rPr>
            </w:pPr>
            <w:r>
              <w:rPr>
                <w:rFonts w:cstheme="minorHAnsi"/>
                <w:b/>
                <w:sz w:val="20"/>
                <w:szCs w:val="20"/>
              </w:rPr>
              <w:t>16 423 000</w:t>
            </w:r>
          </w:p>
        </w:tc>
        <w:tc>
          <w:tcPr>
            <w:tcW w:w="1444" w:type="dxa"/>
            <w:tcBorders>
              <w:top w:val="nil"/>
              <w:bottom w:val="nil"/>
            </w:tcBorders>
            <w:shd w:val="clear" w:color="auto" w:fill="auto"/>
          </w:tcPr>
          <w:p w14:paraId="5E8CC16E" w14:textId="77777777" w:rsidR="00F23343" w:rsidRPr="00CD237E" w:rsidRDefault="00F23343" w:rsidP="00136A61">
            <w:pPr>
              <w:spacing w:before="60" w:after="60"/>
              <w:jc w:val="right"/>
              <w:rPr>
                <w:rFonts w:cstheme="minorHAnsi"/>
                <w:b/>
                <w:sz w:val="20"/>
                <w:szCs w:val="20"/>
              </w:rPr>
            </w:pPr>
            <w:r>
              <w:rPr>
                <w:rFonts w:cstheme="minorHAnsi"/>
                <w:b/>
                <w:sz w:val="20"/>
                <w:szCs w:val="20"/>
              </w:rPr>
              <w:t>21 377 594</w:t>
            </w:r>
          </w:p>
        </w:tc>
        <w:tc>
          <w:tcPr>
            <w:tcW w:w="1271" w:type="dxa"/>
            <w:tcBorders>
              <w:top w:val="nil"/>
              <w:bottom w:val="nil"/>
            </w:tcBorders>
            <w:shd w:val="clear" w:color="auto" w:fill="auto"/>
          </w:tcPr>
          <w:p w14:paraId="58E587A1" w14:textId="77777777" w:rsidR="00F23343" w:rsidRPr="00CD237E" w:rsidRDefault="00F23343" w:rsidP="00136A61">
            <w:pPr>
              <w:spacing w:before="60" w:after="60"/>
              <w:jc w:val="right"/>
              <w:rPr>
                <w:rFonts w:cstheme="minorHAnsi"/>
                <w:b/>
                <w:sz w:val="20"/>
                <w:szCs w:val="20"/>
              </w:rPr>
            </w:pPr>
            <w:r>
              <w:rPr>
                <w:rFonts w:cstheme="minorHAnsi"/>
                <w:b/>
                <w:sz w:val="20"/>
                <w:szCs w:val="20"/>
              </w:rPr>
              <w:t>21 377 594</w:t>
            </w:r>
          </w:p>
        </w:tc>
      </w:tr>
      <w:tr w:rsidR="00F23343" w:rsidRPr="00CD237E" w14:paraId="621E334C" w14:textId="77777777" w:rsidTr="008D0438">
        <w:trPr>
          <w:tblHeader/>
        </w:trPr>
        <w:tc>
          <w:tcPr>
            <w:tcW w:w="5103" w:type="dxa"/>
            <w:tcBorders>
              <w:top w:val="nil"/>
              <w:bottom w:val="single" w:sz="4" w:space="0" w:color="auto"/>
            </w:tcBorders>
            <w:shd w:val="clear" w:color="auto" w:fill="auto"/>
          </w:tcPr>
          <w:p w14:paraId="7027066F" w14:textId="77777777" w:rsidR="00F23343" w:rsidRPr="00CD237E" w:rsidRDefault="00F23343" w:rsidP="00136A61">
            <w:pPr>
              <w:spacing w:before="60" w:after="60"/>
              <w:rPr>
                <w:rFonts w:cstheme="minorHAnsi"/>
                <w:sz w:val="20"/>
                <w:szCs w:val="20"/>
              </w:rPr>
            </w:pPr>
            <w:r w:rsidRPr="00CD237E">
              <w:rPr>
                <w:rFonts w:cstheme="minorHAnsi"/>
                <w:sz w:val="20"/>
                <w:szCs w:val="20"/>
              </w:rPr>
              <w:t xml:space="preserve">127 77 Podpora financování dopravy </w:t>
            </w:r>
          </w:p>
        </w:tc>
        <w:tc>
          <w:tcPr>
            <w:tcW w:w="1533" w:type="dxa"/>
            <w:tcBorders>
              <w:top w:val="nil"/>
              <w:bottom w:val="single" w:sz="4" w:space="0" w:color="auto"/>
            </w:tcBorders>
            <w:shd w:val="clear" w:color="auto" w:fill="auto"/>
          </w:tcPr>
          <w:p w14:paraId="242EBA0D" w14:textId="77777777" w:rsidR="00F23343" w:rsidRPr="00CD237E" w:rsidRDefault="00F23343" w:rsidP="00136A61">
            <w:pPr>
              <w:spacing w:before="60" w:after="60"/>
              <w:jc w:val="right"/>
              <w:rPr>
                <w:rFonts w:cstheme="minorHAnsi"/>
                <w:sz w:val="20"/>
                <w:szCs w:val="20"/>
              </w:rPr>
            </w:pPr>
            <w:r>
              <w:rPr>
                <w:rFonts w:cstheme="minorHAnsi"/>
                <w:sz w:val="20"/>
                <w:szCs w:val="20"/>
              </w:rPr>
              <w:t>16 423 000</w:t>
            </w:r>
          </w:p>
        </w:tc>
        <w:tc>
          <w:tcPr>
            <w:tcW w:w="1444" w:type="dxa"/>
            <w:tcBorders>
              <w:top w:val="nil"/>
              <w:bottom w:val="single" w:sz="4" w:space="0" w:color="auto"/>
            </w:tcBorders>
            <w:shd w:val="clear" w:color="auto" w:fill="auto"/>
          </w:tcPr>
          <w:p w14:paraId="2FA44397" w14:textId="77777777" w:rsidR="00F23343" w:rsidRPr="00CD237E" w:rsidRDefault="00F23343" w:rsidP="00136A61">
            <w:pPr>
              <w:spacing w:before="60" w:after="60"/>
              <w:jc w:val="right"/>
              <w:rPr>
                <w:rFonts w:cstheme="minorHAnsi"/>
                <w:sz w:val="20"/>
                <w:szCs w:val="20"/>
              </w:rPr>
            </w:pPr>
            <w:r>
              <w:rPr>
                <w:rFonts w:cstheme="minorHAnsi"/>
                <w:sz w:val="20"/>
                <w:szCs w:val="20"/>
              </w:rPr>
              <w:t>21 377 594</w:t>
            </w:r>
          </w:p>
        </w:tc>
        <w:tc>
          <w:tcPr>
            <w:tcW w:w="1271" w:type="dxa"/>
            <w:tcBorders>
              <w:top w:val="nil"/>
              <w:bottom w:val="single" w:sz="4" w:space="0" w:color="auto"/>
            </w:tcBorders>
            <w:shd w:val="clear" w:color="auto" w:fill="auto"/>
          </w:tcPr>
          <w:p w14:paraId="4BC1BA8B" w14:textId="77777777" w:rsidR="00F23343" w:rsidRPr="00CD237E" w:rsidRDefault="00F23343" w:rsidP="00136A61">
            <w:pPr>
              <w:spacing w:before="60" w:after="60"/>
              <w:jc w:val="right"/>
              <w:rPr>
                <w:rFonts w:cstheme="minorHAnsi"/>
                <w:sz w:val="20"/>
                <w:szCs w:val="20"/>
              </w:rPr>
            </w:pPr>
            <w:r>
              <w:rPr>
                <w:rFonts w:cstheme="minorHAnsi"/>
                <w:sz w:val="20"/>
                <w:szCs w:val="20"/>
              </w:rPr>
              <w:t>21 377 594</w:t>
            </w:r>
          </w:p>
        </w:tc>
      </w:tr>
      <w:tr w:rsidR="00F23343" w:rsidRPr="00CD237E" w14:paraId="4594F2A4" w14:textId="77777777" w:rsidTr="008D0438">
        <w:trPr>
          <w:tblHeader/>
        </w:trPr>
        <w:tc>
          <w:tcPr>
            <w:tcW w:w="5103" w:type="dxa"/>
            <w:tcBorders>
              <w:bottom w:val="nil"/>
            </w:tcBorders>
            <w:shd w:val="clear" w:color="auto" w:fill="auto"/>
          </w:tcPr>
          <w:p w14:paraId="3BA2CB6B" w14:textId="77777777" w:rsidR="00F23343" w:rsidRPr="00CD237E" w:rsidRDefault="00F23343" w:rsidP="00136A61">
            <w:pPr>
              <w:spacing w:before="60" w:after="60"/>
              <w:rPr>
                <w:rFonts w:cstheme="minorHAnsi"/>
                <w:color w:val="2E74B5" w:themeColor="accent1" w:themeShade="BF"/>
                <w:sz w:val="20"/>
                <w:szCs w:val="20"/>
              </w:rPr>
            </w:pPr>
            <w:r w:rsidRPr="00CD237E">
              <w:rPr>
                <w:rFonts w:cstheme="minorHAnsi"/>
                <w:b/>
                <w:color w:val="2E74B5" w:themeColor="accent1" w:themeShade="BF"/>
                <w:sz w:val="20"/>
                <w:szCs w:val="20"/>
              </w:rPr>
              <w:t xml:space="preserve">Dotace pro společné programy EU a ČR </w:t>
            </w:r>
            <w:r w:rsidRPr="00CD237E">
              <w:rPr>
                <w:rFonts w:cstheme="minorHAnsi"/>
                <w:color w:val="2E74B5" w:themeColor="accent1" w:themeShade="BF"/>
                <w:sz w:val="20"/>
                <w:szCs w:val="20"/>
              </w:rPr>
              <w:t>(v tom:)</w:t>
            </w:r>
          </w:p>
        </w:tc>
        <w:tc>
          <w:tcPr>
            <w:tcW w:w="1533" w:type="dxa"/>
            <w:tcBorders>
              <w:bottom w:val="nil"/>
            </w:tcBorders>
            <w:shd w:val="clear" w:color="auto" w:fill="auto"/>
          </w:tcPr>
          <w:p w14:paraId="6F62956B" w14:textId="77777777" w:rsidR="00F23343" w:rsidRPr="00CD237E" w:rsidRDefault="00F2334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0</w:t>
            </w:r>
          </w:p>
        </w:tc>
        <w:tc>
          <w:tcPr>
            <w:tcW w:w="1444" w:type="dxa"/>
            <w:tcBorders>
              <w:bottom w:val="nil"/>
            </w:tcBorders>
            <w:shd w:val="clear" w:color="auto" w:fill="auto"/>
          </w:tcPr>
          <w:p w14:paraId="340B2A00" w14:textId="77777777" w:rsidR="00F23343" w:rsidRPr="00CD237E" w:rsidRDefault="00F2334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767</w:t>
            </w:r>
          </w:p>
        </w:tc>
        <w:tc>
          <w:tcPr>
            <w:tcW w:w="1271" w:type="dxa"/>
            <w:tcBorders>
              <w:bottom w:val="nil"/>
            </w:tcBorders>
            <w:shd w:val="clear" w:color="auto" w:fill="auto"/>
          </w:tcPr>
          <w:p w14:paraId="2B570CDB" w14:textId="77777777" w:rsidR="00F23343" w:rsidRPr="00CD237E" w:rsidRDefault="00F2334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51 279</w:t>
            </w:r>
          </w:p>
        </w:tc>
      </w:tr>
      <w:tr w:rsidR="00F23343" w:rsidRPr="00CD237E" w14:paraId="50705180" w14:textId="77777777" w:rsidTr="008D0438">
        <w:trPr>
          <w:tblHeader/>
        </w:trPr>
        <w:tc>
          <w:tcPr>
            <w:tcW w:w="5103" w:type="dxa"/>
            <w:tcBorders>
              <w:top w:val="nil"/>
              <w:bottom w:val="nil"/>
            </w:tcBorders>
            <w:shd w:val="clear" w:color="auto" w:fill="auto"/>
          </w:tcPr>
          <w:p w14:paraId="7E2D698C" w14:textId="77777777" w:rsidR="00F23343" w:rsidRPr="00CD237E" w:rsidRDefault="00F23343" w:rsidP="00136A61">
            <w:pPr>
              <w:spacing w:before="60" w:after="60"/>
              <w:rPr>
                <w:rFonts w:cstheme="minorHAnsi"/>
                <w:b/>
                <w:sz w:val="20"/>
                <w:szCs w:val="20"/>
              </w:rPr>
            </w:pPr>
            <w:r w:rsidRPr="00CD237E">
              <w:rPr>
                <w:rFonts w:cstheme="minorHAnsi"/>
                <w:b/>
                <w:sz w:val="20"/>
                <w:szCs w:val="20"/>
              </w:rPr>
              <w:t>Operační program Doprava 2014+ (v tom:)</w:t>
            </w:r>
          </w:p>
        </w:tc>
        <w:tc>
          <w:tcPr>
            <w:tcW w:w="1533" w:type="dxa"/>
            <w:tcBorders>
              <w:top w:val="nil"/>
              <w:bottom w:val="nil"/>
            </w:tcBorders>
            <w:shd w:val="clear" w:color="auto" w:fill="auto"/>
          </w:tcPr>
          <w:p w14:paraId="2F37163F" w14:textId="77777777" w:rsidR="00F23343" w:rsidRPr="00CD237E" w:rsidRDefault="00F23343" w:rsidP="00136A61">
            <w:pPr>
              <w:spacing w:before="60" w:after="60"/>
              <w:jc w:val="right"/>
              <w:rPr>
                <w:rFonts w:cstheme="minorHAnsi"/>
                <w:b/>
                <w:sz w:val="20"/>
                <w:szCs w:val="20"/>
              </w:rPr>
            </w:pPr>
            <w:r>
              <w:rPr>
                <w:rFonts w:cstheme="minorHAnsi"/>
                <w:b/>
                <w:sz w:val="20"/>
                <w:szCs w:val="20"/>
              </w:rPr>
              <w:t>0</w:t>
            </w:r>
          </w:p>
        </w:tc>
        <w:tc>
          <w:tcPr>
            <w:tcW w:w="1444" w:type="dxa"/>
            <w:tcBorders>
              <w:top w:val="nil"/>
              <w:bottom w:val="nil"/>
            </w:tcBorders>
            <w:shd w:val="clear" w:color="auto" w:fill="auto"/>
          </w:tcPr>
          <w:p w14:paraId="6F5D486C" w14:textId="77777777" w:rsidR="00F23343" w:rsidRPr="00CD237E" w:rsidRDefault="00F23343" w:rsidP="00136A61">
            <w:pPr>
              <w:spacing w:before="60" w:after="60"/>
              <w:jc w:val="right"/>
              <w:rPr>
                <w:rFonts w:cstheme="minorHAnsi"/>
                <w:b/>
                <w:sz w:val="20"/>
                <w:szCs w:val="20"/>
              </w:rPr>
            </w:pPr>
            <w:r>
              <w:rPr>
                <w:rFonts w:cstheme="minorHAnsi"/>
                <w:b/>
                <w:sz w:val="20"/>
                <w:szCs w:val="20"/>
              </w:rPr>
              <w:t>0</w:t>
            </w:r>
          </w:p>
        </w:tc>
        <w:tc>
          <w:tcPr>
            <w:tcW w:w="1271" w:type="dxa"/>
            <w:tcBorders>
              <w:top w:val="nil"/>
              <w:bottom w:val="nil"/>
            </w:tcBorders>
            <w:shd w:val="clear" w:color="auto" w:fill="auto"/>
          </w:tcPr>
          <w:p w14:paraId="68B059C2" w14:textId="77777777" w:rsidR="00F23343" w:rsidRPr="00CD237E" w:rsidRDefault="00F23343" w:rsidP="00136A61">
            <w:pPr>
              <w:spacing w:before="60" w:after="60"/>
              <w:jc w:val="right"/>
              <w:rPr>
                <w:rFonts w:cstheme="minorHAnsi"/>
                <w:b/>
                <w:sz w:val="20"/>
                <w:szCs w:val="20"/>
              </w:rPr>
            </w:pPr>
            <w:r>
              <w:rPr>
                <w:rFonts w:cstheme="minorHAnsi"/>
                <w:b/>
                <w:sz w:val="20"/>
                <w:szCs w:val="20"/>
              </w:rPr>
              <w:t>49 390</w:t>
            </w:r>
          </w:p>
        </w:tc>
      </w:tr>
      <w:tr w:rsidR="00F23343" w:rsidRPr="00CD237E" w14:paraId="3FDCC6AD" w14:textId="77777777" w:rsidTr="008D0438">
        <w:trPr>
          <w:tblHeader/>
        </w:trPr>
        <w:tc>
          <w:tcPr>
            <w:tcW w:w="5103" w:type="dxa"/>
            <w:tcBorders>
              <w:top w:val="nil"/>
              <w:bottom w:val="nil"/>
            </w:tcBorders>
            <w:shd w:val="clear" w:color="auto" w:fill="auto"/>
          </w:tcPr>
          <w:p w14:paraId="7FF37629" w14:textId="77777777" w:rsidR="00F23343" w:rsidRPr="00CD237E" w:rsidRDefault="00F23343" w:rsidP="00136A61">
            <w:pPr>
              <w:spacing w:before="60" w:after="60"/>
              <w:rPr>
                <w:rFonts w:cstheme="minorHAnsi"/>
                <w:sz w:val="20"/>
                <w:szCs w:val="20"/>
              </w:rPr>
            </w:pPr>
            <w:r w:rsidRPr="00CD237E">
              <w:rPr>
                <w:rFonts w:cstheme="minorHAnsi"/>
                <w:sz w:val="20"/>
                <w:szCs w:val="20"/>
              </w:rPr>
              <w:t xml:space="preserve">127 77 Podpora financování dopravy </w:t>
            </w:r>
          </w:p>
        </w:tc>
        <w:tc>
          <w:tcPr>
            <w:tcW w:w="1533" w:type="dxa"/>
            <w:tcBorders>
              <w:top w:val="nil"/>
              <w:bottom w:val="nil"/>
            </w:tcBorders>
            <w:shd w:val="clear" w:color="auto" w:fill="auto"/>
          </w:tcPr>
          <w:p w14:paraId="3A08FADB" w14:textId="77777777" w:rsidR="00F23343" w:rsidRPr="00CD237E" w:rsidRDefault="00F23343" w:rsidP="00136A61">
            <w:pPr>
              <w:spacing w:before="60" w:after="60"/>
              <w:jc w:val="right"/>
              <w:rPr>
                <w:rFonts w:cstheme="minorHAnsi"/>
                <w:sz w:val="20"/>
                <w:szCs w:val="20"/>
              </w:rPr>
            </w:pPr>
            <w:r>
              <w:rPr>
                <w:rFonts w:cstheme="minorHAnsi"/>
                <w:sz w:val="20"/>
                <w:szCs w:val="20"/>
              </w:rPr>
              <w:t>0</w:t>
            </w:r>
          </w:p>
        </w:tc>
        <w:tc>
          <w:tcPr>
            <w:tcW w:w="1444" w:type="dxa"/>
            <w:tcBorders>
              <w:top w:val="nil"/>
              <w:bottom w:val="nil"/>
            </w:tcBorders>
            <w:shd w:val="clear" w:color="auto" w:fill="auto"/>
          </w:tcPr>
          <w:p w14:paraId="058C760F" w14:textId="77777777" w:rsidR="00F23343" w:rsidRPr="00CD237E" w:rsidRDefault="00F23343" w:rsidP="00136A61">
            <w:pPr>
              <w:spacing w:before="60" w:after="60"/>
              <w:jc w:val="right"/>
              <w:rPr>
                <w:rFonts w:cstheme="minorHAnsi"/>
                <w:sz w:val="20"/>
                <w:szCs w:val="20"/>
              </w:rPr>
            </w:pPr>
            <w:r>
              <w:rPr>
                <w:rFonts w:cstheme="minorHAnsi"/>
                <w:sz w:val="20"/>
                <w:szCs w:val="20"/>
              </w:rPr>
              <w:t>0</w:t>
            </w:r>
          </w:p>
        </w:tc>
        <w:tc>
          <w:tcPr>
            <w:tcW w:w="1271" w:type="dxa"/>
            <w:tcBorders>
              <w:top w:val="nil"/>
              <w:bottom w:val="nil"/>
            </w:tcBorders>
            <w:shd w:val="clear" w:color="auto" w:fill="auto"/>
          </w:tcPr>
          <w:p w14:paraId="7899D066" w14:textId="77777777" w:rsidR="00F23343" w:rsidRPr="00CD237E" w:rsidRDefault="00F23343" w:rsidP="00136A61">
            <w:pPr>
              <w:spacing w:before="60" w:after="60"/>
              <w:jc w:val="right"/>
              <w:rPr>
                <w:rFonts w:cstheme="minorHAnsi"/>
                <w:sz w:val="20"/>
                <w:szCs w:val="20"/>
              </w:rPr>
            </w:pPr>
            <w:r>
              <w:rPr>
                <w:rFonts w:cstheme="minorHAnsi"/>
                <w:sz w:val="20"/>
                <w:szCs w:val="20"/>
              </w:rPr>
              <w:t>463</w:t>
            </w:r>
          </w:p>
        </w:tc>
      </w:tr>
      <w:tr w:rsidR="00F23343" w:rsidRPr="00CD237E" w14:paraId="7CC995AD" w14:textId="77777777" w:rsidTr="008D0438">
        <w:trPr>
          <w:tblHeader/>
        </w:trPr>
        <w:tc>
          <w:tcPr>
            <w:tcW w:w="5103" w:type="dxa"/>
            <w:tcBorders>
              <w:top w:val="nil"/>
              <w:bottom w:val="nil"/>
            </w:tcBorders>
            <w:shd w:val="clear" w:color="auto" w:fill="auto"/>
          </w:tcPr>
          <w:p w14:paraId="13BEAACD" w14:textId="77777777" w:rsidR="00F23343" w:rsidRPr="00CD237E" w:rsidRDefault="00F23343" w:rsidP="00136A61">
            <w:pPr>
              <w:spacing w:before="60" w:after="60"/>
              <w:rPr>
                <w:rFonts w:cstheme="minorHAnsi"/>
                <w:sz w:val="20"/>
                <w:szCs w:val="20"/>
              </w:rPr>
            </w:pPr>
            <w:r w:rsidRPr="00CD237E">
              <w:rPr>
                <w:rFonts w:cstheme="minorHAnsi"/>
                <w:sz w:val="20"/>
                <w:szCs w:val="20"/>
              </w:rPr>
              <w:t>ZED</w:t>
            </w:r>
          </w:p>
        </w:tc>
        <w:tc>
          <w:tcPr>
            <w:tcW w:w="1533" w:type="dxa"/>
            <w:tcBorders>
              <w:top w:val="nil"/>
              <w:bottom w:val="nil"/>
            </w:tcBorders>
            <w:shd w:val="clear" w:color="auto" w:fill="auto"/>
          </w:tcPr>
          <w:p w14:paraId="14AB26AF" w14:textId="77777777" w:rsidR="00F23343" w:rsidRPr="00CD237E" w:rsidRDefault="00F23343" w:rsidP="00136A61">
            <w:pPr>
              <w:spacing w:before="60" w:after="60"/>
              <w:jc w:val="right"/>
              <w:rPr>
                <w:rFonts w:cstheme="minorHAnsi"/>
                <w:sz w:val="20"/>
                <w:szCs w:val="20"/>
              </w:rPr>
            </w:pPr>
            <w:r>
              <w:rPr>
                <w:rFonts w:cstheme="minorHAnsi"/>
                <w:sz w:val="20"/>
                <w:szCs w:val="20"/>
              </w:rPr>
              <w:t>0</w:t>
            </w:r>
          </w:p>
        </w:tc>
        <w:tc>
          <w:tcPr>
            <w:tcW w:w="1444" w:type="dxa"/>
            <w:tcBorders>
              <w:top w:val="nil"/>
              <w:bottom w:val="nil"/>
            </w:tcBorders>
            <w:shd w:val="clear" w:color="auto" w:fill="auto"/>
          </w:tcPr>
          <w:p w14:paraId="04F7C17F" w14:textId="77777777" w:rsidR="00F23343" w:rsidRPr="00CD237E" w:rsidRDefault="00F23343" w:rsidP="00136A61">
            <w:pPr>
              <w:spacing w:before="60" w:after="60"/>
              <w:jc w:val="right"/>
              <w:rPr>
                <w:rFonts w:cstheme="minorHAnsi"/>
                <w:sz w:val="20"/>
                <w:szCs w:val="20"/>
              </w:rPr>
            </w:pPr>
            <w:r w:rsidRPr="00CD237E">
              <w:rPr>
                <w:rFonts w:cstheme="minorHAnsi"/>
                <w:sz w:val="20"/>
                <w:szCs w:val="20"/>
              </w:rPr>
              <w:t>0</w:t>
            </w:r>
          </w:p>
        </w:tc>
        <w:tc>
          <w:tcPr>
            <w:tcW w:w="1271" w:type="dxa"/>
            <w:tcBorders>
              <w:top w:val="nil"/>
              <w:bottom w:val="nil"/>
            </w:tcBorders>
            <w:shd w:val="clear" w:color="auto" w:fill="auto"/>
          </w:tcPr>
          <w:p w14:paraId="2FC6E846" w14:textId="77777777" w:rsidR="00F23343" w:rsidRPr="00CD237E" w:rsidRDefault="00F23343" w:rsidP="00136A61">
            <w:pPr>
              <w:spacing w:before="60" w:after="60"/>
              <w:jc w:val="right"/>
              <w:rPr>
                <w:rFonts w:cstheme="minorHAnsi"/>
                <w:sz w:val="20"/>
                <w:szCs w:val="20"/>
              </w:rPr>
            </w:pPr>
            <w:r>
              <w:rPr>
                <w:rFonts w:cstheme="minorHAnsi"/>
                <w:sz w:val="20"/>
                <w:szCs w:val="20"/>
              </w:rPr>
              <w:t>48 927</w:t>
            </w:r>
          </w:p>
        </w:tc>
      </w:tr>
      <w:tr w:rsidR="00F23343" w14:paraId="0E584045" w14:textId="77777777" w:rsidTr="008D0438">
        <w:trPr>
          <w:tblHeader/>
        </w:trPr>
        <w:tc>
          <w:tcPr>
            <w:tcW w:w="5103" w:type="dxa"/>
            <w:tcBorders>
              <w:top w:val="nil"/>
              <w:bottom w:val="nil"/>
            </w:tcBorders>
            <w:shd w:val="clear" w:color="auto" w:fill="auto"/>
          </w:tcPr>
          <w:p w14:paraId="5C7FFC4A" w14:textId="77777777" w:rsidR="00F23343" w:rsidRPr="00CD237E" w:rsidRDefault="00F23343" w:rsidP="00136A61">
            <w:pPr>
              <w:spacing w:before="60" w:after="60"/>
              <w:rPr>
                <w:rFonts w:cstheme="minorHAnsi"/>
                <w:b/>
                <w:sz w:val="20"/>
                <w:szCs w:val="20"/>
              </w:rPr>
            </w:pPr>
            <w:r w:rsidRPr="00CD237E">
              <w:rPr>
                <w:rFonts w:cstheme="minorHAnsi"/>
                <w:b/>
                <w:sz w:val="20"/>
                <w:szCs w:val="20"/>
              </w:rPr>
              <w:t xml:space="preserve">KP – Nástroj pro propojení Evropy </w:t>
            </w:r>
            <w:r>
              <w:rPr>
                <w:rFonts w:cstheme="minorHAnsi"/>
                <w:b/>
                <w:sz w:val="20"/>
                <w:szCs w:val="20"/>
              </w:rPr>
              <w:t>2014</w:t>
            </w:r>
            <w:r w:rsidRPr="00CD237E">
              <w:rPr>
                <w:rFonts w:cstheme="minorHAnsi"/>
                <w:b/>
                <w:sz w:val="20"/>
                <w:szCs w:val="20"/>
              </w:rPr>
              <w:t>+ (v tom:)</w:t>
            </w:r>
          </w:p>
        </w:tc>
        <w:tc>
          <w:tcPr>
            <w:tcW w:w="1533" w:type="dxa"/>
            <w:tcBorders>
              <w:top w:val="nil"/>
              <w:bottom w:val="nil"/>
            </w:tcBorders>
            <w:shd w:val="clear" w:color="auto" w:fill="auto"/>
          </w:tcPr>
          <w:p w14:paraId="34FE9932" w14:textId="77777777" w:rsidR="00F23343" w:rsidRDefault="00F23343" w:rsidP="00136A61">
            <w:pPr>
              <w:spacing w:before="60" w:after="60"/>
              <w:jc w:val="right"/>
              <w:rPr>
                <w:rFonts w:cstheme="minorHAnsi"/>
                <w:b/>
                <w:sz w:val="20"/>
                <w:szCs w:val="20"/>
              </w:rPr>
            </w:pPr>
            <w:r>
              <w:rPr>
                <w:rFonts w:cstheme="minorHAnsi"/>
                <w:b/>
                <w:sz w:val="20"/>
                <w:szCs w:val="20"/>
              </w:rPr>
              <w:t>0</w:t>
            </w:r>
          </w:p>
        </w:tc>
        <w:tc>
          <w:tcPr>
            <w:tcW w:w="1444" w:type="dxa"/>
            <w:tcBorders>
              <w:top w:val="nil"/>
              <w:bottom w:val="nil"/>
            </w:tcBorders>
            <w:shd w:val="clear" w:color="auto" w:fill="auto"/>
          </w:tcPr>
          <w:p w14:paraId="2647E5BD" w14:textId="77777777" w:rsidR="00F23343" w:rsidRDefault="00F23343" w:rsidP="00136A61">
            <w:pPr>
              <w:spacing w:before="60" w:after="60"/>
              <w:jc w:val="right"/>
              <w:rPr>
                <w:rFonts w:cstheme="minorHAnsi"/>
                <w:b/>
                <w:sz w:val="20"/>
                <w:szCs w:val="20"/>
              </w:rPr>
            </w:pPr>
            <w:r>
              <w:rPr>
                <w:rFonts w:cstheme="minorHAnsi"/>
                <w:b/>
                <w:sz w:val="20"/>
                <w:szCs w:val="20"/>
              </w:rPr>
              <w:t>0</w:t>
            </w:r>
          </w:p>
        </w:tc>
        <w:tc>
          <w:tcPr>
            <w:tcW w:w="1271" w:type="dxa"/>
            <w:tcBorders>
              <w:top w:val="nil"/>
              <w:bottom w:val="nil"/>
            </w:tcBorders>
            <w:shd w:val="clear" w:color="auto" w:fill="auto"/>
          </w:tcPr>
          <w:p w14:paraId="2F453D95" w14:textId="77777777" w:rsidR="00F23343" w:rsidRDefault="00F23343" w:rsidP="00136A61">
            <w:pPr>
              <w:spacing w:before="60" w:after="60"/>
              <w:jc w:val="right"/>
              <w:rPr>
                <w:rFonts w:cstheme="minorHAnsi"/>
                <w:b/>
                <w:sz w:val="20"/>
                <w:szCs w:val="20"/>
              </w:rPr>
            </w:pPr>
            <w:r>
              <w:rPr>
                <w:rFonts w:cstheme="minorHAnsi"/>
                <w:b/>
                <w:sz w:val="20"/>
                <w:szCs w:val="20"/>
              </w:rPr>
              <w:t>1 674</w:t>
            </w:r>
          </w:p>
        </w:tc>
      </w:tr>
      <w:tr w:rsidR="00F23343" w14:paraId="688967F2" w14:textId="77777777" w:rsidTr="008D0438">
        <w:trPr>
          <w:tblHeader/>
        </w:trPr>
        <w:tc>
          <w:tcPr>
            <w:tcW w:w="5103" w:type="dxa"/>
            <w:tcBorders>
              <w:top w:val="nil"/>
              <w:bottom w:val="nil"/>
            </w:tcBorders>
            <w:shd w:val="clear" w:color="auto" w:fill="auto"/>
          </w:tcPr>
          <w:p w14:paraId="6AA640F3" w14:textId="77777777" w:rsidR="00F23343" w:rsidRPr="00CD237E" w:rsidRDefault="00F23343" w:rsidP="00136A61">
            <w:pPr>
              <w:spacing w:before="60" w:after="60"/>
              <w:rPr>
                <w:rFonts w:cstheme="minorHAnsi"/>
                <w:b/>
                <w:sz w:val="20"/>
                <w:szCs w:val="20"/>
              </w:rPr>
            </w:pPr>
            <w:r w:rsidRPr="00CD237E">
              <w:rPr>
                <w:rFonts w:cstheme="minorHAnsi"/>
                <w:sz w:val="20"/>
                <w:szCs w:val="20"/>
              </w:rPr>
              <w:t>ZED</w:t>
            </w:r>
          </w:p>
        </w:tc>
        <w:tc>
          <w:tcPr>
            <w:tcW w:w="1533" w:type="dxa"/>
            <w:tcBorders>
              <w:top w:val="nil"/>
              <w:bottom w:val="nil"/>
            </w:tcBorders>
            <w:shd w:val="clear" w:color="auto" w:fill="auto"/>
          </w:tcPr>
          <w:p w14:paraId="071698BA" w14:textId="77777777" w:rsidR="00F23343" w:rsidRDefault="00F23343" w:rsidP="00136A61">
            <w:pPr>
              <w:spacing w:before="60" w:after="60"/>
              <w:jc w:val="right"/>
              <w:rPr>
                <w:rFonts w:cstheme="minorHAnsi"/>
                <w:b/>
                <w:sz w:val="20"/>
                <w:szCs w:val="20"/>
              </w:rPr>
            </w:pPr>
            <w:r>
              <w:rPr>
                <w:rFonts w:cstheme="minorHAnsi"/>
                <w:sz w:val="20"/>
                <w:szCs w:val="20"/>
              </w:rPr>
              <w:t>0</w:t>
            </w:r>
          </w:p>
        </w:tc>
        <w:tc>
          <w:tcPr>
            <w:tcW w:w="1444" w:type="dxa"/>
            <w:tcBorders>
              <w:top w:val="nil"/>
              <w:bottom w:val="nil"/>
            </w:tcBorders>
            <w:shd w:val="clear" w:color="auto" w:fill="auto"/>
          </w:tcPr>
          <w:p w14:paraId="08EDC102" w14:textId="77777777" w:rsidR="00F23343" w:rsidRDefault="00F23343" w:rsidP="00136A61">
            <w:pPr>
              <w:spacing w:before="60" w:after="60"/>
              <w:jc w:val="right"/>
              <w:rPr>
                <w:rFonts w:cstheme="minorHAnsi"/>
                <w:b/>
                <w:sz w:val="20"/>
                <w:szCs w:val="20"/>
              </w:rPr>
            </w:pPr>
            <w:r>
              <w:rPr>
                <w:rFonts w:cstheme="minorHAnsi"/>
                <w:sz w:val="20"/>
                <w:szCs w:val="20"/>
              </w:rPr>
              <w:t>0</w:t>
            </w:r>
          </w:p>
        </w:tc>
        <w:tc>
          <w:tcPr>
            <w:tcW w:w="1271" w:type="dxa"/>
            <w:tcBorders>
              <w:top w:val="nil"/>
              <w:bottom w:val="nil"/>
            </w:tcBorders>
            <w:shd w:val="clear" w:color="auto" w:fill="auto"/>
          </w:tcPr>
          <w:p w14:paraId="24122E5D" w14:textId="77777777" w:rsidR="00F23343" w:rsidRDefault="00F23343" w:rsidP="00136A61">
            <w:pPr>
              <w:spacing w:before="60" w:after="60"/>
              <w:jc w:val="right"/>
              <w:rPr>
                <w:rFonts w:cstheme="minorHAnsi"/>
                <w:b/>
                <w:sz w:val="20"/>
                <w:szCs w:val="20"/>
              </w:rPr>
            </w:pPr>
            <w:r>
              <w:rPr>
                <w:rFonts w:cstheme="minorHAnsi"/>
                <w:sz w:val="20"/>
                <w:szCs w:val="20"/>
              </w:rPr>
              <w:t>1 674</w:t>
            </w:r>
          </w:p>
        </w:tc>
      </w:tr>
      <w:tr w:rsidR="00F23343" w:rsidRPr="00CD237E" w14:paraId="0D2C6F97" w14:textId="77777777" w:rsidTr="008D0438">
        <w:trPr>
          <w:tblHeader/>
        </w:trPr>
        <w:tc>
          <w:tcPr>
            <w:tcW w:w="5103" w:type="dxa"/>
            <w:tcBorders>
              <w:top w:val="nil"/>
              <w:bottom w:val="nil"/>
            </w:tcBorders>
            <w:shd w:val="clear" w:color="auto" w:fill="auto"/>
          </w:tcPr>
          <w:p w14:paraId="7A6597A9" w14:textId="77777777" w:rsidR="00F23343" w:rsidRPr="00CD237E" w:rsidRDefault="00F23343" w:rsidP="00136A61">
            <w:pPr>
              <w:spacing w:before="60" w:after="60"/>
              <w:rPr>
                <w:rFonts w:cstheme="minorHAnsi"/>
                <w:b/>
                <w:sz w:val="20"/>
                <w:szCs w:val="20"/>
              </w:rPr>
            </w:pPr>
            <w:r w:rsidRPr="00CD237E">
              <w:rPr>
                <w:rFonts w:cstheme="minorHAnsi"/>
                <w:b/>
                <w:sz w:val="20"/>
                <w:szCs w:val="20"/>
              </w:rPr>
              <w:t xml:space="preserve">KP – Nástroj pro propojení Evropy </w:t>
            </w:r>
            <w:r>
              <w:rPr>
                <w:rFonts w:cstheme="minorHAnsi"/>
                <w:b/>
                <w:sz w:val="20"/>
                <w:szCs w:val="20"/>
              </w:rPr>
              <w:t>2021</w:t>
            </w:r>
            <w:r w:rsidRPr="00CD237E">
              <w:rPr>
                <w:rFonts w:cstheme="minorHAnsi"/>
                <w:b/>
                <w:sz w:val="20"/>
                <w:szCs w:val="20"/>
              </w:rPr>
              <w:t>+ (v tom:)</w:t>
            </w:r>
          </w:p>
        </w:tc>
        <w:tc>
          <w:tcPr>
            <w:tcW w:w="1533" w:type="dxa"/>
            <w:tcBorders>
              <w:top w:val="nil"/>
              <w:bottom w:val="nil"/>
            </w:tcBorders>
            <w:shd w:val="clear" w:color="auto" w:fill="auto"/>
          </w:tcPr>
          <w:p w14:paraId="26782C0D" w14:textId="77777777" w:rsidR="00F23343" w:rsidRPr="00CD237E" w:rsidRDefault="00F23343" w:rsidP="00136A61">
            <w:pPr>
              <w:spacing w:before="60" w:after="60"/>
              <w:jc w:val="right"/>
              <w:rPr>
                <w:rFonts w:cstheme="minorHAnsi"/>
                <w:b/>
                <w:sz w:val="20"/>
                <w:szCs w:val="20"/>
              </w:rPr>
            </w:pPr>
            <w:r>
              <w:rPr>
                <w:rFonts w:cstheme="minorHAnsi"/>
                <w:b/>
                <w:sz w:val="20"/>
                <w:szCs w:val="20"/>
              </w:rPr>
              <w:t>0</w:t>
            </w:r>
          </w:p>
        </w:tc>
        <w:tc>
          <w:tcPr>
            <w:tcW w:w="1444" w:type="dxa"/>
            <w:tcBorders>
              <w:top w:val="nil"/>
              <w:bottom w:val="nil"/>
            </w:tcBorders>
            <w:shd w:val="clear" w:color="auto" w:fill="auto"/>
          </w:tcPr>
          <w:p w14:paraId="6B3EB9B9" w14:textId="77777777" w:rsidR="00F23343" w:rsidRPr="00CD237E" w:rsidRDefault="00F23343" w:rsidP="00136A61">
            <w:pPr>
              <w:spacing w:before="60" w:after="60"/>
              <w:jc w:val="right"/>
              <w:rPr>
                <w:rFonts w:cstheme="minorHAnsi"/>
                <w:b/>
                <w:sz w:val="20"/>
                <w:szCs w:val="20"/>
              </w:rPr>
            </w:pPr>
            <w:r>
              <w:rPr>
                <w:rFonts w:cstheme="minorHAnsi"/>
                <w:b/>
                <w:sz w:val="20"/>
                <w:szCs w:val="20"/>
              </w:rPr>
              <w:t>767</w:t>
            </w:r>
          </w:p>
        </w:tc>
        <w:tc>
          <w:tcPr>
            <w:tcW w:w="1271" w:type="dxa"/>
            <w:tcBorders>
              <w:top w:val="nil"/>
              <w:bottom w:val="nil"/>
            </w:tcBorders>
            <w:shd w:val="clear" w:color="auto" w:fill="auto"/>
          </w:tcPr>
          <w:p w14:paraId="6067E797" w14:textId="77777777" w:rsidR="00F23343" w:rsidRPr="00CD237E" w:rsidRDefault="00F23343" w:rsidP="00136A61">
            <w:pPr>
              <w:spacing w:before="60" w:after="60"/>
              <w:jc w:val="right"/>
              <w:rPr>
                <w:rFonts w:cstheme="minorHAnsi"/>
                <w:b/>
                <w:sz w:val="20"/>
                <w:szCs w:val="20"/>
              </w:rPr>
            </w:pPr>
            <w:r>
              <w:rPr>
                <w:rFonts w:cstheme="minorHAnsi"/>
                <w:b/>
                <w:sz w:val="20"/>
                <w:szCs w:val="20"/>
              </w:rPr>
              <w:t>215</w:t>
            </w:r>
          </w:p>
        </w:tc>
      </w:tr>
      <w:tr w:rsidR="00F23343" w:rsidRPr="00CD237E" w14:paraId="3E21BC56" w14:textId="77777777" w:rsidTr="008D0438">
        <w:trPr>
          <w:tblHeader/>
        </w:trPr>
        <w:tc>
          <w:tcPr>
            <w:tcW w:w="5103" w:type="dxa"/>
            <w:tcBorders>
              <w:top w:val="nil"/>
            </w:tcBorders>
            <w:shd w:val="clear" w:color="auto" w:fill="auto"/>
          </w:tcPr>
          <w:p w14:paraId="7CC19E43" w14:textId="77777777" w:rsidR="00F23343" w:rsidRPr="00CD237E" w:rsidRDefault="00F23343" w:rsidP="00136A61">
            <w:pPr>
              <w:spacing w:before="60" w:after="60"/>
              <w:rPr>
                <w:rFonts w:cstheme="minorHAnsi"/>
                <w:sz w:val="20"/>
                <w:szCs w:val="20"/>
              </w:rPr>
            </w:pPr>
            <w:r w:rsidRPr="00CD237E">
              <w:rPr>
                <w:rFonts w:cstheme="minorHAnsi"/>
                <w:sz w:val="20"/>
                <w:szCs w:val="20"/>
              </w:rPr>
              <w:t>ZED</w:t>
            </w:r>
          </w:p>
        </w:tc>
        <w:tc>
          <w:tcPr>
            <w:tcW w:w="1533" w:type="dxa"/>
            <w:tcBorders>
              <w:top w:val="nil"/>
            </w:tcBorders>
            <w:shd w:val="clear" w:color="auto" w:fill="auto"/>
          </w:tcPr>
          <w:p w14:paraId="2AE16933" w14:textId="77777777" w:rsidR="00F23343" w:rsidRPr="00CD237E" w:rsidRDefault="00F23343" w:rsidP="00136A61">
            <w:pPr>
              <w:spacing w:before="60" w:after="60"/>
              <w:jc w:val="right"/>
              <w:rPr>
                <w:rFonts w:cstheme="minorHAnsi"/>
                <w:sz w:val="20"/>
                <w:szCs w:val="20"/>
              </w:rPr>
            </w:pPr>
            <w:r>
              <w:rPr>
                <w:rFonts w:cstheme="minorHAnsi"/>
                <w:sz w:val="20"/>
                <w:szCs w:val="20"/>
              </w:rPr>
              <w:t>0</w:t>
            </w:r>
          </w:p>
        </w:tc>
        <w:tc>
          <w:tcPr>
            <w:tcW w:w="1444" w:type="dxa"/>
            <w:tcBorders>
              <w:top w:val="nil"/>
            </w:tcBorders>
            <w:shd w:val="clear" w:color="auto" w:fill="auto"/>
          </w:tcPr>
          <w:p w14:paraId="248DA2EB" w14:textId="77777777" w:rsidR="00F23343" w:rsidRPr="00CD237E" w:rsidRDefault="00F23343" w:rsidP="00136A61">
            <w:pPr>
              <w:spacing w:before="60" w:after="60"/>
              <w:jc w:val="right"/>
              <w:rPr>
                <w:rFonts w:cstheme="minorHAnsi"/>
                <w:sz w:val="20"/>
                <w:szCs w:val="20"/>
              </w:rPr>
            </w:pPr>
            <w:r>
              <w:rPr>
                <w:rFonts w:cstheme="minorHAnsi"/>
                <w:sz w:val="20"/>
                <w:szCs w:val="20"/>
              </w:rPr>
              <w:t>767</w:t>
            </w:r>
          </w:p>
        </w:tc>
        <w:tc>
          <w:tcPr>
            <w:tcW w:w="1271" w:type="dxa"/>
            <w:tcBorders>
              <w:top w:val="nil"/>
            </w:tcBorders>
            <w:shd w:val="clear" w:color="auto" w:fill="auto"/>
          </w:tcPr>
          <w:p w14:paraId="68AFDF98" w14:textId="77777777" w:rsidR="00F23343" w:rsidRPr="00CD237E" w:rsidRDefault="00F23343" w:rsidP="00136A61">
            <w:pPr>
              <w:spacing w:before="60" w:after="60"/>
              <w:jc w:val="right"/>
              <w:rPr>
                <w:rFonts w:cstheme="minorHAnsi"/>
                <w:sz w:val="20"/>
                <w:szCs w:val="20"/>
              </w:rPr>
            </w:pPr>
            <w:r>
              <w:rPr>
                <w:rFonts w:cstheme="minorHAnsi"/>
                <w:sz w:val="20"/>
                <w:szCs w:val="20"/>
              </w:rPr>
              <w:t>215</w:t>
            </w:r>
          </w:p>
        </w:tc>
      </w:tr>
    </w:tbl>
    <w:p w14:paraId="616B01BD" w14:textId="77777777" w:rsidR="00337175" w:rsidRPr="00337175" w:rsidRDefault="00337175" w:rsidP="008D0438">
      <w:pPr>
        <w:pStyle w:val="KOMtext"/>
      </w:pPr>
      <w:r w:rsidRPr="00337175">
        <w:t>Neinvestiční transfer byl čerpán ve výši 21 428 873 tis. Kč, tj. 100,2 % rozpočtu po změnách, z toho nároky z nespotřebovaných výdajů 51 064 tis. Kč. Prostředky EU byly čerpány ve výši          51 279 tis. Kč.</w:t>
      </w:r>
    </w:p>
    <w:p w14:paraId="612E9B1B" w14:textId="77777777" w:rsidR="00337175" w:rsidRPr="00337175" w:rsidRDefault="00337175" w:rsidP="008D0438">
      <w:pPr>
        <w:pStyle w:val="KOMtext"/>
      </w:pPr>
      <w:r w:rsidRPr="00337175">
        <w:t xml:space="preserve">Oproti roku 2022 došlo k navýšení čerpání o 4 330 628 tis. Kč, tj. o 25,3 %. V absolutním vyjádření se navýšení týkalo především prostředků určených na krytí deficitu rozpočtu SFDI. </w:t>
      </w:r>
    </w:p>
    <w:p w14:paraId="540146C8" w14:textId="77777777" w:rsidR="00337175" w:rsidRPr="00337175" w:rsidRDefault="00337175" w:rsidP="008D0438">
      <w:pPr>
        <w:keepNext/>
        <w:keepLines/>
        <w:spacing w:before="200" w:after="120" w:line="276" w:lineRule="auto"/>
        <w:jc w:val="both"/>
        <w:rPr>
          <w:sz w:val="24"/>
          <w:szCs w:val="24"/>
          <w:u w:val="single"/>
        </w:rPr>
      </w:pPr>
      <w:r w:rsidRPr="00337175">
        <w:rPr>
          <w:sz w:val="24"/>
          <w:szCs w:val="24"/>
          <w:u w:val="single"/>
        </w:rPr>
        <w:t>Prostředky byly poskytnuty na:</w:t>
      </w:r>
    </w:p>
    <w:p w14:paraId="500536AE" w14:textId="52D124A7" w:rsidR="00337175" w:rsidRPr="00337175" w:rsidRDefault="00337175" w:rsidP="00E54955">
      <w:pPr>
        <w:keepLines/>
        <w:numPr>
          <w:ilvl w:val="0"/>
          <w:numId w:val="34"/>
        </w:numPr>
        <w:spacing w:before="120" w:after="60" w:line="276" w:lineRule="auto"/>
        <w:ind w:left="284" w:hanging="284"/>
        <w:jc w:val="both"/>
        <w:rPr>
          <w:sz w:val="24"/>
          <w:szCs w:val="24"/>
        </w:rPr>
      </w:pPr>
      <w:r w:rsidRPr="00337175">
        <w:rPr>
          <w:b/>
          <w:color w:val="FF0000"/>
          <w:sz w:val="24"/>
          <w:szCs w:val="24"/>
        </w:rPr>
        <w:t xml:space="preserve"> </w:t>
      </w:r>
      <w:r w:rsidRPr="00337175">
        <w:rPr>
          <w:b/>
          <w:sz w:val="24"/>
          <w:szCs w:val="24"/>
        </w:rPr>
        <w:t xml:space="preserve">krytí deficitu rozpočtu SFDI </w:t>
      </w:r>
      <w:r w:rsidRPr="00337175">
        <w:rPr>
          <w:sz w:val="24"/>
          <w:szCs w:val="24"/>
        </w:rPr>
        <w:t>ve výši</w:t>
      </w:r>
      <w:r w:rsidRPr="00337175">
        <w:rPr>
          <w:b/>
          <w:sz w:val="24"/>
          <w:szCs w:val="24"/>
        </w:rPr>
        <w:t xml:space="preserve"> </w:t>
      </w:r>
      <w:r w:rsidRPr="00337175">
        <w:rPr>
          <w:sz w:val="24"/>
          <w:szCs w:val="24"/>
        </w:rPr>
        <w:t>21 377 594 tis. Kč. Prostředky byly čerpány především</w:t>
      </w:r>
      <w:r w:rsidRPr="00337175">
        <w:rPr>
          <w:b/>
          <w:sz w:val="24"/>
          <w:szCs w:val="24"/>
        </w:rPr>
        <w:t xml:space="preserve"> </w:t>
      </w:r>
      <w:r w:rsidRPr="00337175">
        <w:rPr>
          <w:sz w:val="24"/>
          <w:szCs w:val="24"/>
        </w:rPr>
        <w:t xml:space="preserve">na opravu a údržbu dopravní infrastruktury (silnic I. třídy, dálnice) a zajištění provozu drah. </w:t>
      </w:r>
    </w:p>
    <w:p w14:paraId="730F8ABF" w14:textId="77777777" w:rsidR="00337175" w:rsidRPr="00337175" w:rsidRDefault="00337175" w:rsidP="00E54955">
      <w:pPr>
        <w:keepLines/>
        <w:numPr>
          <w:ilvl w:val="0"/>
          <w:numId w:val="34"/>
        </w:numPr>
        <w:spacing w:before="60" w:after="120" w:line="276" w:lineRule="auto"/>
        <w:ind w:left="284" w:hanging="284"/>
        <w:contextualSpacing/>
        <w:jc w:val="both"/>
        <w:rPr>
          <w:sz w:val="24"/>
          <w:szCs w:val="24"/>
        </w:rPr>
      </w:pPr>
      <w:r w:rsidRPr="00337175">
        <w:rPr>
          <w:b/>
          <w:sz w:val="24"/>
          <w:szCs w:val="24"/>
        </w:rPr>
        <w:lastRenderedPageBreak/>
        <w:t>projekty Operačního programu Doprava 2014+</w:t>
      </w:r>
      <w:r w:rsidRPr="00337175">
        <w:rPr>
          <w:sz w:val="24"/>
          <w:szCs w:val="24"/>
        </w:rPr>
        <w:t xml:space="preserve"> ve výši 49 390 tis. Kč, v tom:</w:t>
      </w:r>
    </w:p>
    <w:p w14:paraId="364AC3EA" w14:textId="77777777" w:rsidR="00337175" w:rsidRPr="00337175" w:rsidRDefault="00337175" w:rsidP="00337175">
      <w:pPr>
        <w:numPr>
          <w:ilvl w:val="0"/>
          <w:numId w:val="10"/>
        </w:numPr>
        <w:spacing w:before="120" w:after="60" w:line="276" w:lineRule="auto"/>
        <w:ind w:left="568" w:hanging="284"/>
        <w:jc w:val="both"/>
        <w:rPr>
          <w:sz w:val="24"/>
          <w:szCs w:val="24"/>
          <w:lang w:eastAsia="cs-CZ"/>
        </w:rPr>
      </w:pPr>
      <w:r w:rsidRPr="00337175">
        <w:rPr>
          <w:sz w:val="24"/>
          <w:szCs w:val="24"/>
          <w:lang w:eastAsia="cs-CZ"/>
        </w:rPr>
        <w:t xml:space="preserve">na financování projektů v rámci specifického 2.3 – Zlepšení řízení dopravního provozu                   a zvýšení bezpečnosti dopravního provozu ve výši 463 tis. Kč, </w:t>
      </w:r>
    </w:p>
    <w:p w14:paraId="6D4AABAA" w14:textId="77777777" w:rsidR="00337175" w:rsidRPr="00337175" w:rsidRDefault="00337175" w:rsidP="00337175">
      <w:pPr>
        <w:numPr>
          <w:ilvl w:val="0"/>
          <w:numId w:val="10"/>
        </w:numPr>
        <w:spacing w:before="60" w:after="60" w:line="276" w:lineRule="auto"/>
        <w:ind w:left="568" w:hanging="284"/>
        <w:jc w:val="both"/>
        <w:rPr>
          <w:sz w:val="24"/>
          <w:szCs w:val="24"/>
          <w:lang w:eastAsia="cs-CZ"/>
        </w:rPr>
      </w:pPr>
      <w:r w:rsidRPr="00337175">
        <w:rPr>
          <w:sz w:val="24"/>
          <w:szCs w:val="24"/>
          <w:lang w:eastAsia="cs-CZ"/>
        </w:rPr>
        <w:t xml:space="preserve">na financování projektů v rámci prioritní osy 4 – Technická pomoc ve výši 48 927 tis. Kč. Prostředky byly použity na nákup materiálu, nákup služeb a mzdové prostředky. </w:t>
      </w:r>
    </w:p>
    <w:p w14:paraId="64A899C8" w14:textId="77777777" w:rsidR="00337175" w:rsidRPr="00337175" w:rsidRDefault="00337175" w:rsidP="00E54955">
      <w:pPr>
        <w:keepLines/>
        <w:numPr>
          <w:ilvl w:val="0"/>
          <w:numId w:val="34"/>
        </w:numPr>
        <w:spacing w:before="60" w:after="60" w:line="276" w:lineRule="auto"/>
        <w:ind w:left="284" w:hanging="284"/>
        <w:jc w:val="both"/>
        <w:rPr>
          <w:sz w:val="24"/>
          <w:szCs w:val="24"/>
        </w:rPr>
      </w:pPr>
      <w:bookmarkStart w:id="1047" w:name="_Hlk159880223"/>
      <w:r w:rsidRPr="00337175">
        <w:rPr>
          <w:b/>
          <w:sz w:val="24"/>
          <w:szCs w:val="24"/>
        </w:rPr>
        <w:t xml:space="preserve">projekt komunitárního programu – Nástroj pro propojení Evropy 2014+ </w:t>
      </w:r>
      <w:r w:rsidRPr="00337175">
        <w:rPr>
          <w:sz w:val="24"/>
          <w:szCs w:val="24"/>
        </w:rPr>
        <w:t xml:space="preserve">ve výši </w:t>
      </w:r>
      <w:r w:rsidRPr="00337175">
        <w:rPr>
          <w:sz w:val="24"/>
          <w:szCs w:val="24"/>
        </w:rPr>
        <w:br/>
        <w:t>1 674 tis. Kč, v tom:</w:t>
      </w:r>
    </w:p>
    <w:p w14:paraId="332085C4" w14:textId="77777777" w:rsidR="00337175" w:rsidRPr="00337175" w:rsidRDefault="00337175" w:rsidP="00337175">
      <w:pPr>
        <w:numPr>
          <w:ilvl w:val="0"/>
          <w:numId w:val="10"/>
        </w:numPr>
        <w:spacing w:before="60" w:after="60" w:line="276" w:lineRule="auto"/>
        <w:ind w:left="568" w:hanging="284"/>
        <w:jc w:val="both"/>
        <w:rPr>
          <w:sz w:val="24"/>
          <w:szCs w:val="24"/>
          <w:lang w:eastAsia="cs-CZ"/>
        </w:rPr>
      </w:pPr>
      <w:r w:rsidRPr="00337175">
        <w:rPr>
          <w:sz w:val="24"/>
          <w:szCs w:val="24"/>
          <w:lang w:eastAsia="cs-CZ"/>
        </w:rPr>
        <w:t xml:space="preserve">na financování projektu NAPCORE ve výši 1 674 tis. Kč. </w:t>
      </w:r>
    </w:p>
    <w:bookmarkEnd w:id="1047"/>
    <w:p w14:paraId="01B89091" w14:textId="77777777" w:rsidR="00337175" w:rsidRPr="00337175" w:rsidRDefault="00337175" w:rsidP="00E54955">
      <w:pPr>
        <w:keepLines/>
        <w:numPr>
          <w:ilvl w:val="0"/>
          <w:numId w:val="34"/>
        </w:numPr>
        <w:spacing w:before="60" w:after="60" w:line="276" w:lineRule="auto"/>
        <w:ind w:left="284" w:hanging="284"/>
        <w:jc w:val="both"/>
        <w:rPr>
          <w:sz w:val="24"/>
          <w:szCs w:val="24"/>
        </w:rPr>
      </w:pPr>
      <w:r w:rsidRPr="00337175">
        <w:rPr>
          <w:b/>
          <w:sz w:val="24"/>
          <w:szCs w:val="24"/>
        </w:rPr>
        <w:t xml:space="preserve">projekty komunitárního programu – Nástroj pro propojení Evropy 2021+ </w:t>
      </w:r>
      <w:r w:rsidRPr="00337175">
        <w:rPr>
          <w:sz w:val="24"/>
          <w:szCs w:val="24"/>
        </w:rPr>
        <w:t xml:space="preserve">ve výši </w:t>
      </w:r>
      <w:r w:rsidRPr="00337175">
        <w:rPr>
          <w:sz w:val="24"/>
          <w:szCs w:val="24"/>
        </w:rPr>
        <w:br/>
        <w:t>215 tis. Kč, v tom:</w:t>
      </w:r>
    </w:p>
    <w:p w14:paraId="208EAE6B" w14:textId="3C77EEF6" w:rsidR="00337175" w:rsidRPr="00337175" w:rsidRDefault="00337175" w:rsidP="00337175">
      <w:pPr>
        <w:numPr>
          <w:ilvl w:val="0"/>
          <w:numId w:val="10"/>
        </w:numPr>
        <w:spacing w:before="60" w:after="60" w:line="276" w:lineRule="auto"/>
        <w:ind w:left="568" w:hanging="284"/>
        <w:jc w:val="both"/>
        <w:rPr>
          <w:sz w:val="24"/>
          <w:szCs w:val="24"/>
          <w:lang w:eastAsia="cs-CZ"/>
        </w:rPr>
      </w:pPr>
      <w:r w:rsidRPr="00337175">
        <w:rPr>
          <w:sz w:val="24"/>
          <w:szCs w:val="24"/>
          <w:lang w:eastAsia="cs-CZ"/>
        </w:rPr>
        <w:t xml:space="preserve">na financování projektu CEF ve výši 215 tis. Kč. </w:t>
      </w:r>
    </w:p>
    <w:p w14:paraId="2F17605C" w14:textId="77777777" w:rsidR="00453450" w:rsidRPr="006B6D61" w:rsidRDefault="00453450" w:rsidP="00453450">
      <w:pPr>
        <w:spacing w:beforeLines="100" w:before="240" w:line="276" w:lineRule="auto"/>
        <w:rPr>
          <w:b/>
          <w:color w:val="2E74B5" w:themeColor="accent1" w:themeShade="BF"/>
          <w:sz w:val="24"/>
          <w:szCs w:val="24"/>
          <w:u w:val="single"/>
        </w:rPr>
      </w:pPr>
      <w:r w:rsidRPr="006B6D61">
        <w:rPr>
          <w:b/>
          <w:color w:val="2E74B5" w:themeColor="accent1" w:themeShade="BF"/>
          <w:sz w:val="24"/>
          <w:szCs w:val="24"/>
          <w:u w:val="single"/>
        </w:rPr>
        <w:t>Investiční transfer</w:t>
      </w:r>
    </w:p>
    <w:p w14:paraId="2ED86F7B" w14:textId="762AE508" w:rsidR="00453450" w:rsidRPr="0077128B" w:rsidRDefault="00C8497B" w:rsidP="00453450">
      <w:pPr>
        <w:pStyle w:val="KOMtext"/>
        <w:rPr>
          <w:color w:val="FF0000"/>
        </w:rPr>
      </w:pPr>
      <w:r w:rsidRPr="00FC41D5">
        <w:t xml:space="preserve">Schválený objem investičního transferu pro SFDI ve výši 75 946 489 tis. Kč (z toho prostředky EU </w:t>
      </w:r>
      <w:r w:rsidRPr="00646207">
        <w:t xml:space="preserve">27 544 489 tis. Kč) byl v průběhu roku snížen o 5 337 851 tis. Kč na 70 608 638 tis. Kč </w:t>
      </w:r>
      <w:r w:rsidRPr="00646207">
        <w:br/>
        <w:t xml:space="preserve">(z toho prostředky EU 28 061 232 tis. Kč). </w:t>
      </w:r>
      <w:r w:rsidRPr="008F30CA">
        <w:t xml:space="preserve">Ke snížení došlo u prostředků určených na krytí deficitu rozpočtu SFDI o 5 854 594 tis. Kč, </w:t>
      </w:r>
      <w:r w:rsidRPr="00BA47C5">
        <w:t xml:space="preserve">u prostředků určených na komunitární programy (Nástroj pro propojení Evropy 2021+) ve výši 767 tis. Kč, prostředky byly převedeny </w:t>
      </w:r>
      <w:r w:rsidR="008D0438">
        <w:br/>
      </w:r>
      <w:r w:rsidRPr="00BA47C5">
        <w:t xml:space="preserve">na neinvestiční transfer SFDI. </w:t>
      </w:r>
      <w:r w:rsidRPr="004F262D">
        <w:t xml:space="preserve">Dále došlo navýšení prostředků určených na RRF </w:t>
      </w:r>
      <w:r w:rsidR="008D0438">
        <w:br/>
      </w:r>
      <w:r w:rsidRPr="004F262D">
        <w:t>o 517 510 tis. Kč, tyto prostředky byly převedeny z neinvestičních prostředků určených na BAR.</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5"/>
        <w:gridCol w:w="1559"/>
        <w:gridCol w:w="1418"/>
        <w:gridCol w:w="1559"/>
      </w:tblGrid>
      <w:tr w:rsidR="00B96183" w:rsidRPr="00447C15" w14:paraId="4D7A5168" w14:textId="77777777" w:rsidTr="00136A61">
        <w:trPr>
          <w:tblHeader/>
        </w:trPr>
        <w:tc>
          <w:tcPr>
            <w:tcW w:w="9351" w:type="dxa"/>
            <w:gridSpan w:val="4"/>
            <w:tcBorders>
              <w:top w:val="nil"/>
              <w:left w:val="nil"/>
              <w:right w:val="nil"/>
            </w:tcBorders>
            <w:shd w:val="clear" w:color="auto" w:fill="auto"/>
            <w:vAlign w:val="center"/>
          </w:tcPr>
          <w:p w14:paraId="7B6E31D2" w14:textId="77777777" w:rsidR="00B96183" w:rsidRPr="00447C15" w:rsidRDefault="00B96183" w:rsidP="00136A61">
            <w:pPr>
              <w:spacing w:after="0"/>
              <w:jc w:val="right"/>
              <w:rPr>
                <w:rFonts w:cstheme="minorHAnsi"/>
                <w:color w:val="FF0000"/>
                <w:sz w:val="20"/>
                <w:szCs w:val="20"/>
              </w:rPr>
            </w:pPr>
            <w:r w:rsidRPr="00BB6BD5">
              <w:rPr>
                <w:rFonts w:cstheme="minorHAnsi"/>
                <w:sz w:val="20"/>
                <w:szCs w:val="20"/>
              </w:rPr>
              <w:t>v tis. Kč</w:t>
            </w:r>
          </w:p>
        </w:tc>
      </w:tr>
      <w:tr w:rsidR="00B96183" w:rsidRPr="002B3A4D" w14:paraId="21000F84" w14:textId="77777777" w:rsidTr="00136A61">
        <w:trPr>
          <w:trHeight w:val="442"/>
          <w:tblHeader/>
        </w:trPr>
        <w:tc>
          <w:tcPr>
            <w:tcW w:w="4815" w:type="dxa"/>
            <w:vMerge w:val="restart"/>
            <w:shd w:val="clear" w:color="auto" w:fill="D9D9D9" w:themeFill="background1" w:themeFillShade="D9"/>
            <w:vAlign w:val="center"/>
          </w:tcPr>
          <w:p w14:paraId="6891D008" w14:textId="77777777" w:rsidR="00B96183" w:rsidRPr="002B3A4D" w:rsidRDefault="00B96183" w:rsidP="00136A61">
            <w:pPr>
              <w:spacing w:after="0"/>
              <w:jc w:val="center"/>
              <w:rPr>
                <w:rFonts w:cstheme="minorHAnsi"/>
                <w:b/>
                <w:sz w:val="20"/>
                <w:szCs w:val="20"/>
              </w:rPr>
            </w:pPr>
            <w:r w:rsidRPr="002B3A4D">
              <w:rPr>
                <w:rFonts w:cstheme="minorHAnsi"/>
                <w:b/>
                <w:sz w:val="20"/>
                <w:szCs w:val="20"/>
              </w:rPr>
              <w:t>Oblast podpory</w:t>
            </w:r>
          </w:p>
        </w:tc>
        <w:tc>
          <w:tcPr>
            <w:tcW w:w="2977" w:type="dxa"/>
            <w:gridSpan w:val="2"/>
            <w:tcBorders>
              <w:top w:val="single" w:sz="4" w:space="0" w:color="auto"/>
              <w:left w:val="single" w:sz="4" w:space="0" w:color="auto"/>
              <w:bottom w:val="single" w:sz="4" w:space="0" w:color="auto"/>
            </w:tcBorders>
            <w:shd w:val="clear" w:color="auto" w:fill="D9D9D9" w:themeFill="background1" w:themeFillShade="D9"/>
            <w:vAlign w:val="center"/>
          </w:tcPr>
          <w:p w14:paraId="3CE6A729" w14:textId="77777777" w:rsidR="00B96183" w:rsidRPr="002B3A4D" w:rsidRDefault="00B96183" w:rsidP="00136A61">
            <w:pPr>
              <w:spacing w:after="0"/>
              <w:jc w:val="center"/>
              <w:rPr>
                <w:rFonts w:cstheme="minorHAnsi"/>
                <w:b/>
                <w:sz w:val="20"/>
                <w:szCs w:val="20"/>
              </w:rPr>
            </w:pPr>
            <w:r w:rsidRPr="002B3A4D">
              <w:rPr>
                <w:rFonts w:cstheme="minorHAnsi"/>
                <w:b/>
                <w:sz w:val="20"/>
                <w:szCs w:val="20"/>
              </w:rPr>
              <w:t>Rozpočet 2023</w:t>
            </w:r>
          </w:p>
        </w:tc>
        <w:tc>
          <w:tcPr>
            <w:tcW w:w="1559" w:type="dxa"/>
            <w:vMerge w:val="restart"/>
            <w:shd w:val="clear" w:color="auto" w:fill="D9D9D9" w:themeFill="background1" w:themeFillShade="D9"/>
            <w:vAlign w:val="center"/>
          </w:tcPr>
          <w:p w14:paraId="77A7AB14" w14:textId="77777777" w:rsidR="00B96183" w:rsidRPr="002B3A4D" w:rsidRDefault="00B96183" w:rsidP="00136A61">
            <w:pPr>
              <w:spacing w:after="0"/>
              <w:jc w:val="center"/>
              <w:rPr>
                <w:rFonts w:cstheme="minorHAnsi"/>
                <w:b/>
                <w:sz w:val="20"/>
                <w:szCs w:val="20"/>
              </w:rPr>
            </w:pPr>
            <w:r w:rsidRPr="002B3A4D">
              <w:rPr>
                <w:rFonts w:cstheme="minorHAnsi"/>
                <w:b/>
                <w:sz w:val="20"/>
                <w:szCs w:val="20"/>
              </w:rPr>
              <w:t>Skutečnost</w:t>
            </w:r>
          </w:p>
          <w:p w14:paraId="765B20A3" w14:textId="77777777" w:rsidR="00B96183" w:rsidRPr="002B3A4D" w:rsidRDefault="00B96183" w:rsidP="00136A61">
            <w:pPr>
              <w:spacing w:after="0"/>
              <w:jc w:val="center"/>
              <w:rPr>
                <w:rFonts w:cstheme="minorHAnsi"/>
                <w:b/>
                <w:sz w:val="20"/>
                <w:szCs w:val="20"/>
              </w:rPr>
            </w:pPr>
            <w:r w:rsidRPr="002B3A4D">
              <w:rPr>
                <w:rFonts w:cstheme="minorHAnsi"/>
                <w:b/>
                <w:sz w:val="20"/>
                <w:szCs w:val="20"/>
              </w:rPr>
              <w:t>2023</w:t>
            </w:r>
          </w:p>
        </w:tc>
      </w:tr>
      <w:tr w:rsidR="00B96183" w:rsidRPr="00447C15" w14:paraId="2FCFFDAF" w14:textId="77777777" w:rsidTr="00136A61">
        <w:trPr>
          <w:tblHeader/>
        </w:trPr>
        <w:tc>
          <w:tcPr>
            <w:tcW w:w="4815" w:type="dxa"/>
            <w:vMerge/>
            <w:tcBorders>
              <w:bottom w:val="single" w:sz="4" w:space="0" w:color="auto"/>
            </w:tcBorders>
            <w:shd w:val="clear" w:color="auto" w:fill="auto"/>
          </w:tcPr>
          <w:p w14:paraId="1A601000" w14:textId="77777777" w:rsidR="00B96183" w:rsidRPr="00447C15" w:rsidRDefault="00B96183" w:rsidP="00136A61">
            <w:pPr>
              <w:spacing w:before="60" w:after="60"/>
              <w:rPr>
                <w:rFonts w:cstheme="minorHAnsi"/>
                <w:b/>
                <w:color w:val="FF0000"/>
                <w:sz w:val="20"/>
                <w:szCs w:val="20"/>
              </w:rPr>
            </w:pP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25289B1" w14:textId="77777777" w:rsidR="00B96183" w:rsidRPr="002B3A4D" w:rsidRDefault="00B96183" w:rsidP="00136A61">
            <w:pPr>
              <w:spacing w:before="60" w:after="60"/>
              <w:jc w:val="center"/>
              <w:rPr>
                <w:rFonts w:cstheme="minorHAnsi"/>
                <w:b/>
                <w:sz w:val="20"/>
                <w:szCs w:val="20"/>
              </w:rPr>
            </w:pPr>
            <w:r w:rsidRPr="002B3A4D">
              <w:rPr>
                <w:rFonts w:cstheme="minorHAnsi"/>
                <w:b/>
                <w:sz w:val="20"/>
                <w:szCs w:val="20"/>
              </w:rPr>
              <w:t>schválený</w:t>
            </w:r>
          </w:p>
        </w:tc>
        <w:tc>
          <w:tcPr>
            <w:tcW w:w="1418" w:type="dxa"/>
            <w:tcBorders>
              <w:top w:val="single" w:sz="4" w:space="0" w:color="auto"/>
              <w:left w:val="single" w:sz="4" w:space="0" w:color="auto"/>
              <w:bottom w:val="single" w:sz="4" w:space="0" w:color="auto"/>
            </w:tcBorders>
            <w:shd w:val="clear" w:color="auto" w:fill="D9D9D9" w:themeFill="background1" w:themeFillShade="D9"/>
          </w:tcPr>
          <w:p w14:paraId="63794642" w14:textId="77777777" w:rsidR="00B96183" w:rsidRPr="002B3A4D" w:rsidRDefault="00B96183" w:rsidP="00136A61">
            <w:pPr>
              <w:spacing w:before="60" w:after="60"/>
              <w:jc w:val="center"/>
              <w:rPr>
                <w:rFonts w:cstheme="minorHAnsi"/>
                <w:b/>
                <w:sz w:val="20"/>
                <w:szCs w:val="20"/>
              </w:rPr>
            </w:pPr>
            <w:r w:rsidRPr="002B3A4D">
              <w:rPr>
                <w:rFonts w:cstheme="minorHAnsi"/>
                <w:b/>
                <w:sz w:val="20"/>
                <w:szCs w:val="20"/>
              </w:rPr>
              <w:t>po změnách</w:t>
            </w:r>
          </w:p>
        </w:tc>
        <w:tc>
          <w:tcPr>
            <w:tcW w:w="1559" w:type="dxa"/>
            <w:vMerge/>
            <w:tcBorders>
              <w:bottom w:val="single" w:sz="4" w:space="0" w:color="auto"/>
            </w:tcBorders>
            <w:shd w:val="clear" w:color="auto" w:fill="auto"/>
          </w:tcPr>
          <w:p w14:paraId="3E892EAA" w14:textId="77777777" w:rsidR="00B96183" w:rsidRPr="00447C15" w:rsidRDefault="00B96183" w:rsidP="00136A61">
            <w:pPr>
              <w:spacing w:before="60" w:after="60"/>
              <w:jc w:val="center"/>
              <w:rPr>
                <w:rFonts w:cstheme="minorHAnsi"/>
                <w:b/>
                <w:color w:val="FF0000"/>
                <w:sz w:val="20"/>
                <w:szCs w:val="20"/>
              </w:rPr>
            </w:pPr>
          </w:p>
        </w:tc>
      </w:tr>
      <w:tr w:rsidR="00B96183" w:rsidRPr="002B3A4D" w14:paraId="4F7BA586" w14:textId="77777777" w:rsidTr="00136A61">
        <w:trPr>
          <w:tblHeader/>
        </w:trPr>
        <w:tc>
          <w:tcPr>
            <w:tcW w:w="4815" w:type="dxa"/>
            <w:tcBorders>
              <w:bottom w:val="single" w:sz="4" w:space="0" w:color="auto"/>
            </w:tcBorders>
            <w:shd w:val="clear" w:color="auto" w:fill="D9D9D9" w:themeFill="background1" w:themeFillShade="D9"/>
          </w:tcPr>
          <w:p w14:paraId="5943F8D1" w14:textId="77777777" w:rsidR="00B96183" w:rsidRPr="002B3A4D" w:rsidRDefault="00B96183" w:rsidP="00136A61">
            <w:pPr>
              <w:spacing w:before="60" w:after="60"/>
              <w:rPr>
                <w:rFonts w:cstheme="minorHAnsi"/>
                <w:b/>
                <w:sz w:val="20"/>
                <w:szCs w:val="20"/>
              </w:rPr>
            </w:pPr>
            <w:r w:rsidRPr="002B3A4D">
              <w:rPr>
                <w:rFonts w:cstheme="minorHAnsi"/>
                <w:b/>
                <w:sz w:val="20"/>
                <w:szCs w:val="20"/>
              </w:rPr>
              <w:t xml:space="preserve">Investiční transfer </w:t>
            </w:r>
            <w:r w:rsidRPr="002B3A4D">
              <w:rPr>
                <w:rFonts w:cstheme="minorHAnsi"/>
                <w:sz w:val="20"/>
                <w:szCs w:val="20"/>
              </w:rPr>
              <w:t>(v tom:)</w:t>
            </w:r>
          </w:p>
        </w:tc>
        <w:tc>
          <w:tcPr>
            <w:tcW w:w="1559" w:type="dxa"/>
            <w:tcBorders>
              <w:bottom w:val="single" w:sz="4" w:space="0" w:color="auto"/>
            </w:tcBorders>
            <w:shd w:val="clear" w:color="auto" w:fill="D9D9D9" w:themeFill="background1" w:themeFillShade="D9"/>
            <w:vAlign w:val="center"/>
          </w:tcPr>
          <w:p w14:paraId="1FAD4664" w14:textId="77777777" w:rsidR="00B96183" w:rsidRPr="002B3A4D" w:rsidRDefault="00B96183" w:rsidP="00136A61">
            <w:pPr>
              <w:spacing w:before="60" w:after="60"/>
              <w:jc w:val="right"/>
              <w:rPr>
                <w:rFonts w:cstheme="minorHAnsi"/>
                <w:b/>
                <w:sz w:val="20"/>
                <w:szCs w:val="20"/>
              </w:rPr>
            </w:pPr>
            <w:r>
              <w:rPr>
                <w:rFonts w:cstheme="minorHAnsi"/>
                <w:b/>
                <w:bCs/>
                <w:sz w:val="20"/>
                <w:szCs w:val="20"/>
              </w:rPr>
              <w:t>75 946 489</w:t>
            </w:r>
          </w:p>
        </w:tc>
        <w:tc>
          <w:tcPr>
            <w:tcW w:w="1418" w:type="dxa"/>
            <w:tcBorders>
              <w:bottom w:val="single" w:sz="4" w:space="0" w:color="auto"/>
            </w:tcBorders>
            <w:shd w:val="clear" w:color="auto" w:fill="D9D9D9" w:themeFill="background1" w:themeFillShade="D9"/>
          </w:tcPr>
          <w:p w14:paraId="55722359" w14:textId="77777777" w:rsidR="00B96183" w:rsidRPr="002B3A4D" w:rsidRDefault="00B96183" w:rsidP="00136A61">
            <w:pPr>
              <w:spacing w:before="60" w:after="60"/>
              <w:jc w:val="right"/>
              <w:rPr>
                <w:rFonts w:cstheme="minorHAnsi"/>
                <w:b/>
                <w:sz w:val="20"/>
                <w:szCs w:val="20"/>
              </w:rPr>
            </w:pPr>
            <w:r>
              <w:rPr>
                <w:rFonts w:cstheme="minorHAnsi"/>
                <w:b/>
                <w:bCs/>
                <w:sz w:val="20"/>
                <w:szCs w:val="20"/>
              </w:rPr>
              <w:t>70 608 638</w:t>
            </w:r>
          </w:p>
        </w:tc>
        <w:tc>
          <w:tcPr>
            <w:tcW w:w="1559" w:type="dxa"/>
            <w:tcBorders>
              <w:bottom w:val="single" w:sz="4" w:space="0" w:color="auto"/>
            </w:tcBorders>
            <w:shd w:val="clear" w:color="auto" w:fill="D9D9D9" w:themeFill="background1" w:themeFillShade="D9"/>
          </w:tcPr>
          <w:p w14:paraId="16C2EFF1" w14:textId="77777777" w:rsidR="00B96183" w:rsidRPr="002B3A4D" w:rsidRDefault="00B96183" w:rsidP="00136A61">
            <w:pPr>
              <w:spacing w:before="60" w:after="60"/>
              <w:jc w:val="right"/>
              <w:rPr>
                <w:rFonts w:cstheme="minorHAnsi"/>
                <w:b/>
                <w:sz w:val="20"/>
                <w:szCs w:val="20"/>
              </w:rPr>
            </w:pPr>
            <w:r>
              <w:rPr>
                <w:rFonts w:cstheme="minorHAnsi"/>
                <w:b/>
                <w:bCs/>
                <w:sz w:val="20"/>
                <w:szCs w:val="20"/>
              </w:rPr>
              <w:t>66 727 882</w:t>
            </w:r>
          </w:p>
        </w:tc>
      </w:tr>
      <w:tr w:rsidR="00B96183" w:rsidRPr="00BA60ED" w14:paraId="2B072D9E" w14:textId="77777777" w:rsidTr="00136A61">
        <w:trPr>
          <w:tblHeader/>
        </w:trPr>
        <w:tc>
          <w:tcPr>
            <w:tcW w:w="4815" w:type="dxa"/>
            <w:tcBorders>
              <w:bottom w:val="nil"/>
            </w:tcBorders>
            <w:shd w:val="clear" w:color="auto" w:fill="auto"/>
          </w:tcPr>
          <w:p w14:paraId="5589EFA1" w14:textId="77777777" w:rsidR="00B96183" w:rsidRPr="00BA60ED" w:rsidRDefault="00B96183" w:rsidP="00136A61">
            <w:pPr>
              <w:spacing w:before="60" w:after="60"/>
              <w:rPr>
                <w:rFonts w:cstheme="minorHAnsi"/>
                <w:color w:val="2E74B5" w:themeColor="accent1" w:themeShade="BF"/>
                <w:sz w:val="20"/>
                <w:szCs w:val="20"/>
              </w:rPr>
            </w:pPr>
            <w:r w:rsidRPr="00BA60ED">
              <w:rPr>
                <w:rFonts w:cstheme="minorHAnsi"/>
                <w:b/>
                <w:color w:val="2E74B5" w:themeColor="accent1" w:themeShade="BF"/>
                <w:sz w:val="20"/>
                <w:szCs w:val="20"/>
              </w:rPr>
              <w:t xml:space="preserve">Ostatní dotace pro SFDI </w:t>
            </w:r>
            <w:r w:rsidRPr="00BA60ED">
              <w:rPr>
                <w:rFonts w:cstheme="minorHAnsi"/>
                <w:color w:val="2E74B5" w:themeColor="accent1" w:themeShade="BF"/>
                <w:sz w:val="20"/>
                <w:szCs w:val="20"/>
              </w:rPr>
              <w:t>(v tom:)</w:t>
            </w:r>
          </w:p>
        </w:tc>
        <w:tc>
          <w:tcPr>
            <w:tcW w:w="1559" w:type="dxa"/>
            <w:tcBorders>
              <w:bottom w:val="nil"/>
            </w:tcBorders>
            <w:shd w:val="clear" w:color="auto" w:fill="auto"/>
            <w:vAlign w:val="center"/>
          </w:tcPr>
          <w:p w14:paraId="27BAC72F" w14:textId="77777777" w:rsidR="00B96183" w:rsidRPr="00BA60ED" w:rsidRDefault="00B9618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48 402 000</w:t>
            </w:r>
          </w:p>
        </w:tc>
        <w:tc>
          <w:tcPr>
            <w:tcW w:w="1418" w:type="dxa"/>
            <w:tcBorders>
              <w:bottom w:val="nil"/>
            </w:tcBorders>
            <w:shd w:val="clear" w:color="auto" w:fill="auto"/>
          </w:tcPr>
          <w:p w14:paraId="43782BCB" w14:textId="77777777" w:rsidR="00B96183" w:rsidRPr="00BA60ED" w:rsidRDefault="00B9618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42 547 406</w:t>
            </w:r>
          </w:p>
        </w:tc>
        <w:tc>
          <w:tcPr>
            <w:tcW w:w="1559" w:type="dxa"/>
            <w:tcBorders>
              <w:bottom w:val="nil"/>
            </w:tcBorders>
            <w:shd w:val="clear" w:color="auto" w:fill="auto"/>
          </w:tcPr>
          <w:p w14:paraId="7434DCCA" w14:textId="77777777" w:rsidR="00B96183" w:rsidRPr="00BA60ED" w:rsidRDefault="00B9618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42 975 411</w:t>
            </w:r>
          </w:p>
        </w:tc>
      </w:tr>
      <w:tr w:rsidR="00B96183" w:rsidRPr="00BA60ED" w14:paraId="5578D991" w14:textId="77777777" w:rsidTr="00136A61">
        <w:trPr>
          <w:tblHeader/>
        </w:trPr>
        <w:tc>
          <w:tcPr>
            <w:tcW w:w="4815" w:type="dxa"/>
            <w:tcBorders>
              <w:top w:val="nil"/>
              <w:bottom w:val="nil"/>
            </w:tcBorders>
            <w:shd w:val="clear" w:color="auto" w:fill="auto"/>
          </w:tcPr>
          <w:p w14:paraId="4D6DC02B" w14:textId="77777777" w:rsidR="00B96183" w:rsidRPr="00BA60ED" w:rsidRDefault="00B96183" w:rsidP="00136A61">
            <w:pPr>
              <w:spacing w:before="60" w:after="60"/>
              <w:rPr>
                <w:rFonts w:cstheme="minorHAnsi"/>
                <w:b/>
                <w:sz w:val="20"/>
                <w:szCs w:val="20"/>
              </w:rPr>
            </w:pPr>
            <w:r w:rsidRPr="00BA60ED">
              <w:rPr>
                <w:rFonts w:cstheme="minorHAnsi"/>
                <w:b/>
                <w:sz w:val="20"/>
                <w:szCs w:val="20"/>
              </w:rPr>
              <w:t xml:space="preserve">Krytí deficitu rozpočtu SFDI (v tom:) </w:t>
            </w:r>
          </w:p>
        </w:tc>
        <w:tc>
          <w:tcPr>
            <w:tcW w:w="1559" w:type="dxa"/>
            <w:tcBorders>
              <w:top w:val="nil"/>
              <w:bottom w:val="nil"/>
            </w:tcBorders>
            <w:shd w:val="clear" w:color="auto" w:fill="auto"/>
            <w:vAlign w:val="center"/>
          </w:tcPr>
          <w:p w14:paraId="06720D30" w14:textId="77777777" w:rsidR="00B96183" w:rsidRPr="00BA60ED" w:rsidRDefault="00B96183" w:rsidP="00136A61">
            <w:pPr>
              <w:spacing w:before="60" w:after="60"/>
              <w:jc w:val="right"/>
              <w:rPr>
                <w:rFonts w:cstheme="minorHAnsi"/>
                <w:b/>
                <w:sz w:val="20"/>
                <w:szCs w:val="20"/>
              </w:rPr>
            </w:pPr>
            <w:r>
              <w:rPr>
                <w:rFonts w:cstheme="minorHAnsi"/>
                <w:b/>
                <w:sz w:val="20"/>
                <w:szCs w:val="20"/>
              </w:rPr>
              <w:t>45 854 594</w:t>
            </w:r>
          </w:p>
        </w:tc>
        <w:tc>
          <w:tcPr>
            <w:tcW w:w="1418" w:type="dxa"/>
            <w:tcBorders>
              <w:top w:val="nil"/>
              <w:bottom w:val="nil"/>
            </w:tcBorders>
            <w:shd w:val="clear" w:color="auto" w:fill="auto"/>
          </w:tcPr>
          <w:p w14:paraId="60709C90" w14:textId="77777777" w:rsidR="00B96183" w:rsidRPr="00BA60ED" w:rsidRDefault="00B96183" w:rsidP="00136A61">
            <w:pPr>
              <w:spacing w:before="60" w:after="60"/>
              <w:jc w:val="right"/>
              <w:rPr>
                <w:rFonts w:cstheme="minorHAnsi"/>
                <w:b/>
                <w:sz w:val="20"/>
                <w:szCs w:val="20"/>
              </w:rPr>
            </w:pPr>
            <w:r>
              <w:rPr>
                <w:rFonts w:cstheme="minorHAnsi"/>
                <w:b/>
                <w:sz w:val="20"/>
                <w:szCs w:val="20"/>
              </w:rPr>
              <w:t>40 000 000</w:t>
            </w:r>
          </w:p>
        </w:tc>
        <w:tc>
          <w:tcPr>
            <w:tcW w:w="1559" w:type="dxa"/>
            <w:tcBorders>
              <w:top w:val="nil"/>
              <w:bottom w:val="nil"/>
            </w:tcBorders>
            <w:shd w:val="clear" w:color="auto" w:fill="auto"/>
          </w:tcPr>
          <w:p w14:paraId="5B332E02" w14:textId="77777777" w:rsidR="00B96183" w:rsidRPr="00BA60ED" w:rsidRDefault="00B96183" w:rsidP="00136A61">
            <w:pPr>
              <w:spacing w:before="60" w:after="60"/>
              <w:jc w:val="right"/>
              <w:rPr>
                <w:rFonts w:cstheme="minorHAnsi"/>
                <w:b/>
                <w:sz w:val="20"/>
                <w:szCs w:val="20"/>
              </w:rPr>
            </w:pPr>
            <w:r>
              <w:rPr>
                <w:rFonts w:cstheme="minorHAnsi"/>
                <w:b/>
                <w:sz w:val="20"/>
                <w:szCs w:val="20"/>
              </w:rPr>
              <w:t>40 000 000</w:t>
            </w:r>
          </w:p>
        </w:tc>
      </w:tr>
      <w:tr w:rsidR="00B96183" w:rsidRPr="00BA60ED" w14:paraId="2BCE2EFD" w14:textId="77777777" w:rsidTr="00136A61">
        <w:trPr>
          <w:tblHeader/>
        </w:trPr>
        <w:tc>
          <w:tcPr>
            <w:tcW w:w="4815" w:type="dxa"/>
            <w:tcBorders>
              <w:top w:val="nil"/>
              <w:bottom w:val="nil"/>
            </w:tcBorders>
            <w:shd w:val="clear" w:color="auto" w:fill="auto"/>
          </w:tcPr>
          <w:p w14:paraId="183F7D86" w14:textId="77777777" w:rsidR="00B96183" w:rsidRPr="00BA60ED" w:rsidRDefault="00B96183" w:rsidP="00136A61">
            <w:pPr>
              <w:spacing w:before="60" w:after="60"/>
              <w:rPr>
                <w:rFonts w:cstheme="minorHAnsi"/>
                <w:sz w:val="20"/>
                <w:szCs w:val="20"/>
              </w:rPr>
            </w:pPr>
            <w:r w:rsidRPr="00BA60ED">
              <w:rPr>
                <w:rFonts w:cstheme="minorHAnsi"/>
                <w:sz w:val="20"/>
                <w:szCs w:val="20"/>
              </w:rPr>
              <w:t xml:space="preserve">127 77 Podpora financování dopravy </w:t>
            </w:r>
          </w:p>
        </w:tc>
        <w:tc>
          <w:tcPr>
            <w:tcW w:w="1559" w:type="dxa"/>
            <w:tcBorders>
              <w:top w:val="nil"/>
              <w:bottom w:val="nil"/>
            </w:tcBorders>
            <w:shd w:val="clear" w:color="auto" w:fill="auto"/>
            <w:vAlign w:val="center"/>
          </w:tcPr>
          <w:p w14:paraId="56BF3C18" w14:textId="77777777" w:rsidR="00B96183" w:rsidRPr="00BA60ED" w:rsidRDefault="00B96183" w:rsidP="00136A61">
            <w:pPr>
              <w:spacing w:before="60" w:after="60"/>
              <w:jc w:val="right"/>
              <w:rPr>
                <w:rFonts w:cstheme="minorHAnsi"/>
                <w:sz w:val="20"/>
                <w:szCs w:val="20"/>
              </w:rPr>
            </w:pPr>
            <w:r>
              <w:rPr>
                <w:rFonts w:cstheme="minorHAnsi"/>
                <w:sz w:val="20"/>
                <w:szCs w:val="20"/>
              </w:rPr>
              <w:t>45 854 594</w:t>
            </w:r>
          </w:p>
        </w:tc>
        <w:tc>
          <w:tcPr>
            <w:tcW w:w="1418" w:type="dxa"/>
            <w:tcBorders>
              <w:top w:val="nil"/>
              <w:bottom w:val="nil"/>
            </w:tcBorders>
            <w:shd w:val="clear" w:color="auto" w:fill="auto"/>
          </w:tcPr>
          <w:p w14:paraId="01714A53" w14:textId="77777777" w:rsidR="00B96183" w:rsidRPr="00BA60ED" w:rsidRDefault="00B96183" w:rsidP="00136A61">
            <w:pPr>
              <w:spacing w:before="60" w:after="60"/>
              <w:jc w:val="right"/>
              <w:rPr>
                <w:rFonts w:cstheme="minorHAnsi"/>
                <w:sz w:val="20"/>
                <w:szCs w:val="20"/>
              </w:rPr>
            </w:pPr>
            <w:r>
              <w:rPr>
                <w:rFonts w:cstheme="minorHAnsi"/>
                <w:sz w:val="20"/>
                <w:szCs w:val="20"/>
              </w:rPr>
              <w:t>40</w:t>
            </w:r>
            <w:r w:rsidRPr="00BA60ED">
              <w:rPr>
                <w:rFonts w:cstheme="minorHAnsi"/>
                <w:sz w:val="20"/>
                <w:szCs w:val="20"/>
              </w:rPr>
              <w:t> 000 000</w:t>
            </w:r>
          </w:p>
        </w:tc>
        <w:tc>
          <w:tcPr>
            <w:tcW w:w="1559" w:type="dxa"/>
            <w:tcBorders>
              <w:top w:val="nil"/>
              <w:bottom w:val="nil"/>
            </w:tcBorders>
            <w:shd w:val="clear" w:color="auto" w:fill="auto"/>
          </w:tcPr>
          <w:p w14:paraId="723D1150" w14:textId="77777777" w:rsidR="00B96183" w:rsidRPr="00BA60ED" w:rsidRDefault="00B96183" w:rsidP="00136A61">
            <w:pPr>
              <w:spacing w:before="60" w:after="60"/>
              <w:jc w:val="right"/>
              <w:rPr>
                <w:rFonts w:cstheme="minorHAnsi"/>
                <w:sz w:val="20"/>
                <w:szCs w:val="20"/>
              </w:rPr>
            </w:pPr>
            <w:r>
              <w:rPr>
                <w:rFonts w:cstheme="minorHAnsi"/>
                <w:sz w:val="20"/>
                <w:szCs w:val="20"/>
              </w:rPr>
              <w:t>40</w:t>
            </w:r>
            <w:r w:rsidRPr="00BA60ED">
              <w:rPr>
                <w:rFonts w:cstheme="minorHAnsi"/>
                <w:sz w:val="20"/>
                <w:szCs w:val="20"/>
              </w:rPr>
              <w:t> 000 000</w:t>
            </w:r>
          </w:p>
        </w:tc>
      </w:tr>
      <w:tr w:rsidR="00B96183" w:rsidRPr="00BA60ED" w14:paraId="1E69EBD6" w14:textId="77777777" w:rsidTr="00136A61">
        <w:trPr>
          <w:tblHeader/>
        </w:trPr>
        <w:tc>
          <w:tcPr>
            <w:tcW w:w="4815" w:type="dxa"/>
            <w:tcBorders>
              <w:top w:val="nil"/>
              <w:bottom w:val="nil"/>
            </w:tcBorders>
            <w:shd w:val="clear" w:color="auto" w:fill="auto"/>
          </w:tcPr>
          <w:p w14:paraId="1FED67C5" w14:textId="77777777" w:rsidR="00B96183" w:rsidRPr="00BA60ED" w:rsidRDefault="00B96183" w:rsidP="00136A61">
            <w:pPr>
              <w:spacing w:before="60" w:after="60"/>
              <w:rPr>
                <w:rFonts w:cstheme="minorHAnsi"/>
                <w:b/>
                <w:sz w:val="20"/>
                <w:szCs w:val="20"/>
              </w:rPr>
            </w:pPr>
            <w:r w:rsidRPr="00BA60ED">
              <w:rPr>
                <w:rFonts w:cstheme="minorHAnsi"/>
                <w:b/>
                <w:sz w:val="20"/>
                <w:szCs w:val="20"/>
              </w:rPr>
              <w:t>Projekty spolufinancované z úvěru EIB (v tom:)</w:t>
            </w:r>
          </w:p>
        </w:tc>
        <w:tc>
          <w:tcPr>
            <w:tcW w:w="1559" w:type="dxa"/>
            <w:tcBorders>
              <w:top w:val="nil"/>
              <w:bottom w:val="nil"/>
            </w:tcBorders>
            <w:shd w:val="clear" w:color="auto" w:fill="auto"/>
            <w:vAlign w:val="center"/>
          </w:tcPr>
          <w:p w14:paraId="71B2AB75" w14:textId="77777777" w:rsidR="00B96183" w:rsidRPr="00BA60ED" w:rsidRDefault="00B96183" w:rsidP="00136A61">
            <w:pPr>
              <w:spacing w:before="60" w:after="60"/>
              <w:jc w:val="right"/>
              <w:rPr>
                <w:rFonts w:cstheme="minorHAnsi"/>
                <w:b/>
                <w:sz w:val="20"/>
                <w:szCs w:val="20"/>
              </w:rPr>
            </w:pPr>
            <w:r>
              <w:rPr>
                <w:rFonts w:cstheme="minorHAnsi"/>
                <w:b/>
                <w:sz w:val="20"/>
                <w:szCs w:val="20"/>
              </w:rPr>
              <w:t>2 547 406</w:t>
            </w:r>
          </w:p>
        </w:tc>
        <w:tc>
          <w:tcPr>
            <w:tcW w:w="1418" w:type="dxa"/>
            <w:tcBorders>
              <w:top w:val="nil"/>
              <w:bottom w:val="nil"/>
            </w:tcBorders>
            <w:shd w:val="clear" w:color="auto" w:fill="auto"/>
            <w:vAlign w:val="center"/>
          </w:tcPr>
          <w:p w14:paraId="6E689EDD" w14:textId="77777777" w:rsidR="00B96183" w:rsidRPr="00BA60ED" w:rsidRDefault="00B96183" w:rsidP="00136A61">
            <w:pPr>
              <w:spacing w:before="60" w:after="60"/>
              <w:jc w:val="right"/>
              <w:rPr>
                <w:rFonts w:cstheme="minorHAnsi"/>
                <w:b/>
                <w:sz w:val="20"/>
                <w:szCs w:val="20"/>
              </w:rPr>
            </w:pPr>
            <w:r>
              <w:rPr>
                <w:rFonts w:cstheme="minorHAnsi"/>
                <w:b/>
                <w:sz w:val="20"/>
                <w:szCs w:val="20"/>
              </w:rPr>
              <w:t>2 547 406</w:t>
            </w:r>
          </w:p>
        </w:tc>
        <w:tc>
          <w:tcPr>
            <w:tcW w:w="1559" w:type="dxa"/>
            <w:tcBorders>
              <w:top w:val="nil"/>
              <w:bottom w:val="nil"/>
            </w:tcBorders>
            <w:shd w:val="clear" w:color="auto" w:fill="auto"/>
          </w:tcPr>
          <w:p w14:paraId="3EA36BC3" w14:textId="77777777" w:rsidR="00B96183" w:rsidRPr="00BA60ED" w:rsidRDefault="00B96183" w:rsidP="00136A61">
            <w:pPr>
              <w:spacing w:before="60" w:after="60"/>
              <w:jc w:val="right"/>
              <w:rPr>
                <w:rFonts w:cstheme="minorHAnsi"/>
                <w:b/>
                <w:sz w:val="20"/>
                <w:szCs w:val="20"/>
              </w:rPr>
            </w:pPr>
            <w:r>
              <w:rPr>
                <w:rFonts w:cstheme="minorHAnsi"/>
                <w:b/>
                <w:sz w:val="20"/>
                <w:szCs w:val="20"/>
              </w:rPr>
              <w:t>2 975 411</w:t>
            </w:r>
          </w:p>
        </w:tc>
      </w:tr>
      <w:tr w:rsidR="00B96183" w:rsidRPr="00BA60ED" w14:paraId="36081864" w14:textId="77777777" w:rsidTr="00136A61">
        <w:trPr>
          <w:tblHeader/>
        </w:trPr>
        <w:tc>
          <w:tcPr>
            <w:tcW w:w="4815" w:type="dxa"/>
            <w:tcBorders>
              <w:top w:val="nil"/>
            </w:tcBorders>
            <w:shd w:val="clear" w:color="auto" w:fill="auto"/>
          </w:tcPr>
          <w:p w14:paraId="60893BF8" w14:textId="77777777" w:rsidR="00B96183" w:rsidRPr="00BA60ED" w:rsidRDefault="00B96183" w:rsidP="00136A61">
            <w:pPr>
              <w:spacing w:before="60" w:after="60"/>
              <w:rPr>
                <w:rFonts w:cstheme="minorHAnsi"/>
                <w:i/>
                <w:sz w:val="20"/>
                <w:szCs w:val="20"/>
              </w:rPr>
            </w:pPr>
            <w:r w:rsidRPr="00BA60ED">
              <w:rPr>
                <w:rFonts w:cstheme="minorHAnsi"/>
                <w:i/>
                <w:sz w:val="20"/>
                <w:szCs w:val="20"/>
              </w:rPr>
              <w:t>127 77 Podpora financování dopravy</w:t>
            </w:r>
          </w:p>
        </w:tc>
        <w:tc>
          <w:tcPr>
            <w:tcW w:w="1559" w:type="dxa"/>
            <w:tcBorders>
              <w:top w:val="nil"/>
            </w:tcBorders>
            <w:shd w:val="clear" w:color="auto" w:fill="auto"/>
            <w:vAlign w:val="center"/>
          </w:tcPr>
          <w:p w14:paraId="0BCE8106" w14:textId="77777777" w:rsidR="00B96183" w:rsidRPr="00BA60ED" w:rsidRDefault="00B96183" w:rsidP="00136A61">
            <w:pPr>
              <w:spacing w:before="60" w:after="60"/>
              <w:jc w:val="right"/>
              <w:rPr>
                <w:rFonts w:cstheme="minorHAnsi"/>
                <w:i/>
                <w:sz w:val="20"/>
                <w:szCs w:val="20"/>
              </w:rPr>
            </w:pPr>
            <w:r>
              <w:rPr>
                <w:rFonts w:cstheme="minorHAnsi"/>
                <w:i/>
                <w:sz w:val="20"/>
                <w:szCs w:val="20"/>
              </w:rPr>
              <w:t>2 547 406</w:t>
            </w:r>
          </w:p>
        </w:tc>
        <w:tc>
          <w:tcPr>
            <w:tcW w:w="1418" w:type="dxa"/>
            <w:tcBorders>
              <w:top w:val="nil"/>
            </w:tcBorders>
            <w:shd w:val="clear" w:color="auto" w:fill="auto"/>
            <w:vAlign w:val="center"/>
          </w:tcPr>
          <w:p w14:paraId="0C387430" w14:textId="77777777" w:rsidR="00B96183" w:rsidRPr="00BA60ED" w:rsidRDefault="00B96183" w:rsidP="00136A61">
            <w:pPr>
              <w:spacing w:before="60" w:after="60"/>
              <w:jc w:val="right"/>
              <w:rPr>
                <w:rFonts w:cstheme="minorHAnsi"/>
                <w:i/>
                <w:sz w:val="20"/>
                <w:szCs w:val="20"/>
              </w:rPr>
            </w:pPr>
            <w:r>
              <w:rPr>
                <w:rFonts w:cstheme="minorHAnsi"/>
                <w:i/>
                <w:sz w:val="20"/>
                <w:szCs w:val="20"/>
              </w:rPr>
              <w:t>2 547 406</w:t>
            </w:r>
          </w:p>
        </w:tc>
        <w:tc>
          <w:tcPr>
            <w:tcW w:w="1559" w:type="dxa"/>
            <w:tcBorders>
              <w:top w:val="nil"/>
            </w:tcBorders>
            <w:shd w:val="clear" w:color="auto" w:fill="auto"/>
          </w:tcPr>
          <w:p w14:paraId="6CCE00F8" w14:textId="77777777" w:rsidR="00B96183" w:rsidRPr="00BA60ED" w:rsidRDefault="00B96183" w:rsidP="00136A61">
            <w:pPr>
              <w:spacing w:before="60" w:after="60"/>
              <w:jc w:val="right"/>
              <w:rPr>
                <w:rFonts w:cstheme="minorHAnsi"/>
                <w:i/>
                <w:sz w:val="20"/>
                <w:szCs w:val="20"/>
              </w:rPr>
            </w:pPr>
            <w:r>
              <w:rPr>
                <w:rFonts w:cstheme="minorHAnsi"/>
                <w:i/>
                <w:sz w:val="20"/>
                <w:szCs w:val="20"/>
              </w:rPr>
              <w:t>2 975 411</w:t>
            </w:r>
          </w:p>
        </w:tc>
      </w:tr>
    </w:tbl>
    <w:p w14:paraId="326E75C2" w14:textId="77777777" w:rsidR="00A722A3" w:rsidRDefault="00A722A3"/>
    <w:tbl>
      <w:tblPr>
        <w:tblW w:w="93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5"/>
        <w:gridCol w:w="1559"/>
        <w:gridCol w:w="1418"/>
        <w:gridCol w:w="1559"/>
      </w:tblGrid>
      <w:tr w:rsidR="00B96183" w:rsidRPr="00BA60ED" w14:paraId="32B74A82" w14:textId="77777777" w:rsidTr="00A722A3">
        <w:trPr>
          <w:tblHeader/>
        </w:trPr>
        <w:tc>
          <w:tcPr>
            <w:tcW w:w="4815" w:type="dxa"/>
            <w:tcBorders>
              <w:bottom w:val="nil"/>
            </w:tcBorders>
            <w:shd w:val="clear" w:color="auto" w:fill="auto"/>
          </w:tcPr>
          <w:p w14:paraId="6F9C7630" w14:textId="77777777" w:rsidR="00B96183" w:rsidRPr="00BA60ED" w:rsidRDefault="00B96183" w:rsidP="00136A61">
            <w:pPr>
              <w:spacing w:before="60" w:after="60"/>
              <w:rPr>
                <w:rFonts w:cstheme="minorHAnsi"/>
                <w:color w:val="2E74B5" w:themeColor="accent1" w:themeShade="BF"/>
                <w:sz w:val="20"/>
                <w:szCs w:val="20"/>
              </w:rPr>
            </w:pPr>
            <w:r w:rsidRPr="00BA60ED">
              <w:rPr>
                <w:rFonts w:cstheme="minorHAnsi"/>
                <w:b/>
                <w:color w:val="2E74B5" w:themeColor="accent1" w:themeShade="BF"/>
                <w:sz w:val="20"/>
                <w:szCs w:val="20"/>
              </w:rPr>
              <w:lastRenderedPageBreak/>
              <w:t xml:space="preserve">Dotace pro společné programy EU a ČR </w:t>
            </w:r>
            <w:r w:rsidRPr="00BA60ED">
              <w:rPr>
                <w:rFonts w:cstheme="minorHAnsi"/>
                <w:color w:val="2E74B5" w:themeColor="accent1" w:themeShade="BF"/>
                <w:sz w:val="20"/>
                <w:szCs w:val="20"/>
              </w:rPr>
              <w:t>(v tom:)</w:t>
            </w:r>
          </w:p>
        </w:tc>
        <w:tc>
          <w:tcPr>
            <w:tcW w:w="1559" w:type="dxa"/>
            <w:tcBorders>
              <w:bottom w:val="nil"/>
            </w:tcBorders>
            <w:shd w:val="clear" w:color="auto" w:fill="auto"/>
            <w:vAlign w:val="center"/>
          </w:tcPr>
          <w:p w14:paraId="606F02AD" w14:textId="77777777" w:rsidR="00B96183" w:rsidRPr="00BA60ED" w:rsidRDefault="00B9618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27 544 489</w:t>
            </w:r>
            <w:r w:rsidRPr="00BA60ED">
              <w:rPr>
                <w:rFonts w:cstheme="minorHAnsi"/>
                <w:b/>
                <w:color w:val="2E74B5" w:themeColor="accent1" w:themeShade="BF"/>
                <w:sz w:val="20"/>
                <w:szCs w:val="20"/>
              </w:rPr>
              <w:t xml:space="preserve"> </w:t>
            </w:r>
          </w:p>
        </w:tc>
        <w:tc>
          <w:tcPr>
            <w:tcW w:w="1418" w:type="dxa"/>
            <w:tcBorders>
              <w:bottom w:val="nil"/>
            </w:tcBorders>
            <w:shd w:val="clear" w:color="auto" w:fill="auto"/>
          </w:tcPr>
          <w:p w14:paraId="1DC68EC7" w14:textId="77777777" w:rsidR="00B96183" w:rsidRPr="00BA60ED" w:rsidRDefault="00B9618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28 061 232</w:t>
            </w:r>
          </w:p>
        </w:tc>
        <w:tc>
          <w:tcPr>
            <w:tcW w:w="1559" w:type="dxa"/>
            <w:tcBorders>
              <w:bottom w:val="nil"/>
            </w:tcBorders>
            <w:shd w:val="clear" w:color="auto" w:fill="auto"/>
          </w:tcPr>
          <w:p w14:paraId="6560194B" w14:textId="77777777" w:rsidR="00B96183" w:rsidRPr="00BA60ED" w:rsidRDefault="00B96183" w:rsidP="00136A61">
            <w:pPr>
              <w:spacing w:before="60" w:after="60"/>
              <w:jc w:val="right"/>
              <w:rPr>
                <w:rFonts w:cstheme="minorHAnsi"/>
                <w:b/>
                <w:color w:val="2E74B5" w:themeColor="accent1" w:themeShade="BF"/>
                <w:sz w:val="20"/>
                <w:szCs w:val="20"/>
              </w:rPr>
            </w:pPr>
            <w:r>
              <w:rPr>
                <w:rFonts w:cstheme="minorHAnsi"/>
                <w:b/>
                <w:color w:val="2E74B5" w:themeColor="accent1" w:themeShade="BF"/>
                <w:sz w:val="20"/>
                <w:szCs w:val="20"/>
              </w:rPr>
              <w:t>23 752 471</w:t>
            </w:r>
          </w:p>
        </w:tc>
      </w:tr>
      <w:tr w:rsidR="00B96183" w:rsidRPr="00BA60ED" w14:paraId="34720963" w14:textId="77777777" w:rsidTr="00A722A3">
        <w:trPr>
          <w:tblHeader/>
        </w:trPr>
        <w:tc>
          <w:tcPr>
            <w:tcW w:w="4815" w:type="dxa"/>
            <w:tcBorders>
              <w:top w:val="nil"/>
              <w:bottom w:val="nil"/>
            </w:tcBorders>
            <w:shd w:val="clear" w:color="auto" w:fill="auto"/>
          </w:tcPr>
          <w:p w14:paraId="3CB22529" w14:textId="77777777" w:rsidR="00B96183" w:rsidRPr="00BA60ED" w:rsidRDefault="00B96183" w:rsidP="00136A61">
            <w:pPr>
              <w:spacing w:before="60" w:after="60"/>
              <w:rPr>
                <w:rFonts w:cstheme="minorHAnsi"/>
                <w:b/>
                <w:sz w:val="20"/>
                <w:szCs w:val="20"/>
              </w:rPr>
            </w:pPr>
            <w:r w:rsidRPr="00BA60ED">
              <w:rPr>
                <w:rFonts w:cstheme="minorHAnsi"/>
                <w:b/>
                <w:sz w:val="20"/>
                <w:szCs w:val="20"/>
              </w:rPr>
              <w:t>Operační program Doprava 2014+ (v tom:)</w:t>
            </w:r>
          </w:p>
        </w:tc>
        <w:tc>
          <w:tcPr>
            <w:tcW w:w="1559" w:type="dxa"/>
            <w:tcBorders>
              <w:top w:val="nil"/>
              <w:bottom w:val="nil"/>
            </w:tcBorders>
            <w:shd w:val="clear" w:color="auto" w:fill="auto"/>
            <w:vAlign w:val="center"/>
          </w:tcPr>
          <w:p w14:paraId="194857C2" w14:textId="77777777" w:rsidR="00B96183" w:rsidRPr="00BA60ED" w:rsidRDefault="00B96183" w:rsidP="00136A61">
            <w:pPr>
              <w:spacing w:before="60" w:after="60"/>
              <w:jc w:val="right"/>
              <w:rPr>
                <w:rFonts w:cstheme="minorHAnsi"/>
                <w:b/>
                <w:sz w:val="20"/>
                <w:szCs w:val="20"/>
              </w:rPr>
            </w:pPr>
            <w:r>
              <w:rPr>
                <w:rFonts w:cstheme="minorHAnsi"/>
                <w:b/>
                <w:sz w:val="20"/>
                <w:szCs w:val="20"/>
              </w:rPr>
              <w:t>1 755 117</w:t>
            </w:r>
            <w:r w:rsidRPr="00BA60ED">
              <w:rPr>
                <w:rFonts w:cstheme="minorHAnsi"/>
                <w:b/>
                <w:sz w:val="20"/>
                <w:szCs w:val="20"/>
              </w:rPr>
              <w:t xml:space="preserve"> </w:t>
            </w:r>
          </w:p>
        </w:tc>
        <w:tc>
          <w:tcPr>
            <w:tcW w:w="1418" w:type="dxa"/>
            <w:tcBorders>
              <w:top w:val="nil"/>
              <w:bottom w:val="nil"/>
            </w:tcBorders>
            <w:shd w:val="clear" w:color="auto" w:fill="auto"/>
            <w:vAlign w:val="center"/>
          </w:tcPr>
          <w:p w14:paraId="075B7A5B" w14:textId="77777777" w:rsidR="00B96183" w:rsidRPr="00BA60ED" w:rsidRDefault="00B96183" w:rsidP="00136A61">
            <w:pPr>
              <w:spacing w:before="60" w:after="60"/>
              <w:jc w:val="right"/>
              <w:rPr>
                <w:rFonts w:cstheme="minorHAnsi"/>
                <w:b/>
                <w:sz w:val="20"/>
                <w:szCs w:val="20"/>
              </w:rPr>
            </w:pPr>
            <w:r>
              <w:rPr>
                <w:rFonts w:cstheme="minorHAnsi"/>
                <w:b/>
                <w:sz w:val="20"/>
                <w:szCs w:val="20"/>
              </w:rPr>
              <w:t>1 755 117</w:t>
            </w:r>
            <w:r w:rsidRPr="00BA60ED">
              <w:rPr>
                <w:rFonts w:cstheme="minorHAnsi"/>
                <w:b/>
                <w:sz w:val="20"/>
                <w:szCs w:val="20"/>
              </w:rPr>
              <w:t xml:space="preserve"> </w:t>
            </w:r>
          </w:p>
        </w:tc>
        <w:tc>
          <w:tcPr>
            <w:tcW w:w="1559" w:type="dxa"/>
            <w:tcBorders>
              <w:top w:val="nil"/>
              <w:bottom w:val="nil"/>
            </w:tcBorders>
            <w:shd w:val="clear" w:color="auto" w:fill="auto"/>
          </w:tcPr>
          <w:p w14:paraId="5B71B678" w14:textId="77777777" w:rsidR="00B96183" w:rsidRPr="00BA60ED" w:rsidRDefault="00B96183" w:rsidP="00136A61">
            <w:pPr>
              <w:spacing w:before="60" w:after="60"/>
              <w:jc w:val="right"/>
              <w:rPr>
                <w:rFonts w:cstheme="minorHAnsi"/>
                <w:b/>
                <w:sz w:val="20"/>
                <w:szCs w:val="20"/>
              </w:rPr>
            </w:pPr>
            <w:r>
              <w:rPr>
                <w:rFonts w:cstheme="minorHAnsi"/>
                <w:b/>
                <w:sz w:val="20"/>
                <w:szCs w:val="20"/>
              </w:rPr>
              <w:t>3 632 933</w:t>
            </w:r>
          </w:p>
        </w:tc>
      </w:tr>
      <w:tr w:rsidR="00B96183" w:rsidRPr="00BA60ED" w14:paraId="1B1C6A5B" w14:textId="77777777" w:rsidTr="00A722A3">
        <w:trPr>
          <w:tblHeader/>
        </w:trPr>
        <w:tc>
          <w:tcPr>
            <w:tcW w:w="4815" w:type="dxa"/>
            <w:tcBorders>
              <w:top w:val="nil"/>
              <w:bottom w:val="nil"/>
            </w:tcBorders>
            <w:shd w:val="clear" w:color="auto" w:fill="auto"/>
          </w:tcPr>
          <w:p w14:paraId="15DEF51B" w14:textId="77777777" w:rsidR="00B96183" w:rsidRPr="00BA60ED" w:rsidRDefault="00B96183" w:rsidP="00136A61">
            <w:pPr>
              <w:spacing w:before="60" w:after="60"/>
              <w:rPr>
                <w:rFonts w:cstheme="minorHAnsi"/>
                <w:sz w:val="20"/>
                <w:szCs w:val="20"/>
              </w:rPr>
            </w:pPr>
            <w:r w:rsidRPr="00BA60ED">
              <w:rPr>
                <w:rFonts w:cstheme="minorHAnsi"/>
                <w:sz w:val="20"/>
                <w:szCs w:val="20"/>
              </w:rPr>
              <w:t xml:space="preserve">127 77 Podpora financování dopravy </w:t>
            </w:r>
          </w:p>
        </w:tc>
        <w:tc>
          <w:tcPr>
            <w:tcW w:w="1559" w:type="dxa"/>
            <w:tcBorders>
              <w:top w:val="nil"/>
              <w:bottom w:val="nil"/>
            </w:tcBorders>
            <w:shd w:val="clear" w:color="auto" w:fill="auto"/>
            <w:vAlign w:val="center"/>
          </w:tcPr>
          <w:p w14:paraId="256DD3FE" w14:textId="77777777" w:rsidR="00B96183" w:rsidRPr="00BA60ED" w:rsidRDefault="00B96183" w:rsidP="00136A61">
            <w:pPr>
              <w:spacing w:before="60" w:after="60"/>
              <w:jc w:val="right"/>
              <w:rPr>
                <w:rFonts w:cstheme="minorHAnsi"/>
                <w:sz w:val="20"/>
                <w:szCs w:val="20"/>
              </w:rPr>
            </w:pPr>
            <w:r>
              <w:rPr>
                <w:rFonts w:cstheme="minorHAnsi"/>
                <w:sz w:val="20"/>
                <w:szCs w:val="20"/>
              </w:rPr>
              <w:t>1 755 117</w:t>
            </w:r>
          </w:p>
        </w:tc>
        <w:tc>
          <w:tcPr>
            <w:tcW w:w="1418" w:type="dxa"/>
            <w:tcBorders>
              <w:top w:val="nil"/>
              <w:bottom w:val="nil"/>
            </w:tcBorders>
            <w:shd w:val="clear" w:color="auto" w:fill="auto"/>
            <w:vAlign w:val="center"/>
          </w:tcPr>
          <w:p w14:paraId="016A802F" w14:textId="77777777" w:rsidR="00B96183" w:rsidRPr="00BA60ED" w:rsidRDefault="00B96183" w:rsidP="00136A61">
            <w:pPr>
              <w:spacing w:before="60" w:after="60"/>
              <w:jc w:val="right"/>
              <w:rPr>
                <w:rFonts w:cstheme="minorHAnsi"/>
                <w:sz w:val="20"/>
                <w:szCs w:val="20"/>
              </w:rPr>
            </w:pPr>
            <w:r>
              <w:rPr>
                <w:rFonts w:cstheme="minorHAnsi"/>
                <w:sz w:val="20"/>
                <w:szCs w:val="20"/>
              </w:rPr>
              <w:t>1 755 117</w:t>
            </w:r>
          </w:p>
        </w:tc>
        <w:tc>
          <w:tcPr>
            <w:tcW w:w="1559" w:type="dxa"/>
            <w:tcBorders>
              <w:top w:val="nil"/>
              <w:bottom w:val="nil"/>
            </w:tcBorders>
            <w:shd w:val="clear" w:color="auto" w:fill="auto"/>
          </w:tcPr>
          <w:p w14:paraId="6DC4346F" w14:textId="77777777" w:rsidR="00B96183" w:rsidRPr="00BA60ED" w:rsidRDefault="00B96183" w:rsidP="00136A61">
            <w:pPr>
              <w:spacing w:before="60" w:after="60"/>
              <w:jc w:val="right"/>
              <w:rPr>
                <w:rFonts w:cstheme="minorHAnsi"/>
                <w:sz w:val="20"/>
                <w:szCs w:val="20"/>
              </w:rPr>
            </w:pPr>
            <w:r>
              <w:rPr>
                <w:rFonts w:cstheme="minorHAnsi"/>
                <w:sz w:val="20"/>
                <w:szCs w:val="20"/>
              </w:rPr>
              <w:t>3 632 933</w:t>
            </w:r>
          </w:p>
        </w:tc>
      </w:tr>
      <w:tr w:rsidR="00B96183" w:rsidRPr="00BA60ED" w14:paraId="4D81C55B" w14:textId="77777777" w:rsidTr="00A722A3">
        <w:trPr>
          <w:tblHeader/>
        </w:trPr>
        <w:tc>
          <w:tcPr>
            <w:tcW w:w="4815" w:type="dxa"/>
            <w:tcBorders>
              <w:top w:val="nil"/>
              <w:bottom w:val="nil"/>
            </w:tcBorders>
            <w:shd w:val="clear" w:color="auto" w:fill="auto"/>
          </w:tcPr>
          <w:p w14:paraId="2C28F6F5" w14:textId="77777777" w:rsidR="00B96183" w:rsidRPr="00BA60ED" w:rsidRDefault="00B96183" w:rsidP="00136A61">
            <w:pPr>
              <w:spacing w:before="60" w:after="60"/>
              <w:rPr>
                <w:rFonts w:cstheme="minorHAnsi"/>
                <w:b/>
                <w:sz w:val="20"/>
                <w:szCs w:val="20"/>
              </w:rPr>
            </w:pPr>
            <w:r w:rsidRPr="00BA60ED">
              <w:rPr>
                <w:rFonts w:cstheme="minorHAnsi"/>
                <w:b/>
                <w:sz w:val="20"/>
                <w:szCs w:val="20"/>
              </w:rPr>
              <w:t>KP – Nástroj pro propojení Evropy 2014+ (v tom:)</w:t>
            </w:r>
          </w:p>
        </w:tc>
        <w:tc>
          <w:tcPr>
            <w:tcW w:w="1559" w:type="dxa"/>
            <w:tcBorders>
              <w:top w:val="nil"/>
              <w:bottom w:val="nil"/>
            </w:tcBorders>
            <w:shd w:val="clear" w:color="auto" w:fill="auto"/>
          </w:tcPr>
          <w:p w14:paraId="3A96DCF0" w14:textId="77777777" w:rsidR="00B96183" w:rsidRPr="00BA60ED" w:rsidRDefault="00B96183" w:rsidP="00136A61">
            <w:pPr>
              <w:spacing w:before="60" w:after="60"/>
              <w:jc w:val="right"/>
              <w:rPr>
                <w:rFonts w:cstheme="minorHAnsi"/>
                <w:b/>
                <w:sz w:val="20"/>
                <w:szCs w:val="20"/>
              </w:rPr>
            </w:pPr>
            <w:r>
              <w:rPr>
                <w:rFonts w:cstheme="minorHAnsi"/>
                <w:b/>
                <w:sz w:val="20"/>
                <w:szCs w:val="20"/>
              </w:rPr>
              <w:t>2 495 679</w:t>
            </w:r>
          </w:p>
        </w:tc>
        <w:tc>
          <w:tcPr>
            <w:tcW w:w="1418" w:type="dxa"/>
            <w:tcBorders>
              <w:top w:val="nil"/>
              <w:bottom w:val="nil"/>
            </w:tcBorders>
            <w:shd w:val="clear" w:color="auto" w:fill="auto"/>
          </w:tcPr>
          <w:p w14:paraId="48A6A50D" w14:textId="77777777" w:rsidR="00B96183" w:rsidRPr="00BA60ED" w:rsidRDefault="00B96183" w:rsidP="00136A61">
            <w:pPr>
              <w:spacing w:before="60" w:after="60"/>
              <w:jc w:val="right"/>
              <w:rPr>
                <w:rFonts w:cstheme="minorHAnsi"/>
                <w:b/>
                <w:sz w:val="20"/>
                <w:szCs w:val="20"/>
              </w:rPr>
            </w:pPr>
            <w:r>
              <w:rPr>
                <w:rFonts w:cstheme="minorHAnsi"/>
                <w:b/>
                <w:sz w:val="20"/>
                <w:szCs w:val="20"/>
              </w:rPr>
              <w:t>2 495 679</w:t>
            </w:r>
          </w:p>
        </w:tc>
        <w:tc>
          <w:tcPr>
            <w:tcW w:w="1559" w:type="dxa"/>
            <w:tcBorders>
              <w:top w:val="nil"/>
              <w:bottom w:val="nil"/>
            </w:tcBorders>
            <w:shd w:val="clear" w:color="auto" w:fill="auto"/>
          </w:tcPr>
          <w:p w14:paraId="3C16B09A" w14:textId="77777777" w:rsidR="00B96183" w:rsidRPr="00BA60ED" w:rsidRDefault="00B96183" w:rsidP="00136A61">
            <w:pPr>
              <w:spacing w:before="60" w:after="60"/>
              <w:jc w:val="right"/>
              <w:rPr>
                <w:rFonts w:cstheme="minorHAnsi"/>
                <w:b/>
                <w:sz w:val="20"/>
                <w:szCs w:val="20"/>
              </w:rPr>
            </w:pPr>
            <w:r>
              <w:rPr>
                <w:rFonts w:cstheme="minorHAnsi"/>
                <w:b/>
                <w:sz w:val="20"/>
                <w:szCs w:val="20"/>
              </w:rPr>
              <w:t>1 814 795</w:t>
            </w:r>
          </w:p>
        </w:tc>
      </w:tr>
      <w:tr w:rsidR="00B96183" w:rsidRPr="00BA60ED" w14:paraId="12DAB097" w14:textId="77777777" w:rsidTr="00A722A3">
        <w:trPr>
          <w:tblHeader/>
        </w:trPr>
        <w:tc>
          <w:tcPr>
            <w:tcW w:w="4815" w:type="dxa"/>
            <w:tcBorders>
              <w:top w:val="nil"/>
              <w:bottom w:val="nil"/>
            </w:tcBorders>
            <w:shd w:val="clear" w:color="auto" w:fill="auto"/>
          </w:tcPr>
          <w:p w14:paraId="067D23DB" w14:textId="77777777" w:rsidR="00B96183" w:rsidRPr="00BA60ED" w:rsidRDefault="00B96183" w:rsidP="00136A61">
            <w:pPr>
              <w:spacing w:before="60" w:after="60"/>
              <w:rPr>
                <w:rFonts w:cstheme="minorHAnsi"/>
                <w:sz w:val="20"/>
                <w:szCs w:val="20"/>
              </w:rPr>
            </w:pPr>
            <w:r w:rsidRPr="00BA60ED">
              <w:rPr>
                <w:rFonts w:cstheme="minorHAnsi"/>
                <w:sz w:val="20"/>
                <w:szCs w:val="20"/>
              </w:rPr>
              <w:t>127 77 Podpora financování dopravy</w:t>
            </w:r>
          </w:p>
        </w:tc>
        <w:tc>
          <w:tcPr>
            <w:tcW w:w="1559" w:type="dxa"/>
            <w:tcBorders>
              <w:top w:val="nil"/>
              <w:bottom w:val="nil"/>
            </w:tcBorders>
            <w:shd w:val="clear" w:color="auto" w:fill="auto"/>
          </w:tcPr>
          <w:p w14:paraId="09D53C56" w14:textId="77777777" w:rsidR="00B96183" w:rsidRPr="00BA60ED" w:rsidRDefault="00B96183" w:rsidP="00136A61">
            <w:pPr>
              <w:spacing w:before="60" w:after="60"/>
              <w:jc w:val="right"/>
              <w:rPr>
                <w:rFonts w:cstheme="minorHAnsi"/>
                <w:sz w:val="20"/>
                <w:szCs w:val="20"/>
              </w:rPr>
            </w:pPr>
            <w:r>
              <w:rPr>
                <w:rFonts w:cstheme="minorHAnsi"/>
                <w:sz w:val="20"/>
                <w:szCs w:val="20"/>
              </w:rPr>
              <w:t>2 495 679</w:t>
            </w:r>
          </w:p>
        </w:tc>
        <w:tc>
          <w:tcPr>
            <w:tcW w:w="1418" w:type="dxa"/>
            <w:tcBorders>
              <w:top w:val="nil"/>
              <w:bottom w:val="nil"/>
            </w:tcBorders>
            <w:shd w:val="clear" w:color="auto" w:fill="auto"/>
          </w:tcPr>
          <w:p w14:paraId="5478766C" w14:textId="77777777" w:rsidR="00B96183" w:rsidRPr="00BA60ED" w:rsidRDefault="00B96183" w:rsidP="00136A61">
            <w:pPr>
              <w:spacing w:before="60" w:after="60"/>
              <w:jc w:val="right"/>
              <w:rPr>
                <w:rFonts w:cstheme="minorHAnsi"/>
                <w:sz w:val="20"/>
                <w:szCs w:val="20"/>
              </w:rPr>
            </w:pPr>
            <w:r>
              <w:rPr>
                <w:rFonts w:cstheme="minorHAnsi"/>
                <w:sz w:val="20"/>
                <w:szCs w:val="20"/>
              </w:rPr>
              <w:t>2 495 679</w:t>
            </w:r>
          </w:p>
        </w:tc>
        <w:tc>
          <w:tcPr>
            <w:tcW w:w="1559" w:type="dxa"/>
            <w:tcBorders>
              <w:top w:val="nil"/>
              <w:bottom w:val="nil"/>
            </w:tcBorders>
            <w:shd w:val="clear" w:color="auto" w:fill="auto"/>
          </w:tcPr>
          <w:p w14:paraId="2C63FC81" w14:textId="77777777" w:rsidR="00B96183" w:rsidRPr="00BA60ED" w:rsidRDefault="00B96183" w:rsidP="00136A61">
            <w:pPr>
              <w:spacing w:before="60" w:after="60"/>
              <w:jc w:val="right"/>
              <w:rPr>
                <w:rFonts w:cstheme="minorHAnsi"/>
                <w:sz w:val="20"/>
                <w:szCs w:val="20"/>
              </w:rPr>
            </w:pPr>
            <w:r>
              <w:rPr>
                <w:rFonts w:cstheme="minorHAnsi"/>
                <w:sz w:val="20"/>
                <w:szCs w:val="20"/>
              </w:rPr>
              <w:t>1 814 795</w:t>
            </w:r>
          </w:p>
        </w:tc>
      </w:tr>
      <w:tr w:rsidR="00B96183" w:rsidRPr="00BA60ED" w14:paraId="5F61B546" w14:textId="77777777" w:rsidTr="00A722A3">
        <w:trPr>
          <w:tblHeader/>
        </w:trPr>
        <w:tc>
          <w:tcPr>
            <w:tcW w:w="4815" w:type="dxa"/>
            <w:tcBorders>
              <w:top w:val="nil"/>
              <w:bottom w:val="nil"/>
            </w:tcBorders>
            <w:shd w:val="clear" w:color="auto" w:fill="auto"/>
          </w:tcPr>
          <w:p w14:paraId="6AB54E85" w14:textId="77777777" w:rsidR="00B96183" w:rsidRPr="00BA60ED" w:rsidRDefault="00B96183" w:rsidP="00136A61">
            <w:pPr>
              <w:spacing w:before="60" w:after="60"/>
              <w:rPr>
                <w:rFonts w:cstheme="minorHAnsi"/>
                <w:b/>
                <w:sz w:val="20"/>
                <w:szCs w:val="20"/>
              </w:rPr>
            </w:pPr>
            <w:r w:rsidRPr="00BA60ED">
              <w:rPr>
                <w:rFonts w:cstheme="minorHAnsi"/>
                <w:b/>
                <w:sz w:val="20"/>
                <w:szCs w:val="20"/>
              </w:rPr>
              <w:t>Operační program Doprava 2021+ (v tom:)</w:t>
            </w:r>
          </w:p>
        </w:tc>
        <w:tc>
          <w:tcPr>
            <w:tcW w:w="1559" w:type="dxa"/>
            <w:tcBorders>
              <w:top w:val="nil"/>
              <w:bottom w:val="nil"/>
            </w:tcBorders>
            <w:shd w:val="clear" w:color="auto" w:fill="auto"/>
          </w:tcPr>
          <w:p w14:paraId="489230F6" w14:textId="77777777" w:rsidR="00B96183" w:rsidRPr="00BA60ED" w:rsidRDefault="00B96183" w:rsidP="00136A61">
            <w:pPr>
              <w:spacing w:before="60" w:after="60"/>
              <w:jc w:val="right"/>
              <w:rPr>
                <w:rFonts w:cstheme="minorHAnsi"/>
                <w:b/>
                <w:sz w:val="20"/>
                <w:szCs w:val="20"/>
              </w:rPr>
            </w:pPr>
            <w:r>
              <w:rPr>
                <w:rFonts w:cstheme="minorHAnsi"/>
                <w:b/>
                <w:sz w:val="20"/>
                <w:szCs w:val="20"/>
              </w:rPr>
              <w:t>15 188 488</w:t>
            </w:r>
          </w:p>
        </w:tc>
        <w:tc>
          <w:tcPr>
            <w:tcW w:w="1418" w:type="dxa"/>
            <w:tcBorders>
              <w:top w:val="nil"/>
              <w:bottom w:val="nil"/>
            </w:tcBorders>
            <w:shd w:val="clear" w:color="auto" w:fill="auto"/>
          </w:tcPr>
          <w:p w14:paraId="2B6D35BE" w14:textId="77777777" w:rsidR="00B96183" w:rsidRPr="00BA60ED" w:rsidRDefault="00B96183" w:rsidP="00136A61">
            <w:pPr>
              <w:spacing w:before="60" w:after="60"/>
              <w:jc w:val="right"/>
              <w:rPr>
                <w:rFonts w:cstheme="minorHAnsi"/>
                <w:b/>
                <w:sz w:val="20"/>
                <w:szCs w:val="20"/>
              </w:rPr>
            </w:pPr>
            <w:r>
              <w:rPr>
                <w:rFonts w:cstheme="minorHAnsi"/>
                <w:b/>
                <w:sz w:val="20"/>
                <w:szCs w:val="20"/>
              </w:rPr>
              <w:t>15 188 488</w:t>
            </w:r>
          </w:p>
        </w:tc>
        <w:tc>
          <w:tcPr>
            <w:tcW w:w="1559" w:type="dxa"/>
            <w:tcBorders>
              <w:top w:val="nil"/>
              <w:bottom w:val="nil"/>
            </w:tcBorders>
            <w:shd w:val="clear" w:color="auto" w:fill="auto"/>
          </w:tcPr>
          <w:p w14:paraId="17B394D7" w14:textId="77777777" w:rsidR="00B96183" w:rsidRPr="00BA60ED" w:rsidRDefault="00B96183" w:rsidP="00136A61">
            <w:pPr>
              <w:spacing w:before="60" w:after="60"/>
              <w:jc w:val="right"/>
              <w:rPr>
                <w:rFonts w:cstheme="minorHAnsi"/>
                <w:b/>
                <w:sz w:val="20"/>
                <w:szCs w:val="20"/>
              </w:rPr>
            </w:pPr>
            <w:r>
              <w:rPr>
                <w:rFonts w:cstheme="minorHAnsi"/>
                <w:b/>
                <w:sz w:val="20"/>
                <w:szCs w:val="20"/>
              </w:rPr>
              <w:t>10 075 971</w:t>
            </w:r>
          </w:p>
        </w:tc>
      </w:tr>
      <w:tr w:rsidR="00B96183" w:rsidRPr="00BA60ED" w14:paraId="125ECAD7" w14:textId="77777777" w:rsidTr="00A722A3">
        <w:trPr>
          <w:tblHeader/>
        </w:trPr>
        <w:tc>
          <w:tcPr>
            <w:tcW w:w="4815" w:type="dxa"/>
            <w:tcBorders>
              <w:top w:val="nil"/>
              <w:bottom w:val="nil"/>
            </w:tcBorders>
            <w:shd w:val="clear" w:color="auto" w:fill="auto"/>
          </w:tcPr>
          <w:p w14:paraId="42742EF9" w14:textId="77777777" w:rsidR="00B96183" w:rsidRPr="00BA60ED" w:rsidRDefault="00B96183" w:rsidP="00136A61">
            <w:pPr>
              <w:spacing w:before="60" w:after="60"/>
              <w:rPr>
                <w:rFonts w:cstheme="minorHAnsi"/>
                <w:sz w:val="20"/>
                <w:szCs w:val="20"/>
              </w:rPr>
            </w:pPr>
            <w:r w:rsidRPr="00BA60ED">
              <w:rPr>
                <w:rFonts w:cstheme="minorHAnsi"/>
                <w:sz w:val="20"/>
                <w:szCs w:val="20"/>
              </w:rPr>
              <w:t>ZED</w:t>
            </w:r>
          </w:p>
        </w:tc>
        <w:tc>
          <w:tcPr>
            <w:tcW w:w="1559" w:type="dxa"/>
            <w:tcBorders>
              <w:top w:val="nil"/>
              <w:bottom w:val="nil"/>
            </w:tcBorders>
            <w:shd w:val="clear" w:color="auto" w:fill="auto"/>
          </w:tcPr>
          <w:p w14:paraId="7E3AD98D" w14:textId="77777777" w:rsidR="00B96183" w:rsidRPr="00BA60ED" w:rsidRDefault="00B96183" w:rsidP="00136A61">
            <w:pPr>
              <w:spacing w:before="60" w:after="60"/>
              <w:jc w:val="right"/>
              <w:rPr>
                <w:rFonts w:cstheme="minorHAnsi"/>
                <w:sz w:val="20"/>
                <w:szCs w:val="20"/>
              </w:rPr>
            </w:pPr>
            <w:r>
              <w:rPr>
                <w:rFonts w:cstheme="minorHAnsi"/>
                <w:sz w:val="20"/>
                <w:szCs w:val="20"/>
              </w:rPr>
              <w:t>15 188 488</w:t>
            </w:r>
          </w:p>
        </w:tc>
        <w:tc>
          <w:tcPr>
            <w:tcW w:w="1418" w:type="dxa"/>
            <w:tcBorders>
              <w:top w:val="nil"/>
              <w:bottom w:val="nil"/>
            </w:tcBorders>
            <w:shd w:val="clear" w:color="auto" w:fill="auto"/>
          </w:tcPr>
          <w:p w14:paraId="32B8E0EC" w14:textId="77777777" w:rsidR="00B96183" w:rsidRPr="00BA60ED" w:rsidRDefault="00B96183" w:rsidP="00136A61">
            <w:pPr>
              <w:spacing w:before="60" w:after="60"/>
              <w:jc w:val="right"/>
              <w:rPr>
                <w:rFonts w:cstheme="minorHAnsi"/>
                <w:sz w:val="20"/>
                <w:szCs w:val="20"/>
              </w:rPr>
            </w:pPr>
            <w:r>
              <w:rPr>
                <w:rFonts w:cstheme="minorHAnsi"/>
                <w:sz w:val="20"/>
                <w:szCs w:val="20"/>
              </w:rPr>
              <w:t>15 188 488</w:t>
            </w:r>
          </w:p>
        </w:tc>
        <w:tc>
          <w:tcPr>
            <w:tcW w:w="1559" w:type="dxa"/>
            <w:tcBorders>
              <w:top w:val="nil"/>
              <w:bottom w:val="nil"/>
            </w:tcBorders>
            <w:shd w:val="clear" w:color="auto" w:fill="auto"/>
          </w:tcPr>
          <w:p w14:paraId="79998A62" w14:textId="77777777" w:rsidR="00B96183" w:rsidRPr="00BA60ED" w:rsidRDefault="00B96183" w:rsidP="00136A61">
            <w:pPr>
              <w:spacing w:before="60" w:after="60"/>
              <w:jc w:val="right"/>
              <w:rPr>
                <w:rFonts w:cstheme="minorHAnsi"/>
                <w:sz w:val="20"/>
                <w:szCs w:val="20"/>
              </w:rPr>
            </w:pPr>
            <w:r>
              <w:rPr>
                <w:rFonts w:cstheme="minorHAnsi"/>
                <w:sz w:val="20"/>
                <w:szCs w:val="20"/>
              </w:rPr>
              <w:t>10 075 971</w:t>
            </w:r>
          </w:p>
        </w:tc>
      </w:tr>
      <w:tr w:rsidR="00B96183" w:rsidRPr="00BA60ED" w14:paraId="2956D928" w14:textId="77777777" w:rsidTr="00A722A3">
        <w:trPr>
          <w:tblHeader/>
        </w:trPr>
        <w:tc>
          <w:tcPr>
            <w:tcW w:w="4815" w:type="dxa"/>
            <w:tcBorders>
              <w:top w:val="nil"/>
              <w:bottom w:val="nil"/>
            </w:tcBorders>
            <w:shd w:val="clear" w:color="auto" w:fill="auto"/>
          </w:tcPr>
          <w:p w14:paraId="599849AF" w14:textId="77777777" w:rsidR="00B96183" w:rsidRPr="00BA60ED" w:rsidRDefault="00B96183" w:rsidP="00136A61">
            <w:pPr>
              <w:spacing w:before="60" w:after="60"/>
              <w:rPr>
                <w:rFonts w:cstheme="minorHAnsi"/>
                <w:b/>
                <w:sz w:val="20"/>
                <w:szCs w:val="20"/>
              </w:rPr>
            </w:pPr>
            <w:r w:rsidRPr="00BA60ED">
              <w:rPr>
                <w:rFonts w:cstheme="minorHAnsi"/>
                <w:b/>
                <w:sz w:val="20"/>
                <w:szCs w:val="20"/>
              </w:rPr>
              <w:t xml:space="preserve">KP-Nástroj pro propojení Evropy 2021+ (v tom:) </w:t>
            </w:r>
          </w:p>
        </w:tc>
        <w:tc>
          <w:tcPr>
            <w:tcW w:w="1559" w:type="dxa"/>
            <w:tcBorders>
              <w:top w:val="nil"/>
              <w:bottom w:val="nil"/>
            </w:tcBorders>
            <w:shd w:val="clear" w:color="auto" w:fill="auto"/>
          </w:tcPr>
          <w:p w14:paraId="424FA587" w14:textId="77777777" w:rsidR="00B96183" w:rsidRPr="00BA60ED" w:rsidRDefault="00B96183" w:rsidP="00136A61">
            <w:pPr>
              <w:spacing w:before="60" w:after="60"/>
              <w:jc w:val="right"/>
              <w:rPr>
                <w:rFonts w:cstheme="minorHAnsi"/>
                <w:b/>
                <w:sz w:val="20"/>
                <w:szCs w:val="20"/>
              </w:rPr>
            </w:pPr>
            <w:r>
              <w:rPr>
                <w:rFonts w:cstheme="minorHAnsi"/>
                <w:b/>
                <w:sz w:val="20"/>
                <w:szCs w:val="20"/>
              </w:rPr>
              <w:t>5 101 746</w:t>
            </w:r>
          </w:p>
        </w:tc>
        <w:tc>
          <w:tcPr>
            <w:tcW w:w="1418" w:type="dxa"/>
            <w:tcBorders>
              <w:top w:val="nil"/>
              <w:bottom w:val="nil"/>
            </w:tcBorders>
            <w:shd w:val="clear" w:color="auto" w:fill="auto"/>
          </w:tcPr>
          <w:p w14:paraId="048DF58D" w14:textId="77777777" w:rsidR="00B96183" w:rsidRPr="00BA60ED" w:rsidRDefault="00B96183" w:rsidP="00136A61">
            <w:pPr>
              <w:spacing w:before="60" w:after="60"/>
              <w:jc w:val="right"/>
              <w:rPr>
                <w:rFonts w:cstheme="minorHAnsi"/>
                <w:b/>
                <w:sz w:val="20"/>
                <w:szCs w:val="20"/>
              </w:rPr>
            </w:pPr>
            <w:r>
              <w:rPr>
                <w:rFonts w:cstheme="minorHAnsi"/>
                <w:b/>
                <w:sz w:val="20"/>
                <w:szCs w:val="20"/>
              </w:rPr>
              <w:t>5 100 979</w:t>
            </w:r>
          </w:p>
        </w:tc>
        <w:tc>
          <w:tcPr>
            <w:tcW w:w="1559" w:type="dxa"/>
            <w:tcBorders>
              <w:top w:val="nil"/>
              <w:bottom w:val="nil"/>
            </w:tcBorders>
            <w:shd w:val="clear" w:color="auto" w:fill="auto"/>
          </w:tcPr>
          <w:p w14:paraId="5511DCF7" w14:textId="77777777" w:rsidR="00B96183" w:rsidRPr="00BA60ED" w:rsidRDefault="00B96183" w:rsidP="00136A61">
            <w:pPr>
              <w:spacing w:before="60" w:after="60"/>
              <w:jc w:val="right"/>
              <w:rPr>
                <w:rFonts w:cstheme="minorHAnsi"/>
                <w:b/>
                <w:sz w:val="20"/>
                <w:szCs w:val="20"/>
              </w:rPr>
            </w:pPr>
            <w:r>
              <w:rPr>
                <w:rFonts w:cstheme="minorHAnsi"/>
                <w:b/>
                <w:sz w:val="20"/>
                <w:szCs w:val="20"/>
              </w:rPr>
              <w:t>4 070 018</w:t>
            </w:r>
          </w:p>
        </w:tc>
      </w:tr>
      <w:tr w:rsidR="00B96183" w:rsidRPr="00BA60ED" w14:paraId="450E25B5" w14:textId="77777777" w:rsidTr="00A722A3">
        <w:trPr>
          <w:tblHeader/>
        </w:trPr>
        <w:tc>
          <w:tcPr>
            <w:tcW w:w="4815" w:type="dxa"/>
            <w:tcBorders>
              <w:top w:val="nil"/>
              <w:bottom w:val="nil"/>
            </w:tcBorders>
            <w:shd w:val="clear" w:color="auto" w:fill="auto"/>
          </w:tcPr>
          <w:p w14:paraId="03D59CD1" w14:textId="77777777" w:rsidR="00B96183" w:rsidRPr="00BA60ED" w:rsidRDefault="00B96183" w:rsidP="00136A61">
            <w:pPr>
              <w:spacing w:before="60" w:after="60"/>
              <w:rPr>
                <w:rFonts w:cstheme="minorHAnsi"/>
                <w:sz w:val="20"/>
                <w:szCs w:val="20"/>
              </w:rPr>
            </w:pPr>
            <w:r w:rsidRPr="00BA60ED">
              <w:rPr>
                <w:rFonts w:cstheme="minorHAnsi"/>
                <w:sz w:val="20"/>
                <w:szCs w:val="20"/>
              </w:rPr>
              <w:t>ZED</w:t>
            </w:r>
          </w:p>
        </w:tc>
        <w:tc>
          <w:tcPr>
            <w:tcW w:w="1559" w:type="dxa"/>
            <w:tcBorders>
              <w:top w:val="nil"/>
              <w:bottom w:val="nil"/>
            </w:tcBorders>
            <w:shd w:val="clear" w:color="auto" w:fill="auto"/>
          </w:tcPr>
          <w:p w14:paraId="34EDA3C4" w14:textId="77777777" w:rsidR="00B96183" w:rsidRPr="00BA60ED" w:rsidRDefault="00B96183" w:rsidP="00136A61">
            <w:pPr>
              <w:spacing w:before="60" w:after="60"/>
              <w:jc w:val="right"/>
              <w:rPr>
                <w:rFonts w:cstheme="minorHAnsi"/>
                <w:sz w:val="20"/>
                <w:szCs w:val="20"/>
              </w:rPr>
            </w:pPr>
            <w:r>
              <w:rPr>
                <w:rFonts w:cstheme="minorHAnsi"/>
                <w:sz w:val="20"/>
                <w:szCs w:val="20"/>
              </w:rPr>
              <w:t>5 101 746</w:t>
            </w:r>
          </w:p>
        </w:tc>
        <w:tc>
          <w:tcPr>
            <w:tcW w:w="1418" w:type="dxa"/>
            <w:tcBorders>
              <w:top w:val="nil"/>
              <w:bottom w:val="nil"/>
            </w:tcBorders>
            <w:shd w:val="clear" w:color="auto" w:fill="auto"/>
          </w:tcPr>
          <w:p w14:paraId="1BB065A1" w14:textId="77777777" w:rsidR="00B96183" w:rsidRPr="00BA60ED" w:rsidRDefault="00B96183" w:rsidP="00136A61">
            <w:pPr>
              <w:spacing w:before="60" w:after="60"/>
              <w:jc w:val="right"/>
              <w:rPr>
                <w:rFonts w:cstheme="minorHAnsi"/>
                <w:sz w:val="20"/>
                <w:szCs w:val="20"/>
              </w:rPr>
            </w:pPr>
            <w:r>
              <w:rPr>
                <w:rFonts w:cstheme="minorHAnsi"/>
                <w:sz w:val="20"/>
                <w:szCs w:val="20"/>
              </w:rPr>
              <w:t>5 100 979</w:t>
            </w:r>
          </w:p>
        </w:tc>
        <w:tc>
          <w:tcPr>
            <w:tcW w:w="1559" w:type="dxa"/>
            <w:tcBorders>
              <w:top w:val="nil"/>
              <w:bottom w:val="nil"/>
            </w:tcBorders>
            <w:shd w:val="clear" w:color="auto" w:fill="auto"/>
          </w:tcPr>
          <w:p w14:paraId="593799A5" w14:textId="77777777" w:rsidR="00B96183" w:rsidRPr="00BA60ED" w:rsidRDefault="00B96183" w:rsidP="00136A61">
            <w:pPr>
              <w:spacing w:before="60" w:after="60"/>
              <w:jc w:val="right"/>
              <w:rPr>
                <w:rFonts w:cstheme="minorHAnsi"/>
                <w:sz w:val="20"/>
                <w:szCs w:val="20"/>
              </w:rPr>
            </w:pPr>
            <w:r>
              <w:rPr>
                <w:rFonts w:cstheme="minorHAnsi"/>
                <w:sz w:val="20"/>
                <w:szCs w:val="20"/>
              </w:rPr>
              <w:t>4 070 018</w:t>
            </w:r>
          </w:p>
        </w:tc>
      </w:tr>
      <w:tr w:rsidR="00B96183" w:rsidRPr="00BA60ED" w14:paraId="18F9DF00" w14:textId="77777777" w:rsidTr="00A722A3">
        <w:trPr>
          <w:tblHeader/>
        </w:trPr>
        <w:tc>
          <w:tcPr>
            <w:tcW w:w="4815" w:type="dxa"/>
            <w:tcBorders>
              <w:top w:val="nil"/>
              <w:bottom w:val="nil"/>
            </w:tcBorders>
            <w:shd w:val="clear" w:color="auto" w:fill="auto"/>
          </w:tcPr>
          <w:p w14:paraId="4AC977A1" w14:textId="77777777" w:rsidR="00B96183" w:rsidRPr="00BA60ED" w:rsidRDefault="00B96183" w:rsidP="00136A61">
            <w:pPr>
              <w:spacing w:before="60" w:after="60"/>
              <w:rPr>
                <w:rFonts w:cstheme="minorHAnsi"/>
                <w:b/>
                <w:sz w:val="20"/>
                <w:szCs w:val="20"/>
              </w:rPr>
            </w:pPr>
            <w:r w:rsidRPr="00BA60ED">
              <w:rPr>
                <w:rFonts w:cstheme="minorHAnsi"/>
                <w:b/>
                <w:sz w:val="20"/>
                <w:szCs w:val="20"/>
              </w:rPr>
              <w:t>Národní plán obnovy – RRF (v tom:)</w:t>
            </w:r>
          </w:p>
        </w:tc>
        <w:tc>
          <w:tcPr>
            <w:tcW w:w="1559" w:type="dxa"/>
            <w:tcBorders>
              <w:top w:val="nil"/>
              <w:bottom w:val="nil"/>
            </w:tcBorders>
            <w:shd w:val="clear" w:color="auto" w:fill="auto"/>
          </w:tcPr>
          <w:p w14:paraId="2DFF4464" w14:textId="77777777" w:rsidR="00B96183" w:rsidRPr="00BA60ED" w:rsidRDefault="00B96183" w:rsidP="00136A61">
            <w:pPr>
              <w:spacing w:before="60" w:after="60"/>
              <w:jc w:val="right"/>
              <w:rPr>
                <w:rFonts w:cstheme="minorHAnsi"/>
                <w:b/>
                <w:sz w:val="20"/>
                <w:szCs w:val="20"/>
              </w:rPr>
            </w:pPr>
            <w:r>
              <w:rPr>
                <w:rFonts w:cstheme="minorHAnsi"/>
                <w:b/>
                <w:sz w:val="20"/>
                <w:szCs w:val="20"/>
              </w:rPr>
              <w:t>3 003 459</w:t>
            </w:r>
          </w:p>
        </w:tc>
        <w:tc>
          <w:tcPr>
            <w:tcW w:w="1418" w:type="dxa"/>
            <w:tcBorders>
              <w:top w:val="nil"/>
              <w:bottom w:val="nil"/>
            </w:tcBorders>
            <w:shd w:val="clear" w:color="auto" w:fill="auto"/>
          </w:tcPr>
          <w:p w14:paraId="34EF6F32" w14:textId="77777777" w:rsidR="00B96183" w:rsidRPr="00BA60ED" w:rsidRDefault="00B96183" w:rsidP="00136A61">
            <w:pPr>
              <w:spacing w:before="60" w:after="60"/>
              <w:jc w:val="right"/>
              <w:rPr>
                <w:rFonts w:cstheme="minorHAnsi"/>
                <w:b/>
                <w:sz w:val="20"/>
                <w:szCs w:val="20"/>
              </w:rPr>
            </w:pPr>
            <w:r>
              <w:rPr>
                <w:rFonts w:cstheme="minorHAnsi"/>
                <w:b/>
                <w:sz w:val="20"/>
                <w:szCs w:val="20"/>
              </w:rPr>
              <w:t>3 520 969</w:t>
            </w:r>
          </w:p>
        </w:tc>
        <w:tc>
          <w:tcPr>
            <w:tcW w:w="1559" w:type="dxa"/>
            <w:tcBorders>
              <w:top w:val="nil"/>
              <w:bottom w:val="nil"/>
            </w:tcBorders>
            <w:shd w:val="clear" w:color="auto" w:fill="auto"/>
          </w:tcPr>
          <w:p w14:paraId="608993D9" w14:textId="77777777" w:rsidR="00B96183" w:rsidRPr="00BA60ED" w:rsidRDefault="00B96183" w:rsidP="00136A61">
            <w:pPr>
              <w:spacing w:before="60" w:after="60"/>
              <w:jc w:val="right"/>
              <w:rPr>
                <w:rFonts w:cstheme="minorHAnsi"/>
                <w:b/>
                <w:sz w:val="20"/>
                <w:szCs w:val="20"/>
              </w:rPr>
            </w:pPr>
            <w:r>
              <w:rPr>
                <w:rFonts w:cstheme="minorHAnsi"/>
                <w:b/>
                <w:sz w:val="20"/>
                <w:szCs w:val="20"/>
              </w:rPr>
              <w:t>4 158 755</w:t>
            </w:r>
          </w:p>
        </w:tc>
      </w:tr>
      <w:tr w:rsidR="00B96183" w:rsidRPr="00BA60ED" w14:paraId="07AE9B9F" w14:textId="77777777" w:rsidTr="00A722A3">
        <w:trPr>
          <w:tblHeader/>
        </w:trPr>
        <w:tc>
          <w:tcPr>
            <w:tcW w:w="4815" w:type="dxa"/>
            <w:tcBorders>
              <w:top w:val="nil"/>
            </w:tcBorders>
            <w:shd w:val="clear" w:color="auto" w:fill="auto"/>
          </w:tcPr>
          <w:p w14:paraId="44ECBD72" w14:textId="77777777" w:rsidR="00B96183" w:rsidRPr="00BA60ED" w:rsidRDefault="00B96183" w:rsidP="00136A61">
            <w:pPr>
              <w:spacing w:before="60" w:after="60"/>
              <w:rPr>
                <w:rFonts w:cstheme="minorHAnsi"/>
                <w:sz w:val="20"/>
                <w:szCs w:val="20"/>
              </w:rPr>
            </w:pPr>
            <w:r w:rsidRPr="00BA60ED">
              <w:rPr>
                <w:rFonts w:cstheme="minorHAnsi"/>
                <w:sz w:val="20"/>
                <w:szCs w:val="20"/>
              </w:rPr>
              <w:t>ZED</w:t>
            </w:r>
          </w:p>
        </w:tc>
        <w:tc>
          <w:tcPr>
            <w:tcW w:w="1559" w:type="dxa"/>
            <w:tcBorders>
              <w:top w:val="nil"/>
            </w:tcBorders>
            <w:shd w:val="clear" w:color="auto" w:fill="auto"/>
          </w:tcPr>
          <w:p w14:paraId="492C8BF7" w14:textId="77777777" w:rsidR="00B96183" w:rsidRPr="00BA60ED" w:rsidRDefault="00B96183" w:rsidP="00136A61">
            <w:pPr>
              <w:spacing w:before="60" w:after="60"/>
              <w:jc w:val="right"/>
              <w:rPr>
                <w:rFonts w:cstheme="minorHAnsi"/>
                <w:sz w:val="20"/>
                <w:szCs w:val="20"/>
              </w:rPr>
            </w:pPr>
            <w:r>
              <w:rPr>
                <w:rFonts w:cstheme="minorHAnsi"/>
                <w:sz w:val="20"/>
                <w:szCs w:val="20"/>
              </w:rPr>
              <w:t>3 003 459</w:t>
            </w:r>
          </w:p>
        </w:tc>
        <w:tc>
          <w:tcPr>
            <w:tcW w:w="1418" w:type="dxa"/>
            <w:tcBorders>
              <w:top w:val="nil"/>
            </w:tcBorders>
            <w:shd w:val="clear" w:color="auto" w:fill="auto"/>
          </w:tcPr>
          <w:p w14:paraId="4D025C7E" w14:textId="77777777" w:rsidR="00B96183" w:rsidRPr="00BA60ED" w:rsidRDefault="00B96183" w:rsidP="00136A61">
            <w:pPr>
              <w:spacing w:before="60" w:after="60"/>
              <w:jc w:val="right"/>
              <w:rPr>
                <w:rFonts w:cstheme="minorHAnsi"/>
                <w:sz w:val="20"/>
                <w:szCs w:val="20"/>
              </w:rPr>
            </w:pPr>
            <w:r>
              <w:rPr>
                <w:rFonts w:cstheme="minorHAnsi"/>
                <w:sz w:val="20"/>
                <w:szCs w:val="20"/>
              </w:rPr>
              <w:t>3 520 969</w:t>
            </w:r>
          </w:p>
        </w:tc>
        <w:tc>
          <w:tcPr>
            <w:tcW w:w="1559" w:type="dxa"/>
            <w:tcBorders>
              <w:top w:val="nil"/>
            </w:tcBorders>
            <w:shd w:val="clear" w:color="auto" w:fill="auto"/>
          </w:tcPr>
          <w:p w14:paraId="6EA33ED6" w14:textId="77777777" w:rsidR="00B96183" w:rsidRPr="00BA60ED" w:rsidRDefault="00B96183" w:rsidP="00136A61">
            <w:pPr>
              <w:spacing w:before="60" w:after="60"/>
              <w:jc w:val="right"/>
              <w:rPr>
                <w:rFonts w:cstheme="minorHAnsi"/>
                <w:sz w:val="20"/>
                <w:szCs w:val="20"/>
              </w:rPr>
            </w:pPr>
            <w:r>
              <w:rPr>
                <w:rFonts w:cstheme="minorHAnsi"/>
                <w:sz w:val="20"/>
                <w:szCs w:val="20"/>
              </w:rPr>
              <w:t>4 158 755</w:t>
            </w:r>
          </w:p>
        </w:tc>
      </w:tr>
    </w:tbl>
    <w:p w14:paraId="164B6B7F" w14:textId="320A7585" w:rsidR="00D331F4" w:rsidRPr="00D331F4" w:rsidRDefault="00453450" w:rsidP="00D331F4">
      <w:pPr>
        <w:pStyle w:val="KOMtext"/>
      </w:pPr>
      <w:r w:rsidRPr="00D331F4">
        <w:t xml:space="preserve">Investiční transfer byl čerpán ve výši </w:t>
      </w:r>
      <w:r w:rsidR="00D331F4" w:rsidRPr="00D331F4">
        <w:t>66 727 882 tis. Kč, tj. 94,5 % rozpočtu po změnách, z toho nároky z nespotřebovaných výdajů minulých let 3 627 685 tis. Kč. Prostředky EU byly čerpány ve výši 23 752 471 tis. Kč.</w:t>
      </w:r>
    </w:p>
    <w:p w14:paraId="6667961D" w14:textId="77777777" w:rsidR="00D331F4" w:rsidRPr="00D331F4" w:rsidRDefault="00D331F4" w:rsidP="00063D6E">
      <w:pPr>
        <w:pStyle w:val="KOMtext"/>
      </w:pPr>
      <w:r w:rsidRPr="00D331F4">
        <w:t xml:space="preserve">Oproti roku 2022 došlo ke snížení čerpání o 9 982 786 tis. Kč, tj. o 13,0 %. Snížení se týkalo prostředků určených na dotace pro společné programu EU a ČR.  </w:t>
      </w:r>
    </w:p>
    <w:p w14:paraId="2EF6D278" w14:textId="77777777" w:rsidR="00D331F4" w:rsidRPr="00D331F4" w:rsidRDefault="00D331F4" w:rsidP="00D331F4">
      <w:pPr>
        <w:keepLines/>
        <w:spacing w:before="200" w:after="120" w:line="276" w:lineRule="auto"/>
        <w:ind w:firstLine="284"/>
        <w:jc w:val="both"/>
        <w:rPr>
          <w:sz w:val="24"/>
          <w:szCs w:val="24"/>
          <w:u w:val="single"/>
        </w:rPr>
      </w:pPr>
      <w:r w:rsidRPr="00D331F4">
        <w:rPr>
          <w:sz w:val="24"/>
          <w:szCs w:val="24"/>
          <w:u w:val="single"/>
        </w:rPr>
        <w:t>Prostředky byly poskytnuty na:</w:t>
      </w:r>
    </w:p>
    <w:p w14:paraId="4DF509B4" w14:textId="34CB3206" w:rsidR="00D331F4" w:rsidRPr="00D331F4" w:rsidRDefault="00D331F4" w:rsidP="00E54955">
      <w:pPr>
        <w:keepLines/>
        <w:numPr>
          <w:ilvl w:val="0"/>
          <w:numId w:val="34"/>
        </w:numPr>
        <w:spacing w:before="120" w:after="120" w:line="276" w:lineRule="auto"/>
        <w:ind w:left="284" w:hanging="284"/>
        <w:jc w:val="both"/>
        <w:rPr>
          <w:sz w:val="24"/>
          <w:szCs w:val="24"/>
        </w:rPr>
      </w:pPr>
      <w:r w:rsidRPr="00D331F4">
        <w:rPr>
          <w:b/>
          <w:sz w:val="24"/>
          <w:szCs w:val="24"/>
        </w:rPr>
        <w:t xml:space="preserve"> krytí deficitu rozpočtu SFDI </w:t>
      </w:r>
      <w:r w:rsidRPr="00D331F4">
        <w:rPr>
          <w:sz w:val="24"/>
          <w:szCs w:val="24"/>
        </w:rPr>
        <w:t>ve výši</w:t>
      </w:r>
      <w:r w:rsidRPr="00D331F4">
        <w:rPr>
          <w:b/>
          <w:sz w:val="24"/>
          <w:szCs w:val="24"/>
        </w:rPr>
        <w:t xml:space="preserve"> </w:t>
      </w:r>
      <w:r w:rsidRPr="00D331F4">
        <w:rPr>
          <w:sz w:val="24"/>
          <w:szCs w:val="24"/>
        </w:rPr>
        <w:t>ve výši 40 000 000 tis. Kč.</w:t>
      </w:r>
      <w:r w:rsidRPr="00D331F4">
        <w:rPr>
          <w:b/>
          <w:sz w:val="24"/>
          <w:szCs w:val="24"/>
        </w:rPr>
        <w:t xml:space="preserve"> </w:t>
      </w:r>
      <w:r w:rsidRPr="00D331F4">
        <w:rPr>
          <w:sz w:val="24"/>
          <w:szCs w:val="24"/>
        </w:rPr>
        <w:t>Prostředky byly čerpány</w:t>
      </w:r>
      <w:r w:rsidRPr="00D331F4">
        <w:rPr>
          <w:b/>
          <w:sz w:val="24"/>
          <w:szCs w:val="24"/>
        </w:rPr>
        <w:t xml:space="preserve"> </w:t>
      </w:r>
      <w:r w:rsidRPr="00D331F4">
        <w:rPr>
          <w:b/>
          <w:sz w:val="24"/>
          <w:szCs w:val="24"/>
        </w:rPr>
        <w:br/>
      </w:r>
      <w:r w:rsidRPr="00D331F4">
        <w:rPr>
          <w:sz w:val="24"/>
          <w:szCs w:val="24"/>
        </w:rPr>
        <w:t xml:space="preserve">na dokrytí zdrojů SFDI na přípravu, výstavbu a modernizaci dopravní infrastruktury v rozsahu stanoveném zákonem o SFDI a dále na spolufinancování investičních projektů EU. Prostředky byly čerpány např. na výstavbu D48 MÚK Bělotín-Rybí; zkapacitnění D7 Chlumčany, D3 0310/I Úsilné-Hodějovice; I/42 Brno, VMO Tomkovo náměstí a Rokytova; D49 4901 Hulín-Fryšták. </w:t>
      </w:r>
    </w:p>
    <w:p w14:paraId="4C821C80" w14:textId="77777777" w:rsidR="00D331F4" w:rsidRPr="00D331F4" w:rsidRDefault="00D331F4" w:rsidP="00E54955">
      <w:pPr>
        <w:keepLines/>
        <w:numPr>
          <w:ilvl w:val="0"/>
          <w:numId w:val="34"/>
        </w:numPr>
        <w:spacing w:before="200" w:line="276" w:lineRule="auto"/>
        <w:ind w:left="284" w:hanging="284"/>
        <w:jc w:val="both"/>
        <w:rPr>
          <w:sz w:val="24"/>
          <w:szCs w:val="24"/>
        </w:rPr>
      </w:pPr>
      <w:r w:rsidRPr="00D331F4">
        <w:rPr>
          <w:b/>
          <w:sz w:val="24"/>
          <w:szCs w:val="24"/>
        </w:rPr>
        <w:t>projekty spolufinancované z EIB</w:t>
      </w:r>
      <w:r w:rsidRPr="00D331F4">
        <w:rPr>
          <w:sz w:val="24"/>
          <w:szCs w:val="24"/>
        </w:rPr>
        <w:t xml:space="preserve"> ve výši 2 975 411 </w:t>
      </w:r>
      <w:r w:rsidRPr="00A722A3">
        <w:rPr>
          <w:sz w:val="24"/>
          <w:szCs w:val="24"/>
        </w:rPr>
        <w:t>tis. Kč.</w:t>
      </w:r>
      <w:r w:rsidRPr="00A722A3">
        <w:rPr>
          <w:b/>
          <w:sz w:val="24"/>
          <w:szCs w:val="24"/>
        </w:rPr>
        <w:t xml:space="preserve"> </w:t>
      </w:r>
      <w:r w:rsidRPr="00A722A3">
        <w:rPr>
          <w:sz w:val="24"/>
          <w:szCs w:val="24"/>
        </w:rPr>
        <w:t xml:space="preserve">Jednalo se o </w:t>
      </w:r>
      <w:r w:rsidRPr="00D331F4">
        <w:rPr>
          <w:sz w:val="24"/>
          <w:szCs w:val="24"/>
        </w:rPr>
        <w:t>financování projektu modernizace železniční infrastruktury na 8 úsecích železničních koridorů v ČR. Prostředky byly čerpány na projekty např. Velim – Poříčany, BC; Choceň – Uhersko, BC; Ústí nad Orlicí – Brandýs nad Orlicí – původní stopa, BC.</w:t>
      </w:r>
    </w:p>
    <w:p w14:paraId="368C39BC" w14:textId="77777777" w:rsidR="00D331F4" w:rsidRPr="00D331F4" w:rsidRDefault="00D331F4" w:rsidP="00E54955">
      <w:pPr>
        <w:keepLines/>
        <w:numPr>
          <w:ilvl w:val="0"/>
          <w:numId w:val="34"/>
        </w:numPr>
        <w:spacing w:before="120" w:after="60" w:line="276" w:lineRule="auto"/>
        <w:ind w:left="284" w:hanging="284"/>
        <w:contextualSpacing/>
        <w:jc w:val="both"/>
        <w:rPr>
          <w:sz w:val="24"/>
          <w:szCs w:val="24"/>
        </w:rPr>
      </w:pPr>
      <w:r w:rsidRPr="00D331F4">
        <w:rPr>
          <w:b/>
          <w:sz w:val="24"/>
          <w:szCs w:val="24"/>
        </w:rPr>
        <w:t xml:space="preserve">projekty Operačního programu Doprava 2014+ </w:t>
      </w:r>
      <w:r w:rsidRPr="00D331F4">
        <w:rPr>
          <w:sz w:val="24"/>
          <w:szCs w:val="24"/>
        </w:rPr>
        <w:t>ve výši 3 632 933 tis. Kč, v tom:</w:t>
      </w:r>
    </w:p>
    <w:p w14:paraId="3C8FB5F7" w14:textId="776F78A5" w:rsidR="00D331F4" w:rsidRPr="00D331F4" w:rsidRDefault="00D331F4" w:rsidP="00E54955">
      <w:pPr>
        <w:numPr>
          <w:ilvl w:val="0"/>
          <w:numId w:val="46"/>
        </w:numPr>
        <w:spacing w:after="120" w:line="276" w:lineRule="auto"/>
        <w:jc w:val="both"/>
        <w:rPr>
          <w:sz w:val="24"/>
          <w:szCs w:val="24"/>
          <w:lang w:eastAsia="cs-CZ"/>
        </w:rPr>
      </w:pPr>
      <w:r w:rsidRPr="00D331F4">
        <w:rPr>
          <w:sz w:val="24"/>
          <w:szCs w:val="24"/>
          <w:lang w:eastAsia="cs-CZ"/>
        </w:rPr>
        <w:t xml:space="preserve">na financování projektů v rámci prioritní osy 1 – Infrastruktura pro železniční a další udržitelnou dopravu, prioritní osy 2 – Silniční infrastruktura na síti TENT-T a veřejná infrastruktura pro čistou mobilitu a prioritní osy 3 – Silniční infrastruktura mimo síť </w:t>
      </w:r>
      <w:r w:rsidRPr="00D331F4">
        <w:rPr>
          <w:sz w:val="24"/>
          <w:szCs w:val="24"/>
          <w:lang w:eastAsia="cs-CZ"/>
        </w:rPr>
        <w:br/>
        <w:t xml:space="preserve">TEN-T. Prostředky byly čerpány např. na výstavbu I/44 Bludov –obchvat; I/11 Opava, severní obchvat – západní část; D35 Časy – Ostrov; D35 Opatovice nad Labem - Časy; dodávku a instalace mobilní části ETCS  do vybraných hnacích vozidel řady 753.7.5. </w:t>
      </w:r>
      <w:r w:rsidR="00063D6E">
        <w:rPr>
          <w:sz w:val="24"/>
          <w:szCs w:val="24"/>
          <w:lang w:eastAsia="cs-CZ"/>
        </w:rPr>
        <w:br/>
      </w:r>
      <w:r w:rsidRPr="00D331F4">
        <w:rPr>
          <w:sz w:val="24"/>
          <w:szCs w:val="24"/>
          <w:lang w:eastAsia="cs-CZ"/>
        </w:rPr>
        <w:t xml:space="preserve">a 130 ČD Gardo; na rekonstrukci tramvajové trati Liberec-Jablonec nad Nisou </w:t>
      </w:r>
      <w:r w:rsidR="00063D6E">
        <w:rPr>
          <w:sz w:val="24"/>
          <w:szCs w:val="24"/>
          <w:lang w:eastAsia="cs-CZ"/>
        </w:rPr>
        <w:br/>
      </w:r>
      <w:r w:rsidRPr="00D331F4">
        <w:rPr>
          <w:sz w:val="24"/>
          <w:szCs w:val="24"/>
          <w:lang w:eastAsia="cs-CZ"/>
        </w:rPr>
        <w:t>a výstavbu tramvajové trati Divoká Šárka - sídliště Na Dědině.</w:t>
      </w:r>
    </w:p>
    <w:p w14:paraId="7044A84F" w14:textId="77777777" w:rsidR="00D331F4" w:rsidRPr="00D331F4" w:rsidRDefault="00D331F4" w:rsidP="00E54955">
      <w:pPr>
        <w:keepLines/>
        <w:numPr>
          <w:ilvl w:val="0"/>
          <w:numId w:val="34"/>
        </w:numPr>
        <w:spacing w:before="120" w:after="60" w:line="276" w:lineRule="auto"/>
        <w:ind w:left="284" w:hanging="284"/>
        <w:jc w:val="both"/>
        <w:rPr>
          <w:sz w:val="24"/>
          <w:szCs w:val="24"/>
        </w:rPr>
      </w:pPr>
      <w:r w:rsidRPr="00D331F4">
        <w:rPr>
          <w:b/>
          <w:sz w:val="24"/>
          <w:szCs w:val="24"/>
        </w:rPr>
        <w:lastRenderedPageBreak/>
        <w:t xml:space="preserve">projekty komunitárního programu – Nástroje pro propojení Evropy 2014+ </w:t>
      </w:r>
      <w:r w:rsidRPr="00D331F4">
        <w:rPr>
          <w:sz w:val="24"/>
          <w:szCs w:val="24"/>
        </w:rPr>
        <w:t>ve výši                     1 814 795 tis. Kč, v tom:</w:t>
      </w:r>
    </w:p>
    <w:p w14:paraId="14F9C7E7" w14:textId="0A7448DB" w:rsidR="00D331F4" w:rsidRPr="00D331F4" w:rsidRDefault="00D331F4" w:rsidP="00D331F4">
      <w:pPr>
        <w:numPr>
          <w:ilvl w:val="0"/>
          <w:numId w:val="10"/>
        </w:numPr>
        <w:spacing w:before="60" w:after="60" w:line="276" w:lineRule="auto"/>
        <w:ind w:left="568" w:hanging="284"/>
        <w:jc w:val="both"/>
        <w:rPr>
          <w:sz w:val="24"/>
          <w:szCs w:val="24"/>
          <w:lang w:eastAsia="cs-CZ"/>
        </w:rPr>
      </w:pPr>
      <w:r w:rsidRPr="00D331F4">
        <w:rPr>
          <w:sz w:val="24"/>
          <w:szCs w:val="24"/>
          <w:lang w:eastAsia="cs-CZ"/>
        </w:rPr>
        <w:t xml:space="preserve">na financování projektu CEF ve výši 1 814 765 tis. Kč. Prostředky byly čerpány </w:t>
      </w:r>
      <w:r w:rsidR="00063D6E">
        <w:rPr>
          <w:sz w:val="24"/>
          <w:szCs w:val="24"/>
          <w:lang w:eastAsia="cs-CZ"/>
        </w:rPr>
        <w:br/>
      </w:r>
      <w:r w:rsidRPr="00D331F4">
        <w:rPr>
          <w:sz w:val="24"/>
          <w:szCs w:val="24"/>
          <w:lang w:eastAsia="cs-CZ"/>
        </w:rPr>
        <w:t xml:space="preserve">např. na optimalizaci traťového úseku </w:t>
      </w:r>
      <w:proofErr w:type="spellStart"/>
      <w:r w:rsidRPr="00D331F4">
        <w:rPr>
          <w:sz w:val="24"/>
          <w:szCs w:val="24"/>
          <w:lang w:eastAsia="cs-CZ"/>
        </w:rPr>
        <w:t>Mstětice</w:t>
      </w:r>
      <w:proofErr w:type="spellEnd"/>
      <w:r w:rsidRPr="00D331F4">
        <w:rPr>
          <w:sz w:val="24"/>
          <w:szCs w:val="24"/>
          <w:lang w:eastAsia="cs-CZ"/>
        </w:rPr>
        <w:t xml:space="preserve"> (mimo) – Praha – Vysočany (včetně); modernizaci železničního uzlu Pardubice; optimalizaci trati Praha Smíchov (mimo) – Černošice (mimo), </w:t>
      </w:r>
    </w:p>
    <w:p w14:paraId="4D769D4B" w14:textId="77777777" w:rsidR="00D331F4" w:rsidRPr="00D331F4" w:rsidRDefault="00D331F4" w:rsidP="00D331F4">
      <w:pPr>
        <w:numPr>
          <w:ilvl w:val="0"/>
          <w:numId w:val="10"/>
        </w:numPr>
        <w:spacing w:before="60" w:after="60" w:line="276" w:lineRule="auto"/>
        <w:ind w:left="567" w:hanging="283"/>
        <w:jc w:val="both"/>
        <w:rPr>
          <w:sz w:val="24"/>
          <w:szCs w:val="24"/>
          <w:lang w:eastAsia="cs-CZ"/>
        </w:rPr>
      </w:pPr>
      <w:r w:rsidRPr="00D331F4">
        <w:rPr>
          <w:sz w:val="24"/>
          <w:szCs w:val="24"/>
          <w:lang w:eastAsia="cs-CZ"/>
        </w:rPr>
        <w:t xml:space="preserve">na financování projektu </w:t>
      </w:r>
      <w:proofErr w:type="spellStart"/>
      <w:r w:rsidRPr="00D331F4">
        <w:rPr>
          <w:sz w:val="24"/>
          <w:szCs w:val="24"/>
          <w:lang w:eastAsia="cs-CZ"/>
        </w:rPr>
        <w:t>Crocodile</w:t>
      </w:r>
      <w:proofErr w:type="spellEnd"/>
      <w:r w:rsidRPr="00D331F4">
        <w:rPr>
          <w:sz w:val="24"/>
          <w:szCs w:val="24"/>
          <w:lang w:eastAsia="cs-CZ"/>
        </w:rPr>
        <w:t xml:space="preserve"> 3 ve výši 30 tis. Kč.</w:t>
      </w:r>
    </w:p>
    <w:p w14:paraId="5A7D1ECF" w14:textId="1484E6A8" w:rsidR="00D331F4" w:rsidRPr="00D331F4" w:rsidRDefault="00D331F4" w:rsidP="00E54955">
      <w:pPr>
        <w:numPr>
          <w:ilvl w:val="0"/>
          <w:numId w:val="35"/>
        </w:numPr>
        <w:spacing w:before="60" w:after="120" w:line="276" w:lineRule="auto"/>
        <w:ind w:left="284" w:hanging="284"/>
        <w:contextualSpacing/>
        <w:jc w:val="both"/>
        <w:rPr>
          <w:rFonts w:eastAsia="Times New Roman" w:cstheme="minorHAnsi"/>
          <w:sz w:val="24"/>
          <w:szCs w:val="24"/>
          <w:lang w:eastAsia="cs-CZ"/>
        </w:rPr>
      </w:pPr>
      <w:r w:rsidRPr="00D331F4">
        <w:rPr>
          <w:rFonts w:cstheme="minorHAnsi"/>
          <w:b/>
          <w:sz w:val="24"/>
          <w:szCs w:val="24"/>
        </w:rPr>
        <w:t xml:space="preserve">projekty Operačního programu Doprava 2021+ </w:t>
      </w:r>
      <w:r w:rsidRPr="00D331F4">
        <w:rPr>
          <w:rFonts w:cstheme="minorHAnsi"/>
          <w:sz w:val="24"/>
          <w:szCs w:val="24"/>
        </w:rPr>
        <w:t>ve výši 10 075 971 tis. Kč v rámci priority 1 – Evropská, celostátní a regionální mobilita, priority 2 – Celostátní silniční mobilita zajišťující konektivitu k síti TENT-T. Prostředky byly čerpány např. na m</w:t>
      </w:r>
      <w:r w:rsidRPr="00D331F4">
        <w:rPr>
          <w:rFonts w:eastAsia="Times New Roman" w:cstheme="minorHAnsi"/>
          <w:sz w:val="24"/>
          <w:szCs w:val="24"/>
          <w:lang w:eastAsia="cs-CZ"/>
        </w:rPr>
        <w:t xml:space="preserve">odernizaci trati Hradec </w:t>
      </w:r>
      <w:proofErr w:type="gramStart"/>
      <w:r w:rsidRPr="00D331F4">
        <w:rPr>
          <w:rFonts w:eastAsia="Times New Roman" w:cstheme="minorHAnsi"/>
          <w:sz w:val="24"/>
          <w:szCs w:val="24"/>
          <w:lang w:eastAsia="cs-CZ"/>
        </w:rPr>
        <w:t>Králové - Pardubice</w:t>
      </w:r>
      <w:proofErr w:type="gramEnd"/>
      <w:r w:rsidRPr="00D331F4">
        <w:rPr>
          <w:rFonts w:eastAsia="Times New Roman" w:cstheme="minorHAnsi"/>
          <w:sz w:val="24"/>
          <w:szCs w:val="24"/>
          <w:lang w:eastAsia="cs-CZ"/>
        </w:rPr>
        <w:t xml:space="preserve"> - Chrudim, 3. stavba, </w:t>
      </w:r>
      <w:proofErr w:type="spellStart"/>
      <w:r w:rsidRPr="00D331F4">
        <w:rPr>
          <w:rFonts w:eastAsia="Times New Roman" w:cstheme="minorHAnsi"/>
          <w:sz w:val="24"/>
          <w:szCs w:val="24"/>
          <w:lang w:eastAsia="cs-CZ"/>
        </w:rPr>
        <w:t>zdvoukolejnění</w:t>
      </w:r>
      <w:proofErr w:type="spellEnd"/>
      <w:r w:rsidRPr="00D331F4">
        <w:rPr>
          <w:rFonts w:eastAsia="Times New Roman" w:cstheme="minorHAnsi"/>
          <w:sz w:val="24"/>
          <w:szCs w:val="24"/>
          <w:lang w:eastAsia="cs-CZ"/>
        </w:rPr>
        <w:t xml:space="preserve"> Pardubice-Rosice nad Labem – Stéblová; výstavbu D3 0310/II Hodějovice-Třebonín; D3 0310/I Úsilné - Hodějovice; D1 0136 Říkovice-Přerov,</w:t>
      </w:r>
    </w:p>
    <w:p w14:paraId="0D13DFDE" w14:textId="77777777" w:rsidR="00D331F4" w:rsidRPr="00D331F4" w:rsidRDefault="00D331F4" w:rsidP="00E54955">
      <w:pPr>
        <w:numPr>
          <w:ilvl w:val="0"/>
          <w:numId w:val="36"/>
        </w:numPr>
        <w:spacing w:before="240" w:after="120" w:line="276" w:lineRule="auto"/>
        <w:ind w:left="284" w:hanging="284"/>
        <w:jc w:val="both"/>
        <w:rPr>
          <w:rFonts w:cstheme="minorHAnsi"/>
          <w:color w:val="FF0000"/>
          <w:sz w:val="24"/>
          <w:szCs w:val="24"/>
        </w:rPr>
      </w:pPr>
      <w:bookmarkStart w:id="1048" w:name="_Hlk160196793"/>
      <w:r w:rsidRPr="00D331F4">
        <w:rPr>
          <w:rFonts w:cstheme="minorHAnsi"/>
          <w:b/>
          <w:color w:val="FF0000"/>
          <w:sz w:val="24"/>
          <w:szCs w:val="24"/>
        </w:rPr>
        <w:t xml:space="preserve"> </w:t>
      </w:r>
      <w:r w:rsidRPr="00D331F4">
        <w:rPr>
          <w:rFonts w:cstheme="minorHAnsi"/>
          <w:b/>
          <w:sz w:val="24"/>
          <w:szCs w:val="24"/>
        </w:rPr>
        <w:t xml:space="preserve">projekt CEF komunitárního programu – Nástroj pro propojení Evropy 2021+ </w:t>
      </w:r>
      <w:r w:rsidRPr="00D331F4">
        <w:rPr>
          <w:rFonts w:cstheme="minorHAnsi"/>
          <w:sz w:val="24"/>
          <w:szCs w:val="24"/>
        </w:rPr>
        <w:t>ve výši                4 070 018 tis. Kč.</w:t>
      </w:r>
      <w:r w:rsidRPr="00D331F4">
        <w:rPr>
          <w:rFonts w:cstheme="minorHAnsi"/>
          <w:b/>
          <w:sz w:val="24"/>
          <w:szCs w:val="24"/>
        </w:rPr>
        <w:t xml:space="preserve"> </w:t>
      </w:r>
      <w:r w:rsidRPr="00D331F4">
        <w:rPr>
          <w:rFonts w:cstheme="minorHAnsi"/>
          <w:sz w:val="24"/>
          <w:szCs w:val="24"/>
        </w:rPr>
        <w:t>Prostředky byly čerpány např. na rekonstrukci ŽST Vsetín; modernizace trati Praha-Bubny (včetně)- Praha-Výstaviště (včetně); optimalizace traťového úseku Čelákovice (mimo)-</w:t>
      </w:r>
      <w:proofErr w:type="spellStart"/>
      <w:r w:rsidRPr="00D331F4">
        <w:rPr>
          <w:rFonts w:cstheme="minorHAnsi"/>
          <w:sz w:val="24"/>
          <w:szCs w:val="24"/>
        </w:rPr>
        <w:t>Mstětice</w:t>
      </w:r>
      <w:proofErr w:type="spellEnd"/>
      <w:r w:rsidRPr="00D331F4">
        <w:rPr>
          <w:rFonts w:cstheme="minorHAnsi"/>
          <w:sz w:val="24"/>
          <w:szCs w:val="24"/>
        </w:rPr>
        <w:t xml:space="preserve"> (včetně),  </w:t>
      </w:r>
      <w:r w:rsidRPr="00D331F4">
        <w:rPr>
          <w:rFonts w:cstheme="minorHAnsi"/>
          <w:color w:val="FF0000"/>
          <w:sz w:val="24"/>
          <w:szCs w:val="24"/>
        </w:rPr>
        <w:t xml:space="preserve"> </w:t>
      </w:r>
    </w:p>
    <w:bookmarkEnd w:id="1048"/>
    <w:p w14:paraId="4E7FF401" w14:textId="77777777" w:rsidR="00D331F4" w:rsidRPr="00D331F4" w:rsidRDefault="00D331F4" w:rsidP="00E54955">
      <w:pPr>
        <w:keepLines/>
        <w:numPr>
          <w:ilvl w:val="0"/>
          <w:numId w:val="36"/>
        </w:numPr>
        <w:spacing w:before="120" w:after="60" w:line="276" w:lineRule="auto"/>
        <w:ind w:left="284" w:hanging="284"/>
        <w:jc w:val="both"/>
        <w:rPr>
          <w:rFonts w:cstheme="minorHAnsi"/>
          <w:sz w:val="24"/>
          <w:szCs w:val="24"/>
        </w:rPr>
      </w:pPr>
      <w:r w:rsidRPr="00D331F4">
        <w:rPr>
          <w:rFonts w:cstheme="minorHAnsi"/>
          <w:b/>
          <w:sz w:val="24"/>
          <w:szCs w:val="24"/>
        </w:rPr>
        <w:t xml:space="preserve">Národní plán obnovy – RRF, komponenta 2.1 Udržitelná doprava </w:t>
      </w:r>
      <w:r w:rsidRPr="00D331F4">
        <w:rPr>
          <w:rFonts w:cstheme="minorHAnsi"/>
          <w:sz w:val="24"/>
          <w:szCs w:val="24"/>
        </w:rPr>
        <w:t>ve výši 3 683 754 tis. Kč.</w:t>
      </w:r>
      <w:r w:rsidRPr="00D331F4">
        <w:rPr>
          <w:rFonts w:cstheme="minorHAnsi"/>
          <w:b/>
          <w:sz w:val="24"/>
          <w:szCs w:val="24"/>
        </w:rPr>
        <w:t xml:space="preserve"> </w:t>
      </w:r>
      <w:r w:rsidRPr="00D331F4">
        <w:rPr>
          <w:rFonts w:cstheme="minorHAnsi"/>
          <w:sz w:val="24"/>
          <w:szCs w:val="24"/>
        </w:rPr>
        <w:t>Cílem komponenty je přispět k digitalizaci dopravy, elektromobility v železniční dopravě, zvýšení významu aktivní mobility ve městech, zvýšení bezpečnosti dopravního provozu, v tom:</w:t>
      </w:r>
    </w:p>
    <w:p w14:paraId="1DC0B896" w14:textId="77777777" w:rsidR="00D331F4" w:rsidRPr="00D331F4" w:rsidRDefault="00D331F4" w:rsidP="00D331F4">
      <w:pPr>
        <w:numPr>
          <w:ilvl w:val="0"/>
          <w:numId w:val="10"/>
        </w:numPr>
        <w:spacing w:before="60" w:after="60" w:line="276" w:lineRule="auto"/>
        <w:ind w:left="568" w:hanging="284"/>
        <w:jc w:val="both"/>
        <w:rPr>
          <w:sz w:val="24"/>
          <w:szCs w:val="24"/>
          <w:lang w:eastAsia="cs-CZ"/>
        </w:rPr>
      </w:pPr>
      <w:r w:rsidRPr="00D331F4">
        <w:rPr>
          <w:sz w:val="24"/>
          <w:szCs w:val="24"/>
          <w:lang w:eastAsia="cs-CZ"/>
        </w:rPr>
        <w:t>na modernizaci a výstavbu železniční sítě ve výši 3 405 377 tis. Kč,</w:t>
      </w:r>
    </w:p>
    <w:p w14:paraId="05760D64" w14:textId="77777777" w:rsidR="00D331F4" w:rsidRPr="00D331F4" w:rsidRDefault="00D331F4" w:rsidP="00D331F4">
      <w:pPr>
        <w:numPr>
          <w:ilvl w:val="0"/>
          <w:numId w:val="10"/>
        </w:numPr>
        <w:spacing w:before="60" w:after="60" w:line="276" w:lineRule="auto"/>
        <w:ind w:left="568" w:hanging="284"/>
        <w:jc w:val="both"/>
        <w:rPr>
          <w:sz w:val="24"/>
          <w:szCs w:val="24"/>
          <w:lang w:eastAsia="cs-CZ"/>
        </w:rPr>
      </w:pPr>
      <w:r w:rsidRPr="00D331F4">
        <w:rPr>
          <w:sz w:val="24"/>
          <w:szCs w:val="24"/>
          <w:lang w:eastAsia="cs-CZ"/>
        </w:rPr>
        <w:t>na ochranu zranitelných účastníků silničního provozu ve výši 278 378 tis. Kč.</w:t>
      </w:r>
    </w:p>
    <w:p w14:paraId="1CEC5FF7" w14:textId="77777777" w:rsidR="00D331F4" w:rsidRPr="00D331F4" w:rsidRDefault="00D331F4" w:rsidP="00E54955">
      <w:pPr>
        <w:numPr>
          <w:ilvl w:val="0"/>
          <w:numId w:val="36"/>
        </w:numPr>
        <w:spacing w:before="240" w:after="120" w:line="276" w:lineRule="auto"/>
        <w:ind w:left="284" w:hanging="284"/>
        <w:jc w:val="both"/>
        <w:rPr>
          <w:rFonts w:cstheme="minorHAnsi"/>
          <w:color w:val="FF0000"/>
          <w:sz w:val="24"/>
          <w:szCs w:val="24"/>
        </w:rPr>
      </w:pPr>
      <w:r w:rsidRPr="00D331F4">
        <w:rPr>
          <w:rFonts w:cstheme="minorHAnsi"/>
          <w:b/>
          <w:sz w:val="24"/>
          <w:szCs w:val="24"/>
        </w:rPr>
        <w:t xml:space="preserve">Národní plán obnovy – RRF, komponenta 7.6 Elektrizace železniční dopravy </w:t>
      </w:r>
      <w:r w:rsidRPr="00D331F4">
        <w:rPr>
          <w:rFonts w:cstheme="minorHAnsi"/>
          <w:sz w:val="24"/>
          <w:szCs w:val="24"/>
        </w:rPr>
        <w:t>ve výši                    475 000 tis. Kč.</w:t>
      </w:r>
      <w:r w:rsidRPr="00D331F4">
        <w:rPr>
          <w:rFonts w:cstheme="minorHAnsi"/>
          <w:b/>
          <w:sz w:val="24"/>
          <w:szCs w:val="24"/>
        </w:rPr>
        <w:t xml:space="preserve"> </w:t>
      </w:r>
      <w:r w:rsidRPr="00D331F4">
        <w:rPr>
          <w:rFonts w:cstheme="minorHAnsi"/>
          <w:sz w:val="24"/>
          <w:szCs w:val="24"/>
        </w:rPr>
        <w:t xml:space="preserve">Prostředky byly čerpány na elektrizaci trati (včetně </w:t>
      </w:r>
      <w:proofErr w:type="spellStart"/>
      <w:r w:rsidRPr="00D331F4">
        <w:rPr>
          <w:rFonts w:cstheme="minorHAnsi"/>
          <w:sz w:val="24"/>
          <w:szCs w:val="24"/>
        </w:rPr>
        <w:t>předelektrizačních</w:t>
      </w:r>
      <w:proofErr w:type="spellEnd"/>
      <w:r w:rsidRPr="00D331F4">
        <w:rPr>
          <w:rFonts w:cstheme="minorHAnsi"/>
          <w:sz w:val="24"/>
          <w:szCs w:val="24"/>
        </w:rPr>
        <w:t xml:space="preserve"> úprav) Brno – Zastávka u Brna, 2. etapa.  </w:t>
      </w:r>
      <w:r w:rsidRPr="00D331F4">
        <w:rPr>
          <w:rFonts w:cstheme="minorHAnsi"/>
          <w:color w:val="FF0000"/>
          <w:sz w:val="24"/>
          <w:szCs w:val="24"/>
        </w:rPr>
        <w:t xml:space="preserve"> </w:t>
      </w:r>
      <w:r w:rsidRPr="00D331F4">
        <w:rPr>
          <w:rFonts w:ascii="Tahoma" w:hAnsi="Tahoma" w:cs="Tahoma"/>
          <w:color w:val="000000"/>
          <w:sz w:val="19"/>
          <w:szCs w:val="19"/>
          <w:shd w:val="clear" w:color="auto" w:fill="FFFFFF"/>
        </w:rPr>
        <w:t> </w:t>
      </w:r>
    </w:p>
    <w:p w14:paraId="4901452A" w14:textId="0300C04C" w:rsidR="00453450" w:rsidRPr="006B6D61" w:rsidRDefault="00453450">
      <w:pPr>
        <w:pStyle w:val="KOMGrafy"/>
      </w:pPr>
      <w:bookmarkStart w:id="1049" w:name="_Toc160457147"/>
      <w:r w:rsidRPr="006B6D61">
        <w:lastRenderedPageBreak/>
        <w:t xml:space="preserve">Graf č. </w:t>
      </w:r>
      <w:fldSimple w:instr=" SEQ Graf_č. \* ARABIC ">
        <w:r w:rsidR="00013820">
          <w:rPr>
            <w:noProof/>
          </w:rPr>
          <w:t>30</w:t>
        </w:r>
      </w:fldSimple>
      <w:r w:rsidRPr="006B6D61">
        <w:t>: Srovnání dotací poskytnutých SFDI v letech 202</w:t>
      </w:r>
      <w:r w:rsidR="006E6540" w:rsidRPr="006B6D61">
        <w:t>2</w:t>
      </w:r>
      <w:r w:rsidRPr="006B6D61">
        <w:t xml:space="preserve"> a 202</w:t>
      </w:r>
      <w:r w:rsidR="00D703E5" w:rsidRPr="006B6D61">
        <w:t>3</w:t>
      </w:r>
      <w:r w:rsidRPr="006B6D61">
        <w:t xml:space="preserve"> (v tis. Kč)</w:t>
      </w:r>
      <w:bookmarkEnd w:id="1049"/>
    </w:p>
    <w:p w14:paraId="50C74801" w14:textId="77777777" w:rsidR="00453450" w:rsidRPr="0077128B" w:rsidRDefault="00453450" w:rsidP="00453450">
      <w:pPr>
        <w:ind w:left="-142"/>
        <w:rPr>
          <w:color w:val="FF0000"/>
          <w:lang w:eastAsia="cs-CZ"/>
        </w:rPr>
      </w:pPr>
      <w:r w:rsidRPr="002F1BE7">
        <w:rPr>
          <w:noProof/>
          <w:color w:val="FF0000"/>
          <w:lang w:eastAsia="cs-CZ"/>
        </w:rPr>
        <w:drawing>
          <wp:inline distT="0" distB="0" distL="0" distR="0" wp14:anchorId="08222FD9" wp14:editId="499177F3">
            <wp:extent cx="6313805" cy="2895600"/>
            <wp:effectExtent l="0" t="0" r="10795" b="0"/>
            <wp:docPr id="54" name="Graf 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14:paraId="6701D7FD" w14:textId="77777777" w:rsidR="009D71D4" w:rsidRPr="006B6D61" w:rsidRDefault="009D71D4" w:rsidP="00E20BD6">
      <w:pPr>
        <w:pStyle w:val="KOMnadp3"/>
      </w:pPr>
      <w:bookmarkStart w:id="1050" w:name="_Toc128660459"/>
      <w:bookmarkStart w:id="1051" w:name="_Toc128660757"/>
      <w:bookmarkStart w:id="1052" w:name="_Toc128660974"/>
      <w:bookmarkStart w:id="1053" w:name="_Toc128661189"/>
      <w:bookmarkStart w:id="1054" w:name="_Toc128661404"/>
      <w:bookmarkStart w:id="1055" w:name="_Toc128666862"/>
      <w:bookmarkStart w:id="1056" w:name="_Toc128667094"/>
      <w:bookmarkStart w:id="1057" w:name="_Toc128670364"/>
      <w:bookmarkStart w:id="1058" w:name="_Toc128403896"/>
      <w:bookmarkStart w:id="1059" w:name="_Toc128404707"/>
      <w:bookmarkStart w:id="1060" w:name="_Toc128404774"/>
      <w:bookmarkStart w:id="1061" w:name="_Toc128405939"/>
      <w:bookmarkStart w:id="1062" w:name="_Toc128406012"/>
      <w:bookmarkStart w:id="1063" w:name="_Toc128406143"/>
      <w:bookmarkStart w:id="1064" w:name="_Toc128406438"/>
      <w:bookmarkStart w:id="1065" w:name="_Toc128406505"/>
      <w:bookmarkStart w:id="1066" w:name="_Toc128406657"/>
      <w:bookmarkStart w:id="1067" w:name="_Toc128406724"/>
      <w:bookmarkStart w:id="1068" w:name="_Toc128660460"/>
      <w:bookmarkStart w:id="1069" w:name="_Toc128660758"/>
      <w:bookmarkStart w:id="1070" w:name="_Toc128660975"/>
      <w:bookmarkStart w:id="1071" w:name="_Toc128661190"/>
      <w:bookmarkStart w:id="1072" w:name="_Toc128661405"/>
      <w:bookmarkStart w:id="1073" w:name="_Toc128666863"/>
      <w:bookmarkStart w:id="1074" w:name="_Toc128667095"/>
      <w:bookmarkStart w:id="1075" w:name="_Toc128670365"/>
      <w:bookmarkStart w:id="1076" w:name="_Toc128403897"/>
      <w:bookmarkStart w:id="1077" w:name="_Toc128404708"/>
      <w:bookmarkStart w:id="1078" w:name="_Toc128404775"/>
      <w:bookmarkStart w:id="1079" w:name="_Toc128405940"/>
      <w:bookmarkStart w:id="1080" w:name="_Toc128406013"/>
      <w:bookmarkStart w:id="1081" w:name="_Toc128406144"/>
      <w:bookmarkStart w:id="1082" w:name="_Toc128406439"/>
      <w:bookmarkStart w:id="1083" w:name="_Toc128406506"/>
      <w:bookmarkStart w:id="1084" w:name="_Toc128406658"/>
      <w:bookmarkStart w:id="1085" w:name="_Toc128406725"/>
      <w:bookmarkStart w:id="1086" w:name="_Toc128660461"/>
      <w:bookmarkStart w:id="1087" w:name="_Toc128660759"/>
      <w:bookmarkStart w:id="1088" w:name="_Toc128660976"/>
      <w:bookmarkStart w:id="1089" w:name="_Toc128661191"/>
      <w:bookmarkStart w:id="1090" w:name="_Toc128661406"/>
      <w:bookmarkStart w:id="1091" w:name="_Toc128666864"/>
      <w:bookmarkStart w:id="1092" w:name="_Toc128667096"/>
      <w:bookmarkStart w:id="1093" w:name="_Toc128670366"/>
      <w:bookmarkStart w:id="1094" w:name="_Toc128403898"/>
      <w:bookmarkStart w:id="1095" w:name="_Toc128404709"/>
      <w:bookmarkStart w:id="1096" w:name="_Toc128404776"/>
      <w:bookmarkStart w:id="1097" w:name="_Toc128405941"/>
      <w:bookmarkStart w:id="1098" w:name="_Toc128406014"/>
      <w:bookmarkStart w:id="1099" w:name="_Toc128406145"/>
      <w:bookmarkStart w:id="1100" w:name="_Toc128406440"/>
      <w:bookmarkStart w:id="1101" w:name="_Toc128406507"/>
      <w:bookmarkStart w:id="1102" w:name="_Toc128406659"/>
      <w:bookmarkStart w:id="1103" w:name="_Toc128406726"/>
      <w:bookmarkStart w:id="1104" w:name="_Toc128660462"/>
      <w:bookmarkStart w:id="1105" w:name="_Toc128660760"/>
      <w:bookmarkStart w:id="1106" w:name="_Toc128660977"/>
      <w:bookmarkStart w:id="1107" w:name="_Toc128661192"/>
      <w:bookmarkStart w:id="1108" w:name="_Toc128661407"/>
      <w:bookmarkStart w:id="1109" w:name="_Toc128666865"/>
      <w:bookmarkStart w:id="1110" w:name="_Toc128667097"/>
      <w:bookmarkStart w:id="1111" w:name="_Toc128670367"/>
      <w:bookmarkStart w:id="1112" w:name="_Toc128400090"/>
      <w:bookmarkStart w:id="1113" w:name="_Toc162269277"/>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r w:rsidRPr="006B6D61">
        <w:t>Transfery veřejným rozpočtům územní úrovně</w:t>
      </w:r>
      <w:bookmarkEnd w:id="1112"/>
      <w:bookmarkEnd w:id="1113"/>
    </w:p>
    <w:tbl>
      <w:tblPr>
        <w:tblW w:w="0" w:type="auto"/>
        <w:tblCellMar>
          <w:left w:w="70" w:type="dxa"/>
          <w:right w:w="70" w:type="dxa"/>
        </w:tblCellMar>
        <w:tblLook w:val="04A0" w:firstRow="1" w:lastRow="0" w:firstColumn="1" w:lastColumn="0" w:noHBand="0" w:noVBand="1"/>
      </w:tblPr>
      <w:tblGrid>
        <w:gridCol w:w="186"/>
        <w:gridCol w:w="2352"/>
        <w:gridCol w:w="1268"/>
        <w:gridCol w:w="1129"/>
        <w:gridCol w:w="1299"/>
        <w:gridCol w:w="952"/>
        <w:gridCol w:w="1148"/>
        <w:gridCol w:w="735"/>
      </w:tblGrid>
      <w:tr w:rsidR="00BF1EF5" w:rsidRPr="006A755F" w14:paraId="05CA278C" w14:textId="77777777" w:rsidTr="008C5AA3">
        <w:trPr>
          <w:trHeight w:val="271"/>
        </w:trPr>
        <w:tc>
          <w:tcPr>
            <w:tcW w:w="9069" w:type="dxa"/>
            <w:gridSpan w:val="8"/>
            <w:shd w:val="clear" w:color="auto" w:fill="auto"/>
            <w:noWrap/>
            <w:vAlign w:val="center"/>
          </w:tcPr>
          <w:p w14:paraId="70F518ED" w14:textId="77777777" w:rsidR="00BF1EF5" w:rsidRPr="006A755F" w:rsidRDefault="00BF1EF5" w:rsidP="008C5AA3">
            <w:pPr>
              <w:spacing w:after="0"/>
              <w:jc w:val="right"/>
              <w:rPr>
                <w:rFonts w:cstheme="minorHAnsi"/>
                <w:sz w:val="20"/>
                <w:szCs w:val="20"/>
              </w:rPr>
            </w:pPr>
            <w:r w:rsidRPr="006A755F">
              <w:rPr>
                <w:rFonts w:cstheme="minorHAnsi"/>
                <w:sz w:val="20"/>
                <w:szCs w:val="20"/>
              </w:rPr>
              <w:t>v tis. Kč</w:t>
            </w:r>
          </w:p>
        </w:tc>
      </w:tr>
      <w:tr w:rsidR="00BF1EF5" w:rsidRPr="006A755F" w14:paraId="75D92746" w14:textId="77777777" w:rsidTr="008C5AA3">
        <w:trPr>
          <w:trHeight w:val="504"/>
        </w:trPr>
        <w:tc>
          <w:tcPr>
            <w:tcW w:w="2538" w:type="dxa"/>
            <w:gridSpan w:val="2"/>
            <w:vMerge w:val="restart"/>
            <w:tcBorders>
              <w:top w:val="single" w:sz="4" w:space="0" w:color="auto"/>
              <w:left w:val="single" w:sz="4" w:space="0" w:color="auto"/>
              <w:right w:val="single" w:sz="4" w:space="0" w:color="auto"/>
            </w:tcBorders>
            <w:shd w:val="clear" w:color="auto" w:fill="D9D9D9" w:themeFill="background1" w:themeFillShade="D9"/>
            <w:noWrap/>
            <w:vAlign w:val="center"/>
          </w:tcPr>
          <w:p w14:paraId="375BEB9E" w14:textId="77777777" w:rsidR="00BF1EF5" w:rsidRPr="00C6308A" w:rsidRDefault="00BF1EF5" w:rsidP="008C5AA3">
            <w:pPr>
              <w:spacing w:after="0"/>
              <w:jc w:val="center"/>
              <w:rPr>
                <w:rFonts w:cstheme="minorHAnsi"/>
                <w:b/>
                <w:sz w:val="20"/>
                <w:szCs w:val="20"/>
              </w:rPr>
            </w:pPr>
            <w:r w:rsidRPr="00C6308A">
              <w:rPr>
                <w:rFonts w:cstheme="minorHAnsi"/>
                <w:b/>
                <w:sz w:val="20"/>
                <w:szCs w:val="20"/>
              </w:rPr>
              <w:t>Ukazatel</w:t>
            </w:r>
          </w:p>
        </w:tc>
        <w:tc>
          <w:tcPr>
            <w:tcW w:w="1268" w:type="dxa"/>
            <w:vMerge w:val="restart"/>
            <w:tcBorders>
              <w:top w:val="single" w:sz="4" w:space="0" w:color="000000"/>
              <w:left w:val="nil"/>
              <w:right w:val="single" w:sz="4" w:space="0" w:color="000000"/>
            </w:tcBorders>
            <w:shd w:val="clear" w:color="auto" w:fill="D9D9D9" w:themeFill="background1" w:themeFillShade="D9"/>
            <w:vAlign w:val="center"/>
          </w:tcPr>
          <w:p w14:paraId="5C6AEA5B" w14:textId="77777777" w:rsidR="00BF1EF5" w:rsidRPr="00C6308A" w:rsidRDefault="00BF1EF5" w:rsidP="008C5AA3">
            <w:pPr>
              <w:spacing w:after="0"/>
              <w:jc w:val="center"/>
              <w:rPr>
                <w:rFonts w:cstheme="minorHAnsi"/>
                <w:b/>
                <w:color w:val="FF0000"/>
                <w:sz w:val="20"/>
                <w:szCs w:val="20"/>
              </w:rPr>
            </w:pPr>
            <w:r w:rsidRPr="00C6308A">
              <w:rPr>
                <w:rFonts w:cstheme="minorHAnsi"/>
                <w:b/>
                <w:sz w:val="20"/>
                <w:szCs w:val="20"/>
              </w:rPr>
              <w:t>Skutečnost 202</w:t>
            </w:r>
            <w:r>
              <w:rPr>
                <w:rFonts w:cstheme="minorHAnsi"/>
                <w:b/>
                <w:sz w:val="20"/>
                <w:szCs w:val="20"/>
              </w:rPr>
              <w:t>2</w:t>
            </w:r>
          </w:p>
        </w:tc>
        <w:tc>
          <w:tcPr>
            <w:tcW w:w="3380" w:type="dxa"/>
            <w:gridSpan w:val="3"/>
            <w:tcBorders>
              <w:top w:val="single" w:sz="4" w:space="0" w:color="000000"/>
              <w:left w:val="nil"/>
              <w:bottom w:val="single" w:sz="4" w:space="0" w:color="000000"/>
              <w:right w:val="single" w:sz="4" w:space="0" w:color="000000"/>
            </w:tcBorders>
            <w:shd w:val="clear" w:color="auto" w:fill="D9D9D9" w:themeFill="background1" w:themeFillShade="D9"/>
            <w:vAlign w:val="center"/>
          </w:tcPr>
          <w:p w14:paraId="0CAD9CB9" w14:textId="77777777" w:rsidR="00BF1EF5" w:rsidRPr="006A755F" w:rsidRDefault="00BF1EF5" w:rsidP="008C5AA3">
            <w:pPr>
              <w:spacing w:after="0"/>
              <w:jc w:val="center"/>
              <w:rPr>
                <w:rFonts w:cstheme="minorHAnsi"/>
                <w:b/>
                <w:color w:val="FF0000"/>
                <w:sz w:val="20"/>
                <w:szCs w:val="20"/>
              </w:rPr>
            </w:pPr>
            <w:r w:rsidRPr="006A755F">
              <w:rPr>
                <w:rFonts w:cstheme="minorHAnsi"/>
                <w:b/>
                <w:sz w:val="20"/>
                <w:szCs w:val="20"/>
              </w:rPr>
              <w:t>Rozpočet 202</w:t>
            </w:r>
            <w:r>
              <w:rPr>
                <w:rFonts w:cstheme="minorHAnsi"/>
                <w:b/>
                <w:sz w:val="20"/>
                <w:szCs w:val="20"/>
              </w:rPr>
              <w:t>3</w:t>
            </w:r>
          </w:p>
        </w:tc>
        <w:tc>
          <w:tcPr>
            <w:tcW w:w="1148" w:type="dxa"/>
            <w:vMerge w:val="restart"/>
            <w:tcBorders>
              <w:top w:val="single" w:sz="4" w:space="0" w:color="000000"/>
              <w:left w:val="nil"/>
              <w:right w:val="single" w:sz="4" w:space="0" w:color="000000"/>
            </w:tcBorders>
            <w:shd w:val="clear" w:color="auto" w:fill="D9D9D9" w:themeFill="background1" w:themeFillShade="D9"/>
            <w:vAlign w:val="center"/>
          </w:tcPr>
          <w:p w14:paraId="7B621BC0" w14:textId="77777777" w:rsidR="00BF1EF5" w:rsidRPr="006A755F" w:rsidRDefault="00BF1EF5" w:rsidP="008C5AA3">
            <w:pPr>
              <w:spacing w:after="0"/>
              <w:jc w:val="center"/>
              <w:rPr>
                <w:rFonts w:cstheme="minorHAnsi"/>
                <w:b/>
                <w:sz w:val="20"/>
                <w:szCs w:val="20"/>
              </w:rPr>
            </w:pPr>
            <w:r w:rsidRPr="006A755F">
              <w:rPr>
                <w:rFonts w:cstheme="minorHAnsi"/>
                <w:b/>
                <w:sz w:val="20"/>
                <w:szCs w:val="20"/>
              </w:rPr>
              <w:t>Skutečnost</w:t>
            </w:r>
          </w:p>
          <w:p w14:paraId="7DCF9DF1" w14:textId="77777777" w:rsidR="00BF1EF5" w:rsidRPr="006A755F" w:rsidRDefault="00BF1EF5" w:rsidP="008C5AA3">
            <w:pPr>
              <w:spacing w:after="0"/>
              <w:jc w:val="center"/>
              <w:rPr>
                <w:rFonts w:cstheme="minorHAnsi"/>
                <w:b/>
                <w:color w:val="FF0000"/>
                <w:sz w:val="20"/>
                <w:szCs w:val="20"/>
              </w:rPr>
            </w:pPr>
            <w:r w:rsidRPr="006A755F">
              <w:rPr>
                <w:rFonts w:cstheme="minorHAnsi"/>
                <w:b/>
                <w:sz w:val="20"/>
                <w:szCs w:val="20"/>
              </w:rPr>
              <w:t>202</w:t>
            </w:r>
            <w:r>
              <w:rPr>
                <w:rFonts w:cstheme="minorHAnsi"/>
                <w:b/>
                <w:sz w:val="20"/>
                <w:szCs w:val="20"/>
              </w:rPr>
              <w:t>3</w:t>
            </w:r>
          </w:p>
        </w:tc>
        <w:tc>
          <w:tcPr>
            <w:tcW w:w="735" w:type="dxa"/>
            <w:vMerge w:val="restart"/>
            <w:tcBorders>
              <w:top w:val="single" w:sz="4" w:space="0" w:color="000000"/>
              <w:left w:val="nil"/>
              <w:right w:val="single" w:sz="4" w:space="0" w:color="000000"/>
            </w:tcBorders>
            <w:shd w:val="clear" w:color="auto" w:fill="D9D9D9" w:themeFill="background1" w:themeFillShade="D9"/>
            <w:vAlign w:val="center"/>
          </w:tcPr>
          <w:p w14:paraId="20EB16DF" w14:textId="77777777" w:rsidR="00BF1EF5" w:rsidRPr="006A755F" w:rsidRDefault="00BF1EF5" w:rsidP="008C5AA3">
            <w:pPr>
              <w:spacing w:after="0"/>
              <w:jc w:val="center"/>
              <w:rPr>
                <w:rFonts w:cstheme="minorHAnsi"/>
                <w:b/>
                <w:color w:val="FF0000"/>
                <w:sz w:val="20"/>
                <w:szCs w:val="20"/>
              </w:rPr>
            </w:pPr>
            <w:r w:rsidRPr="006A755F">
              <w:rPr>
                <w:rFonts w:cstheme="minorHAnsi"/>
                <w:b/>
                <w:sz w:val="20"/>
                <w:szCs w:val="20"/>
              </w:rPr>
              <w:t xml:space="preserve">Index </w:t>
            </w:r>
            <w:r w:rsidRPr="006A755F">
              <w:rPr>
                <w:rFonts w:cstheme="minorHAnsi"/>
                <w:b/>
                <w:sz w:val="20"/>
                <w:szCs w:val="20"/>
              </w:rPr>
              <w:br/>
              <w:t>(v %)</w:t>
            </w:r>
          </w:p>
        </w:tc>
      </w:tr>
      <w:tr w:rsidR="00BF1EF5" w:rsidRPr="006A755F" w14:paraId="73CB3A6F" w14:textId="77777777" w:rsidTr="008C5AA3">
        <w:trPr>
          <w:trHeight w:val="370"/>
        </w:trPr>
        <w:tc>
          <w:tcPr>
            <w:tcW w:w="2538" w:type="dxa"/>
            <w:gridSpan w:val="2"/>
            <w:vMerge/>
            <w:tcBorders>
              <w:left w:val="single" w:sz="4" w:space="0" w:color="auto"/>
              <w:bottom w:val="single" w:sz="4" w:space="0" w:color="auto"/>
              <w:right w:val="single" w:sz="4" w:space="0" w:color="auto"/>
            </w:tcBorders>
            <w:shd w:val="clear" w:color="auto" w:fill="auto"/>
            <w:noWrap/>
            <w:vAlign w:val="center"/>
            <w:hideMark/>
          </w:tcPr>
          <w:p w14:paraId="26C4A676" w14:textId="77777777" w:rsidR="00BF1EF5" w:rsidRPr="006A755F" w:rsidRDefault="00BF1EF5" w:rsidP="008C5AA3">
            <w:pPr>
              <w:spacing w:after="0"/>
              <w:jc w:val="center"/>
              <w:rPr>
                <w:rFonts w:cstheme="minorHAnsi"/>
                <w:sz w:val="20"/>
                <w:szCs w:val="20"/>
              </w:rPr>
            </w:pPr>
          </w:p>
        </w:tc>
        <w:tc>
          <w:tcPr>
            <w:tcW w:w="1268" w:type="dxa"/>
            <w:vMerge/>
            <w:tcBorders>
              <w:left w:val="nil"/>
              <w:bottom w:val="single" w:sz="4" w:space="0" w:color="000000"/>
              <w:right w:val="single" w:sz="4" w:space="0" w:color="000000"/>
            </w:tcBorders>
            <w:shd w:val="clear" w:color="auto" w:fill="auto"/>
            <w:vAlign w:val="center"/>
            <w:hideMark/>
          </w:tcPr>
          <w:p w14:paraId="6132C46C" w14:textId="77777777" w:rsidR="00BF1EF5" w:rsidRPr="006A755F" w:rsidRDefault="00BF1EF5" w:rsidP="008C5AA3">
            <w:pPr>
              <w:spacing w:after="0"/>
              <w:jc w:val="center"/>
              <w:rPr>
                <w:rFonts w:cstheme="minorHAnsi"/>
                <w:color w:val="FF0000"/>
                <w:sz w:val="20"/>
                <w:szCs w:val="20"/>
              </w:rPr>
            </w:pPr>
          </w:p>
        </w:tc>
        <w:tc>
          <w:tcPr>
            <w:tcW w:w="1129"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73A64EFA" w14:textId="77777777" w:rsidR="00BF1EF5" w:rsidRPr="006A755F" w:rsidRDefault="00BF1EF5" w:rsidP="008C5AA3">
            <w:pPr>
              <w:spacing w:after="0"/>
              <w:jc w:val="center"/>
              <w:rPr>
                <w:rFonts w:cstheme="minorHAnsi"/>
                <w:b/>
                <w:sz w:val="20"/>
                <w:szCs w:val="20"/>
              </w:rPr>
            </w:pPr>
            <w:r w:rsidRPr="006A755F">
              <w:rPr>
                <w:rFonts w:cstheme="minorHAnsi"/>
                <w:b/>
                <w:sz w:val="20"/>
                <w:szCs w:val="20"/>
              </w:rPr>
              <w:t xml:space="preserve">schválený </w:t>
            </w:r>
          </w:p>
        </w:tc>
        <w:tc>
          <w:tcPr>
            <w:tcW w:w="1299"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4E30D4AA" w14:textId="77777777" w:rsidR="00BF1EF5" w:rsidRPr="006A755F" w:rsidRDefault="00BF1EF5" w:rsidP="008C5AA3">
            <w:pPr>
              <w:spacing w:after="0"/>
              <w:jc w:val="center"/>
              <w:rPr>
                <w:rFonts w:cstheme="minorHAnsi"/>
                <w:b/>
                <w:sz w:val="20"/>
                <w:szCs w:val="20"/>
              </w:rPr>
            </w:pPr>
            <w:r w:rsidRPr="006A755F">
              <w:rPr>
                <w:rFonts w:cstheme="minorHAnsi"/>
                <w:b/>
                <w:sz w:val="20"/>
                <w:szCs w:val="20"/>
              </w:rPr>
              <w:t>po změnách</w:t>
            </w:r>
          </w:p>
        </w:tc>
        <w:tc>
          <w:tcPr>
            <w:tcW w:w="952"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14:paraId="425B63BC" w14:textId="77777777" w:rsidR="00BF1EF5" w:rsidRPr="006A755F" w:rsidRDefault="00BF1EF5" w:rsidP="008C5AA3">
            <w:pPr>
              <w:spacing w:after="0"/>
              <w:jc w:val="center"/>
              <w:rPr>
                <w:rFonts w:cstheme="minorHAnsi"/>
                <w:b/>
                <w:sz w:val="20"/>
                <w:szCs w:val="20"/>
              </w:rPr>
            </w:pPr>
            <w:r w:rsidRPr="006A755F">
              <w:rPr>
                <w:rFonts w:cstheme="minorHAnsi"/>
                <w:b/>
                <w:sz w:val="20"/>
                <w:szCs w:val="20"/>
              </w:rPr>
              <w:t>konečný</w:t>
            </w:r>
          </w:p>
        </w:tc>
        <w:tc>
          <w:tcPr>
            <w:tcW w:w="1148" w:type="dxa"/>
            <w:vMerge/>
            <w:tcBorders>
              <w:left w:val="nil"/>
              <w:bottom w:val="single" w:sz="4" w:space="0" w:color="000000"/>
              <w:right w:val="single" w:sz="4" w:space="0" w:color="000000"/>
            </w:tcBorders>
            <w:shd w:val="clear" w:color="auto" w:fill="auto"/>
            <w:vAlign w:val="center"/>
            <w:hideMark/>
          </w:tcPr>
          <w:p w14:paraId="470E054E" w14:textId="77777777" w:rsidR="00BF1EF5" w:rsidRPr="006A755F" w:rsidRDefault="00BF1EF5" w:rsidP="008C5AA3">
            <w:pPr>
              <w:spacing w:after="0"/>
              <w:jc w:val="center"/>
              <w:rPr>
                <w:rFonts w:cstheme="minorHAnsi"/>
                <w:color w:val="FF0000"/>
                <w:sz w:val="20"/>
                <w:szCs w:val="20"/>
              </w:rPr>
            </w:pPr>
          </w:p>
        </w:tc>
        <w:tc>
          <w:tcPr>
            <w:tcW w:w="735" w:type="dxa"/>
            <w:vMerge/>
            <w:tcBorders>
              <w:left w:val="nil"/>
              <w:bottom w:val="single" w:sz="4" w:space="0" w:color="000000"/>
              <w:right w:val="single" w:sz="4" w:space="0" w:color="000000"/>
            </w:tcBorders>
            <w:shd w:val="clear" w:color="auto" w:fill="auto"/>
            <w:vAlign w:val="center"/>
            <w:hideMark/>
          </w:tcPr>
          <w:p w14:paraId="7FEE4B49" w14:textId="77777777" w:rsidR="00BF1EF5" w:rsidRPr="006A755F" w:rsidRDefault="00BF1EF5" w:rsidP="008C5AA3">
            <w:pPr>
              <w:spacing w:after="0"/>
              <w:jc w:val="center"/>
              <w:rPr>
                <w:rFonts w:cstheme="minorHAnsi"/>
                <w:color w:val="FF0000"/>
                <w:sz w:val="20"/>
                <w:szCs w:val="20"/>
              </w:rPr>
            </w:pPr>
          </w:p>
        </w:tc>
      </w:tr>
      <w:tr w:rsidR="00BF1EF5" w:rsidRPr="006A755F" w14:paraId="5C8156DC" w14:textId="77777777" w:rsidTr="008C5AA3">
        <w:trPr>
          <w:trHeight w:val="300"/>
        </w:trPr>
        <w:tc>
          <w:tcPr>
            <w:tcW w:w="253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DAB89" w14:textId="77777777" w:rsidR="00BF1EF5" w:rsidRPr="006A755F" w:rsidRDefault="00BF1EF5" w:rsidP="008C5AA3">
            <w:pPr>
              <w:spacing w:after="0"/>
              <w:jc w:val="center"/>
              <w:rPr>
                <w:rFonts w:cstheme="minorHAnsi"/>
                <w:sz w:val="20"/>
                <w:szCs w:val="20"/>
              </w:rPr>
            </w:pPr>
            <w:r w:rsidRPr="006A755F">
              <w:rPr>
                <w:rFonts w:cstheme="minorHAnsi"/>
                <w:sz w:val="20"/>
                <w:szCs w:val="20"/>
              </w:rPr>
              <w:t>a</w:t>
            </w:r>
          </w:p>
        </w:tc>
        <w:tc>
          <w:tcPr>
            <w:tcW w:w="1268" w:type="dxa"/>
            <w:tcBorders>
              <w:top w:val="nil"/>
              <w:left w:val="nil"/>
              <w:bottom w:val="single" w:sz="4" w:space="0" w:color="auto"/>
              <w:right w:val="single" w:sz="4" w:space="0" w:color="auto"/>
            </w:tcBorders>
            <w:shd w:val="clear" w:color="auto" w:fill="auto"/>
            <w:noWrap/>
            <w:vAlign w:val="center"/>
            <w:hideMark/>
          </w:tcPr>
          <w:p w14:paraId="13FA8050" w14:textId="77777777" w:rsidR="00BF1EF5" w:rsidRPr="006A755F" w:rsidRDefault="00BF1EF5" w:rsidP="008C5AA3">
            <w:pPr>
              <w:spacing w:after="0"/>
              <w:jc w:val="center"/>
              <w:rPr>
                <w:rFonts w:cstheme="minorHAnsi"/>
                <w:sz w:val="20"/>
                <w:szCs w:val="20"/>
              </w:rPr>
            </w:pPr>
            <w:r w:rsidRPr="006A755F">
              <w:rPr>
                <w:rFonts w:cstheme="minorHAnsi"/>
                <w:sz w:val="20"/>
                <w:szCs w:val="20"/>
              </w:rPr>
              <w:t>1</w:t>
            </w:r>
          </w:p>
        </w:tc>
        <w:tc>
          <w:tcPr>
            <w:tcW w:w="1129" w:type="dxa"/>
            <w:tcBorders>
              <w:top w:val="nil"/>
              <w:left w:val="nil"/>
              <w:bottom w:val="single" w:sz="4" w:space="0" w:color="auto"/>
              <w:right w:val="single" w:sz="4" w:space="0" w:color="auto"/>
            </w:tcBorders>
            <w:shd w:val="clear" w:color="auto" w:fill="auto"/>
            <w:noWrap/>
            <w:vAlign w:val="center"/>
            <w:hideMark/>
          </w:tcPr>
          <w:p w14:paraId="0C1932DD" w14:textId="77777777" w:rsidR="00BF1EF5" w:rsidRPr="006A755F" w:rsidRDefault="00BF1EF5" w:rsidP="008C5AA3">
            <w:pPr>
              <w:spacing w:after="0"/>
              <w:jc w:val="center"/>
              <w:rPr>
                <w:rFonts w:cstheme="minorHAnsi"/>
                <w:sz w:val="20"/>
                <w:szCs w:val="20"/>
              </w:rPr>
            </w:pPr>
            <w:r w:rsidRPr="006A755F">
              <w:rPr>
                <w:rFonts w:cstheme="minorHAnsi"/>
                <w:sz w:val="20"/>
                <w:szCs w:val="20"/>
              </w:rPr>
              <w:t>2</w:t>
            </w:r>
          </w:p>
        </w:tc>
        <w:tc>
          <w:tcPr>
            <w:tcW w:w="1299" w:type="dxa"/>
            <w:tcBorders>
              <w:top w:val="nil"/>
              <w:left w:val="nil"/>
              <w:bottom w:val="single" w:sz="4" w:space="0" w:color="auto"/>
              <w:right w:val="single" w:sz="4" w:space="0" w:color="auto"/>
            </w:tcBorders>
            <w:shd w:val="clear" w:color="auto" w:fill="auto"/>
            <w:noWrap/>
            <w:vAlign w:val="center"/>
            <w:hideMark/>
          </w:tcPr>
          <w:p w14:paraId="3DC10BCC" w14:textId="77777777" w:rsidR="00BF1EF5" w:rsidRPr="006A755F" w:rsidRDefault="00BF1EF5" w:rsidP="008C5AA3">
            <w:pPr>
              <w:spacing w:after="0"/>
              <w:jc w:val="center"/>
              <w:rPr>
                <w:rFonts w:cstheme="minorHAnsi"/>
                <w:sz w:val="20"/>
                <w:szCs w:val="20"/>
              </w:rPr>
            </w:pPr>
            <w:r w:rsidRPr="006A755F">
              <w:rPr>
                <w:rFonts w:cstheme="minorHAnsi"/>
                <w:sz w:val="20"/>
                <w:szCs w:val="20"/>
              </w:rPr>
              <w:t>3</w:t>
            </w:r>
          </w:p>
        </w:tc>
        <w:tc>
          <w:tcPr>
            <w:tcW w:w="952" w:type="dxa"/>
            <w:tcBorders>
              <w:top w:val="nil"/>
              <w:left w:val="nil"/>
              <w:bottom w:val="single" w:sz="4" w:space="0" w:color="auto"/>
              <w:right w:val="single" w:sz="4" w:space="0" w:color="auto"/>
            </w:tcBorders>
            <w:shd w:val="clear" w:color="auto" w:fill="auto"/>
            <w:noWrap/>
            <w:vAlign w:val="center"/>
            <w:hideMark/>
          </w:tcPr>
          <w:p w14:paraId="31EE5DD6" w14:textId="77777777" w:rsidR="00BF1EF5" w:rsidRPr="006A755F" w:rsidRDefault="00BF1EF5" w:rsidP="008C5AA3">
            <w:pPr>
              <w:spacing w:after="0"/>
              <w:jc w:val="center"/>
              <w:rPr>
                <w:rFonts w:cstheme="minorHAnsi"/>
                <w:sz w:val="20"/>
                <w:szCs w:val="20"/>
              </w:rPr>
            </w:pPr>
            <w:r w:rsidRPr="006A755F">
              <w:rPr>
                <w:rFonts w:cstheme="minorHAnsi"/>
                <w:sz w:val="20"/>
                <w:szCs w:val="20"/>
              </w:rPr>
              <w:t>4</w:t>
            </w:r>
          </w:p>
        </w:tc>
        <w:tc>
          <w:tcPr>
            <w:tcW w:w="1148" w:type="dxa"/>
            <w:tcBorders>
              <w:top w:val="nil"/>
              <w:left w:val="nil"/>
              <w:bottom w:val="single" w:sz="4" w:space="0" w:color="auto"/>
              <w:right w:val="single" w:sz="4" w:space="0" w:color="auto"/>
            </w:tcBorders>
            <w:shd w:val="clear" w:color="auto" w:fill="auto"/>
            <w:noWrap/>
            <w:vAlign w:val="center"/>
            <w:hideMark/>
          </w:tcPr>
          <w:p w14:paraId="2092B495" w14:textId="77777777" w:rsidR="00BF1EF5" w:rsidRPr="006A755F" w:rsidRDefault="00BF1EF5" w:rsidP="008C5AA3">
            <w:pPr>
              <w:spacing w:after="0"/>
              <w:jc w:val="center"/>
              <w:rPr>
                <w:rFonts w:cstheme="minorHAnsi"/>
                <w:sz w:val="20"/>
                <w:szCs w:val="20"/>
              </w:rPr>
            </w:pPr>
            <w:r w:rsidRPr="006A755F">
              <w:rPr>
                <w:rFonts w:cstheme="minorHAnsi"/>
                <w:sz w:val="20"/>
                <w:szCs w:val="20"/>
              </w:rPr>
              <w:t>5</w:t>
            </w:r>
          </w:p>
        </w:tc>
        <w:tc>
          <w:tcPr>
            <w:tcW w:w="735" w:type="dxa"/>
            <w:tcBorders>
              <w:top w:val="nil"/>
              <w:left w:val="nil"/>
              <w:bottom w:val="single" w:sz="4" w:space="0" w:color="auto"/>
              <w:right w:val="single" w:sz="4" w:space="0" w:color="auto"/>
            </w:tcBorders>
            <w:shd w:val="clear" w:color="auto" w:fill="auto"/>
            <w:noWrap/>
            <w:vAlign w:val="center"/>
            <w:hideMark/>
          </w:tcPr>
          <w:p w14:paraId="372689CD" w14:textId="77777777" w:rsidR="00BF1EF5" w:rsidRPr="006A755F" w:rsidRDefault="00BF1EF5" w:rsidP="008C5AA3">
            <w:pPr>
              <w:spacing w:after="0"/>
              <w:jc w:val="center"/>
              <w:rPr>
                <w:rFonts w:cstheme="minorHAnsi"/>
                <w:color w:val="FF0000"/>
                <w:sz w:val="20"/>
                <w:szCs w:val="20"/>
              </w:rPr>
            </w:pPr>
            <w:r w:rsidRPr="006A755F">
              <w:rPr>
                <w:rFonts w:cstheme="minorHAnsi"/>
                <w:sz w:val="20"/>
                <w:szCs w:val="20"/>
              </w:rPr>
              <w:t>5/1</w:t>
            </w:r>
          </w:p>
        </w:tc>
      </w:tr>
      <w:tr w:rsidR="00BF1EF5" w:rsidRPr="006A755F" w14:paraId="35B3AAD2" w14:textId="77777777" w:rsidTr="008C5AA3">
        <w:trPr>
          <w:trHeight w:val="300"/>
        </w:trPr>
        <w:tc>
          <w:tcPr>
            <w:tcW w:w="2538" w:type="dxa"/>
            <w:gridSpan w:val="2"/>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tcPr>
          <w:p w14:paraId="68EE2A82" w14:textId="77777777" w:rsidR="00BF1EF5" w:rsidRPr="006A755F" w:rsidRDefault="00BF1EF5" w:rsidP="008C5AA3">
            <w:pPr>
              <w:spacing w:after="0" w:line="256" w:lineRule="auto"/>
              <w:rPr>
                <w:rFonts w:cstheme="minorHAnsi"/>
                <w:b/>
                <w:bCs/>
                <w:sz w:val="20"/>
                <w:szCs w:val="20"/>
              </w:rPr>
            </w:pPr>
            <w:r w:rsidRPr="006A755F">
              <w:rPr>
                <w:rFonts w:cstheme="minorHAnsi"/>
                <w:b/>
                <w:bCs/>
                <w:sz w:val="20"/>
                <w:szCs w:val="20"/>
              </w:rPr>
              <w:t xml:space="preserve">Transfery celkem </w:t>
            </w:r>
            <w:r w:rsidRPr="006A755F">
              <w:rPr>
                <w:rFonts w:cstheme="minorHAnsi"/>
                <w:bCs/>
                <w:sz w:val="20"/>
                <w:szCs w:val="20"/>
              </w:rPr>
              <w:t>(v tom:)</w:t>
            </w:r>
          </w:p>
        </w:tc>
        <w:tc>
          <w:tcPr>
            <w:tcW w:w="1268" w:type="dxa"/>
            <w:tcBorders>
              <w:top w:val="nil"/>
              <w:left w:val="nil"/>
              <w:bottom w:val="single" w:sz="4" w:space="0" w:color="auto"/>
              <w:right w:val="single" w:sz="4" w:space="0" w:color="auto"/>
            </w:tcBorders>
            <w:shd w:val="clear" w:color="auto" w:fill="D9D9D9" w:themeFill="background1" w:themeFillShade="D9"/>
            <w:noWrap/>
            <w:vAlign w:val="center"/>
          </w:tcPr>
          <w:p w14:paraId="13E1AF58" w14:textId="77777777" w:rsidR="00BF1EF5" w:rsidRPr="006A755F" w:rsidRDefault="00BF1EF5" w:rsidP="008C5AA3">
            <w:pPr>
              <w:spacing w:after="0" w:line="256" w:lineRule="auto"/>
              <w:jc w:val="right"/>
              <w:rPr>
                <w:rFonts w:cstheme="minorHAnsi"/>
                <w:b/>
                <w:bCs/>
                <w:sz w:val="20"/>
                <w:szCs w:val="20"/>
              </w:rPr>
            </w:pPr>
            <w:r w:rsidRPr="006A755F">
              <w:rPr>
                <w:rFonts w:cstheme="minorHAnsi"/>
                <w:b/>
                <w:bCs/>
                <w:sz w:val="20"/>
                <w:szCs w:val="20"/>
              </w:rPr>
              <w:t>3</w:t>
            </w:r>
            <w:r>
              <w:rPr>
                <w:rFonts w:cstheme="minorHAnsi"/>
                <w:b/>
                <w:bCs/>
                <w:sz w:val="20"/>
                <w:szCs w:val="20"/>
              </w:rPr>
              <w:t> 301 945</w:t>
            </w:r>
          </w:p>
        </w:tc>
        <w:tc>
          <w:tcPr>
            <w:tcW w:w="1129" w:type="dxa"/>
            <w:tcBorders>
              <w:top w:val="nil"/>
              <w:left w:val="nil"/>
              <w:bottom w:val="single" w:sz="4" w:space="0" w:color="auto"/>
              <w:right w:val="single" w:sz="4" w:space="0" w:color="auto"/>
            </w:tcBorders>
            <w:shd w:val="clear" w:color="auto" w:fill="D9D9D9" w:themeFill="background1" w:themeFillShade="D9"/>
            <w:noWrap/>
            <w:vAlign w:val="center"/>
          </w:tcPr>
          <w:p w14:paraId="54108EF2" w14:textId="77777777" w:rsidR="00BF1EF5" w:rsidRPr="006A755F" w:rsidRDefault="00BF1EF5" w:rsidP="008C5AA3">
            <w:pPr>
              <w:spacing w:after="0" w:line="256" w:lineRule="auto"/>
              <w:jc w:val="right"/>
              <w:rPr>
                <w:rFonts w:cstheme="minorHAnsi"/>
                <w:b/>
                <w:bCs/>
                <w:sz w:val="20"/>
                <w:szCs w:val="20"/>
              </w:rPr>
            </w:pPr>
            <w:r w:rsidRPr="006A755F">
              <w:rPr>
                <w:rFonts w:cstheme="minorHAnsi"/>
                <w:b/>
                <w:bCs/>
                <w:sz w:val="20"/>
                <w:szCs w:val="20"/>
              </w:rPr>
              <w:t>3</w:t>
            </w:r>
            <w:r>
              <w:rPr>
                <w:rFonts w:cstheme="minorHAnsi"/>
                <w:b/>
                <w:bCs/>
                <w:sz w:val="20"/>
                <w:szCs w:val="20"/>
              </w:rPr>
              <w:t> 608 251</w:t>
            </w:r>
          </w:p>
        </w:tc>
        <w:tc>
          <w:tcPr>
            <w:tcW w:w="1299" w:type="dxa"/>
            <w:tcBorders>
              <w:top w:val="nil"/>
              <w:left w:val="nil"/>
              <w:bottom w:val="single" w:sz="4" w:space="0" w:color="auto"/>
              <w:right w:val="single" w:sz="4" w:space="0" w:color="auto"/>
            </w:tcBorders>
            <w:shd w:val="clear" w:color="auto" w:fill="D9D9D9" w:themeFill="background1" w:themeFillShade="D9"/>
            <w:noWrap/>
            <w:vAlign w:val="center"/>
          </w:tcPr>
          <w:p w14:paraId="1A48BACD" w14:textId="77777777" w:rsidR="00BF1EF5" w:rsidRPr="006A755F" w:rsidRDefault="00BF1EF5" w:rsidP="008C5AA3">
            <w:pPr>
              <w:spacing w:after="0" w:line="256" w:lineRule="auto"/>
              <w:jc w:val="right"/>
              <w:rPr>
                <w:rFonts w:cstheme="minorHAnsi"/>
                <w:b/>
                <w:bCs/>
                <w:sz w:val="20"/>
                <w:szCs w:val="20"/>
              </w:rPr>
            </w:pPr>
            <w:r w:rsidRPr="006A755F">
              <w:rPr>
                <w:rFonts w:cstheme="minorHAnsi"/>
                <w:b/>
                <w:bCs/>
                <w:sz w:val="20"/>
                <w:szCs w:val="20"/>
              </w:rPr>
              <w:t>3</w:t>
            </w:r>
            <w:r>
              <w:rPr>
                <w:rFonts w:cstheme="minorHAnsi"/>
                <w:b/>
                <w:bCs/>
                <w:sz w:val="20"/>
                <w:szCs w:val="20"/>
              </w:rPr>
              <w:t> 608 251</w:t>
            </w:r>
          </w:p>
        </w:tc>
        <w:tc>
          <w:tcPr>
            <w:tcW w:w="952" w:type="dxa"/>
            <w:tcBorders>
              <w:top w:val="nil"/>
              <w:left w:val="nil"/>
              <w:bottom w:val="single" w:sz="4" w:space="0" w:color="auto"/>
              <w:right w:val="single" w:sz="4" w:space="0" w:color="auto"/>
            </w:tcBorders>
            <w:shd w:val="clear" w:color="auto" w:fill="D9D9D9" w:themeFill="background1" w:themeFillShade="D9"/>
            <w:noWrap/>
            <w:vAlign w:val="center"/>
          </w:tcPr>
          <w:p w14:paraId="7332F8A0" w14:textId="77777777" w:rsidR="00BF1EF5" w:rsidRPr="006A755F" w:rsidRDefault="00BF1EF5" w:rsidP="008C5AA3">
            <w:pPr>
              <w:spacing w:after="0"/>
              <w:jc w:val="right"/>
              <w:rPr>
                <w:rFonts w:cstheme="minorHAnsi"/>
                <w:b/>
                <w:sz w:val="20"/>
                <w:szCs w:val="20"/>
              </w:rPr>
            </w:pPr>
            <w:r>
              <w:rPr>
                <w:rFonts w:cstheme="minorHAnsi"/>
                <w:b/>
                <w:sz w:val="20"/>
                <w:szCs w:val="20"/>
              </w:rPr>
              <w:t>6 617 799</w:t>
            </w:r>
          </w:p>
        </w:tc>
        <w:tc>
          <w:tcPr>
            <w:tcW w:w="1148" w:type="dxa"/>
            <w:tcBorders>
              <w:top w:val="nil"/>
              <w:left w:val="nil"/>
              <w:bottom w:val="single" w:sz="4" w:space="0" w:color="auto"/>
              <w:right w:val="single" w:sz="4" w:space="0" w:color="auto"/>
            </w:tcBorders>
            <w:shd w:val="clear" w:color="auto" w:fill="D9D9D9" w:themeFill="background1" w:themeFillShade="D9"/>
            <w:noWrap/>
            <w:vAlign w:val="center"/>
          </w:tcPr>
          <w:p w14:paraId="05790E23" w14:textId="77777777" w:rsidR="00BF1EF5" w:rsidRPr="006A755F" w:rsidRDefault="00BF1EF5" w:rsidP="008C5AA3">
            <w:pPr>
              <w:spacing w:after="0" w:line="256" w:lineRule="auto"/>
              <w:jc w:val="right"/>
              <w:rPr>
                <w:rFonts w:cstheme="minorHAnsi"/>
                <w:b/>
                <w:bCs/>
                <w:sz w:val="20"/>
                <w:szCs w:val="20"/>
              </w:rPr>
            </w:pPr>
            <w:r>
              <w:rPr>
                <w:rFonts w:cstheme="minorHAnsi"/>
                <w:b/>
                <w:bCs/>
                <w:sz w:val="20"/>
                <w:szCs w:val="20"/>
              </w:rPr>
              <w:t>6 415 778</w:t>
            </w:r>
          </w:p>
        </w:tc>
        <w:tc>
          <w:tcPr>
            <w:tcW w:w="735" w:type="dxa"/>
            <w:tcBorders>
              <w:top w:val="nil"/>
              <w:left w:val="nil"/>
              <w:bottom w:val="single" w:sz="4" w:space="0" w:color="auto"/>
              <w:right w:val="single" w:sz="4" w:space="0" w:color="auto"/>
            </w:tcBorders>
            <w:shd w:val="clear" w:color="auto" w:fill="D9D9D9" w:themeFill="background1" w:themeFillShade="D9"/>
            <w:noWrap/>
            <w:vAlign w:val="center"/>
          </w:tcPr>
          <w:p w14:paraId="101FF982" w14:textId="77777777" w:rsidR="00BF1EF5" w:rsidRPr="006A755F" w:rsidRDefault="00BF1EF5" w:rsidP="008C5AA3">
            <w:pPr>
              <w:spacing w:after="0"/>
              <w:jc w:val="right"/>
              <w:rPr>
                <w:rFonts w:cstheme="minorHAnsi"/>
                <w:b/>
                <w:bCs/>
                <w:sz w:val="20"/>
                <w:szCs w:val="20"/>
              </w:rPr>
            </w:pPr>
            <w:r>
              <w:rPr>
                <w:rFonts w:cstheme="minorHAnsi"/>
                <w:b/>
                <w:bCs/>
                <w:sz w:val="20"/>
                <w:szCs w:val="20"/>
              </w:rPr>
              <w:t>1</w:t>
            </w:r>
            <w:r w:rsidRPr="006A755F">
              <w:rPr>
                <w:rFonts w:cstheme="minorHAnsi"/>
                <w:b/>
                <w:bCs/>
                <w:sz w:val="20"/>
                <w:szCs w:val="20"/>
              </w:rPr>
              <w:t>9</w:t>
            </w:r>
            <w:r>
              <w:rPr>
                <w:rFonts w:cstheme="minorHAnsi"/>
                <w:b/>
                <w:bCs/>
                <w:sz w:val="20"/>
                <w:szCs w:val="20"/>
              </w:rPr>
              <w:t>4</w:t>
            </w:r>
            <w:r w:rsidRPr="006A755F">
              <w:rPr>
                <w:rFonts w:cstheme="minorHAnsi"/>
                <w:b/>
                <w:bCs/>
                <w:sz w:val="20"/>
                <w:szCs w:val="20"/>
              </w:rPr>
              <w:t>,</w:t>
            </w:r>
            <w:r>
              <w:rPr>
                <w:rFonts w:cstheme="minorHAnsi"/>
                <w:b/>
                <w:bCs/>
                <w:sz w:val="20"/>
                <w:szCs w:val="20"/>
              </w:rPr>
              <w:t>3</w:t>
            </w:r>
          </w:p>
        </w:tc>
      </w:tr>
      <w:tr w:rsidR="00BF1EF5" w:rsidRPr="006A755F" w14:paraId="0631DF6D" w14:textId="77777777" w:rsidTr="008C5AA3">
        <w:trPr>
          <w:trHeight w:val="300"/>
        </w:trPr>
        <w:tc>
          <w:tcPr>
            <w:tcW w:w="2538"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tcPr>
          <w:p w14:paraId="48AD15C7" w14:textId="77777777" w:rsidR="00BF1EF5" w:rsidRPr="006A755F" w:rsidRDefault="00BF1EF5" w:rsidP="008C5AA3">
            <w:pPr>
              <w:spacing w:after="0" w:line="256" w:lineRule="auto"/>
              <w:rPr>
                <w:rFonts w:cstheme="minorHAnsi"/>
                <w:b/>
                <w:bCs/>
                <w:color w:val="2E74B5" w:themeColor="accent1" w:themeShade="BF"/>
                <w:sz w:val="20"/>
                <w:szCs w:val="20"/>
              </w:rPr>
            </w:pPr>
            <w:r w:rsidRPr="006A755F">
              <w:rPr>
                <w:rFonts w:cstheme="minorHAnsi"/>
                <w:b/>
                <w:bCs/>
                <w:color w:val="2E74B5" w:themeColor="accent1" w:themeShade="BF"/>
                <w:sz w:val="20"/>
                <w:szCs w:val="20"/>
              </w:rPr>
              <w:t>Neinvestiční transfery veřejným rozpočtům územní úrovně</w:t>
            </w:r>
            <w:r>
              <w:rPr>
                <w:rFonts w:cstheme="minorHAnsi"/>
                <w:b/>
                <w:bCs/>
                <w:color w:val="2E74B5" w:themeColor="accent1" w:themeShade="BF"/>
                <w:sz w:val="20"/>
                <w:szCs w:val="20"/>
              </w:rPr>
              <w:t xml:space="preserve"> </w:t>
            </w:r>
            <w:r w:rsidRPr="004A12C5">
              <w:rPr>
                <w:rFonts w:cstheme="minorHAnsi"/>
                <w:bCs/>
                <w:color w:val="2E74B5" w:themeColor="accent1" w:themeShade="BF"/>
                <w:sz w:val="20"/>
                <w:szCs w:val="20"/>
              </w:rPr>
              <w:t>(v tom:)</w:t>
            </w:r>
          </w:p>
        </w:tc>
        <w:tc>
          <w:tcPr>
            <w:tcW w:w="1268" w:type="dxa"/>
            <w:tcBorders>
              <w:top w:val="nil"/>
              <w:left w:val="nil"/>
              <w:bottom w:val="single" w:sz="4" w:space="0" w:color="auto"/>
              <w:right w:val="single" w:sz="4" w:space="0" w:color="auto"/>
            </w:tcBorders>
            <w:shd w:val="clear" w:color="auto" w:fill="auto"/>
            <w:noWrap/>
            <w:vAlign w:val="center"/>
          </w:tcPr>
          <w:p w14:paraId="332944D1" w14:textId="77777777" w:rsidR="00BF1EF5" w:rsidRPr="006A755F" w:rsidRDefault="00BF1EF5" w:rsidP="008C5AA3">
            <w:pPr>
              <w:spacing w:after="0" w:line="256" w:lineRule="auto"/>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3</w:t>
            </w:r>
            <w:r>
              <w:rPr>
                <w:rFonts w:cstheme="minorHAnsi"/>
                <w:b/>
                <w:bCs/>
                <w:color w:val="2E74B5" w:themeColor="accent1" w:themeShade="BF"/>
                <w:sz w:val="20"/>
                <w:szCs w:val="20"/>
              </w:rPr>
              <w:t> 301 945</w:t>
            </w:r>
          </w:p>
        </w:tc>
        <w:tc>
          <w:tcPr>
            <w:tcW w:w="1129" w:type="dxa"/>
            <w:tcBorders>
              <w:top w:val="nil"/>
              <w:left w:val="nil"/>
              <w:bottom w:val="single" w:sz="4" w:space="0" w:color="auto"/>
              <w:right w:val="single" w:sz="4" w:space="0" w:color="auto"/>
            </w:tcBorders>
            <w:shd w:val="clear" w:color="auto" w:fill="auto"/>
            <w:noWrap/>
            <w:vAlign w:val="center"/>
          </w:tcPr>
          <w:p w14:paraId="5141D161" w14:textId="77777777" w:rsidR="00BF1EF5" w:rsidRPr="006A755F" w:rsidRDefault="00BF1EF5" w:rsidP="008C5AA3">
            <w:pPr>
              <w:spacing w:after="0" w:line="256" w:lineRule="auto"/>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3</w:t>
            </w:r>
            <w:r>
              <w:rPr>
                <w:rFonts w:cstheme="minorHAnsi"/>
                <w:b/>
                <w:bCs/>
                <w:color w:val="2E74B5" w:themeColor="accent1" w:themeShade="BF"/>
                <w:sz w:val="20"/>
                <w:szCs w:val="20"/>
              </w:rPr>
              <w:t> 608 251</w:t>
            </w:r>
          </w:p>
        </w:tc>
        <w:tc>
          <w:tcPr>
            <w:tcW w:w="1299" w:type="dxa"/>
            <w:tcBorders>
              <w:top w:val="nil"/>
              <w:left w:val="nil"/>
              <w:bottom w:val="single" w:sz="4" w:space="0" w:color="auto"/>
              <w:right w:val="single" w:sz="4" w:space="0" w:color="auto"/>
            </w:tcBorders>
            <w:shd w:val="clear" w:color="auto" w:fill="auto"/>
            <w:noWrap/>
            <w:vAlign w:val="center"/>
          </w:tcPr>
          <w:p w14:paraId="650A4CB4" w14:textId="77777777" w:rsidR="00BF1EF5" w:rsidRPr="006A755F" w:rsidRDefault="00BF1EF5" w:rsidP="008C5AA3">
            <w:pPr>
              <w:spacing w:after="0" w:line="256" w:lineRule="auto"/>
              <w:jc w:val="right"/>
              <w:rPr>
                <w:rFonts w:cstheme="minorHAnsi"/>
                <w:b/>
                <w:bCs/>
                <w:color w:val="2E74B5" w:themeColor="accent1" w:themeShade="BF"/>
                <w:sz w:val="20"/>
                <w:szCs w:val="20"/>
              </w:rPr>
            </w:pPr>
            <w:r>
              <w:rPr>
                <w:rFonts w:cstheme="minorHAnsi"/>
                <w:b/>
                <w:bCs/>
                <w:color w:val="2E74B5" w:themeColor="accent1" w:themeShade="BF"/>
                <w:sz w:val="20"/>
                <w:szCs w:val="20"/>
              </w:rPr>
              <w:t>3 608 251</w:t>
            </w:r>
          </w:p>
        </w:tc>
        <w:tc>
          <w:tcPr>
            <w:tcW w:w="952" w:type="dxa"/>
            <w:tcBorders>
              <w:top w:val="nil"/>
              <w:left w:val="nil"/>
              <w:bottom w:val="single" w:sz="4" w:space="0" w:color="auto"/>
              <w:right w:val="single" w:sz="4" w:space="0" w:color="auto"/>
            </w:tcBorders>
            <w:shd w:val="clear" w:color="auto" w:fill="auto"/>
            <w:noWrap/>
            <w:vAlign w:val="center"/>
          </w:tcPr>
          <w:p w14:paraId="572D86C2" w14:textId="77777777" w:rsidR="00BF1EF5" w:rsidRPr="006A755F" w:rsidRDefault="00BF1EF5" w:rsidP="008C5AA3">
            <w:pPr>
              <w:spacing w:after="0"/>
              <w:jc w:val="right"/>
              <w:rPr>
                <w:rFonts w:cstheme="minorHAnsi"/>
                <w:b/>
                <w:color w:val="2E74B5" w:themeColor="accent1" w:themeShade="BF"/>
                <w:sz w:val="20"/>
                <w:szCs w:val="20"/>
              </w:rPr>
            </w:pPr>
            <w:r>
              <w:rPr>
                <w:rFonts w:cstheme="minorHAnsi"/>
                <w:b/>
                <w:color w:val="2E74B5" w:themeColor="accent1" w:themeShade="BF"/>
                <w:sz w:val="20"/>
                <w:szCs w:val="20"/>
              </w:rPr>
              <w:t>3 608 284</w:t>
            </w:r>
          </w:p>
        </w:tc>
        <w:tc>
          <w:tcPr>
            <w:tcW w:w="1148" w:type="dxa"/>
            <w:tcBorders>
              <w:top w:val="nil"/>
              <w:left w:val="nil"/>
              <w:bottom w:val="single" w:sz="4" w:space="0" w:color="auto"/>
              <w:right w:val="single" w:sz="4" w:space="0" w:color="auto"/>
            </w:tcBorders>
            <w:shd w:val="clear" w:color="auto" w:fill="auto"/>
            <w:noWrap/>
            <w:vAlign w:val="center"/>
          </w:tcPr>
          <w:p w14:paraId="08979380" w14:textId="77777777" w:rsidR="00BF1EF5" w:rsidRPr="006A755F" w:rsidRDefault="00BF1EF5" w:rsidP="008C5AA3">
            <w:pPr>
              <w:spacing w:after="0" w:line="256" w:lineRule="auto"/>
              <w:jc w:val="right"/>
              <w:rPr>
                <w:rFonts w:cstheme="minorHAnsi"/>
                <w:b/>
                <w:bCs/>
                <w:color w:val="2E74B5" w:themeColor="accent1" w:themeShade="BF"/>
                <w:sz w:val="20"/>
                <w:szCs w:val="20"/>
              </w:rPr>
            </w:pPr>
            <w:r w:rsidRPr="006A755F">
              <w:rPr>
                <w:rFonts w:cstheme="minorHAnsi"/>
                <w:b/>
                <w:bCs/>
                <w:color w:val="2E74B5" w:themeColor="accent1" w:themeShade="BF"/>
                <w:sz w:val="20"/>
                <w:szCs w:val="20"/>
              </w:rPr>
              <w:t>3</w:t>
            </w:r>
            <w:r>
              <w:rPr>
                <w:rFonts w:cstheme="minorHAnsi"/>
                <w:b/>
                <w:bCs/>
                <w:color w:val="2E74B5" w:themeColor="accent1" w:themeShade="BF"/>
                <w:sz w:val="20"/>
                <w:szCs w:val="20"/>
              </w:rPr>
              <w:t> 406 263</w:t>
            </w:r>
          </w:p>
        </w:tc>
        <w:tc>
          <w:tcPr>
            <w:tcW w:w="735" w:type="dxa"/>
            <w:tcBorders>
              <w:top w:val="nil"/>
              <w:left w:val="nil"/>
              <w:bottom w:val="single" w:sz="4" w:space="0" w:color="auto"/>
              <w:right w:val="single" w:sz="4" w:space="0" w:color="auto"/>
            </w:tcBorders>
            <w:shd w:val="clear" w:color="auto" w:fill="auto"/>
            <w:noWrap/>
            <w:vAlign w:val="center"/>
          </w:tcPr>
          <w:p w14:paraId="3A0252DE" w14:textId="77777777" w:rsidR="00BF1EF5" w:rsidRPr="006A755F" w:rsidRDefault="00BF1EF5" w:rsidP="008C5AA3">
            <w:pPr>
              <w:spacing w:after="0"/>
              <w:jc w:val="right"/>
              <w:rPr>
                <w:rFonts w:cstheme="minorHAnsi"/>
                <w:b/>
                <w:bCs/>
                <w:color w:val="2E74B5" w:themeColor="accent1" w:themeShade="BF"/>
                <w:sz w:val="20"/>
                <w:szCs w:val="20"/>
              </w:rPr>
            </w:pPr>
            <w:r>
              <w:rPr>
                <w:rFonts w:cstheme="minorHAnsi"/>
                <w:b/>
                <w:bCs/>
                <w:color w:val="2E74B5" w:themeColor="accent1" w:themeShade="BF"/>
                <w:sz w:val="20"/>
                <w:szCs w:val="20"/>
              </w:rPr>
              <w:t>103,2</w:t>
            </w:r>
          </w:p>
        </w:tc>
      </w:tr>
      <w:tr w:rsidR="00BF1EF5" w:rsidRPr="006A755F" w14:paraId="13C26C30" w14:textId="77777777" w:rsidTr="008C5AA3">
        <w:trPr>
          <w:trHeight w:val="300"/>
        </w:trPr>
        <w:tc>
          <w:tcPr>
            <w:tcW w:w="0" w:type="auto"/>
            <w:tcBorders>
              <w:top w:val="nil"/>
              <w:left w:val="single" w:sz="4" w:space="0" w:color="auto"/>
              <w:bottom w:val="single" w:sz="4" w:space="0" w:color="auto"/>
              <w:right w:val="nil"/>
            </w:tcBorders>
            <w:shd w:val="clear" w:color="auto" w:fill="auto"/>
            <w:noWrap/>
            <w:vAlign w:val="bottom"/>
          </w:tcPr>
          <w:p w14:paraId="425504BB" w14:textId="77777777" w:rsidR="00BF1EF5" w:rsidRPr="006A755F" w:rsidRDefault="00BF1EF5" w:rsidP="008C5AA3">
            <w:pPr>
              <w:spacing w:after="0" w:line="256" w:lineRule="auto"/>
              <w:rPr>
                <w:rFonts w:cstheme="minorHAnsi"/>
                <w:sz w:val="20"/>
                <w:szCs w:val="20"/>
              </w:rPr>
            </w:pPr>
            <w:r w:rsidRPr="006A755F">
              <w:rPr>
                <w:rFonts w:cstheme="minorHAnsi"/>
                <w:sz w:val="20"/>
                <w:szCs w:val="20"/>
              </w:rPr>
              <w:t> </w:t>
            </w:r>
          </w:p>
        </w:tc>
        <w:tc>
          <w:tcPr>
            <w:tcW w:w="2352" w:type="dxa"/>
            <w:tcBorders>
              <w:top w:val="nil"/>
              <w:left w:val="nil"/>
              <w:bottom w:val="single" w:sz="4" w:space="0" w:color="auto"/>
              <w:right w:val="single" w:sz="4" w:space="0" w:color="auto"/>
            </w:tcBorders>
            <w:shd w:val="clear" w:color="auto" w:fill="auto"/>
            <w:noWrap/>
            <w:vAlign w:val="bottom"/>
          </w:tcPr>
          <w:p w14:paraId="52A3533F" w14:textId="77777777" w:rsidR="00BF1EF5" w:rsidRPr="006A755F" w:rsidRDefault="00BF1EF5" w:rsidP="008C5AA3">
            <w:pPr>
              <w:spacing w:after="0" w:line="256" w:lineRule="auto"/>
              <w:rPr>
                <w:rFonts w:cstheme="minorHAnsi"/>
                <w:sz w:val="20"/>
                <w:szCs w:val="20"/>
              </w:rPr>
            </w:pPr>
            <w:r w:rsidRPr="006A755F">
              <w:rPr>
                <w:rFonts w:cstheme="minorHAnsi"/>
                <w:sz w:val="20"/>
                <w:szCs w:val="20"/>
              </w:rPr>
              <w:t>Obce</w:t>
            </w:r>
          </w:p>
        </w:tc>
        <w:tc>
          <w:tcPr>
            <w:tcW w:w="1268" w:type="dxa"/>
            <w:tcBorders>
              <w:top w:val="nil"/>
              <w:left w:val="nil"/>
              <w:bottom w:val="single" w:sz="4" w:space="0" w:color="auto"/>
              <w:right w:val="single" w:sz="4" w:space="0" w:color="auto"/>
            </w:tcBorders>
            <w:shd w:val="clear" w:color="auto" w:fill="auto"/>
            <w:noWrap/>
            <w:vAlign w:val="center"/>
          </w:tcPr>
          <w:p w14:paraId="5EBD8581" w14:textId="77777777" w:rsidR="00BF1EF5" w:rsidRPr="006A755F" w:rsidRDefault="00BF1EF5" w:rsidP="008C5AA3">
            <w:pPr>
              <w:spacing w:after="0" w:line="256" w:lineRule="auto"/>
              <w:jc w:val="right"/>
              <w:rPr>
                <w:rFonts w:cstheme="minorHAnsi"/>
                <w:sz w:val="20"/>
                <w:szCs w:val="20"/>
              </w:rPr>
            </w:pPr>
            <w:r w:rsidRPr="006A755F">
              <w:rPr>
                <w:rFonts w:cstheme="minorHAnsi"/>
                <w:sz w:val="20"/>
                <w:szCs w:val="20"/>
              </w:rPr>
              <w:t>28</w:t>
            </w:r>
            <w:r>
              <w:rPr>
                <w:rFonts w:cstheme="minorHAnsi"/>
                <w:sz w:val="20"/>
                <w:szCs w:val="20"/>
              </w:rPr>
              <w:t>3</w:t>
            </w:r>
            <w:r w:rsidRPr="006A755F">
              <w:rPr>
                <w:rFonts w:cstheme="minorHAnsi"/>
                <w:sz w:val="20"/>
                <w:szCs w:val="20"/>
              </w:rPr>
              <w:t xml:space="preserve"> </w:t>
            </w:r>
            <w:r>
              <w:rPr>
                <w:rFonts w:cstheme="minorHAnsi"/>
                <w:sz w:val="20"/>
                <w:szCs w:val="20"/>
              </w:rPr>
              <w:t>100</w:t>
            </w:r>
          </w:p>
        </w:tc>
        <w:tc>
          <w:tcPr>
            <w:tcW w:w="1129" w:type="dxa"/>
            <w:tcBorders>
              <w:top w:val="nil"/>
              <w:left w:val="nil"/>
              <w:bottom w:val="single" w:sz="4" w:space="0" w:color="auto"/>
              <w:right w:val="single" w:sz="4" w:space="0" w:color="auto"/>
            </w:tcBorders>
            <w:shd w:val="clear" w:color="auto" w:fill="auto"/>
            <w:noWrap/>
            <w:vAlign w:val="center"/>
          </w:tcPr>
          <w:p w14:paraId="27B79C1A" w14:textId="77777777" w:rsidR="00BF1EF5" w:rsidRPr="006A755F" w:rsidRDefault="00BF1EF5" w:rsidP="008C5AA3">
            <w:pPr>
              <w:spacing w:after="0" w:line="256" w:lineRule="auto"/>
              <w:jc w:val="right"/>
              <w:rPr>
                <w:rFonts w:cstheme="minorHAnsi"/>
                <w:sz w:val="20"/>
                <w:szCs w:val="20"/>
              </w:rPr>
            </w:pPr>
            <w:r>
              <w:rPr>
                <w:rFonts w:cstheme="minorHAnsi"/>
                <w:sz w:val="20"/>
                <w:szCs w:val="20"/>
              </w:rPr>
              <w:t>309 950</w:t>
            </w:r>
          </w:p>
        </w:tc>
        <w:tc>
          <w:tcPr>
            <w:tcW w:w="1299" w:type="dxa"/>
            <w:tcBorders>
              <w:top w:val="nil"/>
              <w:left w:val="nil"/>
              <w:bottom w:val="single" w:sz="4" w:space="0" w:color="auto"/>
              <w:right w:val="single" w:sz="4" w:space="0" w:color="auto"/>
            </w:tcBorders>
            <w:shd w:val="clear" w:color="auto" w:fill="auto"/>
            <w:noWrap/>
            <w:vAlign w:val="center"/>
          </w:tcPr>
          <w:p w14:paraId="49EC5D0C" w14:textId="77777777" w:rsidR="00BF1EF5" w:rsidRPr="006A755F" w:rsidRDefault="00BF1EF5" w:rsidP="008C5AA3">
            <w:pPr>
              <w:spacing w:after="0" w:line="256" w:lineRule="auto"/>
              <w:jc w:val="right"/>
              <w:rPr>
                <w:rFonts w:cstheme="minorHAnsi"/>
                <w:sz w:val="20"/>
                <w:szCs w:val="20"/>
              </w:rPr>
            </w:pPr>
            <w:r>
              <w:rPr>
                <w:rFonts w:cstheme="minorHAnsi"/>
                <w:sz w:val="20"/>
                <w:szCs w:val="20"/>
              </w:rPr>
              <w:t>309 950</w:t>
            </w:r>
          </w:p>
        </w:tc>
        <w:tc>
          <w:tcPr>
            <w:tcW w:w="952" w:type="dxa"/>
            <w:tcBorders>
              <w:top w:val="nil"/>
              <w:left w:val="nil"/>
              <w:bottom w:val="single" w:sz="4" w:space="0" w:color="auto"/>
              <w:right w:val="single" w:sz="4" w:space="0" w:color="auto"/>
            </w:tcBorders>
            <w:shd w:val="clear" w:color="auto" w:fill="auto"/>
            <w:noWrap/>
            <w:vAlign w:val="center"/>
          </w:tcPr>
          <w:p w14:paraId="0BBA79C4" w14:textId="77777777" w:rsidR="00BF1EF5" w:rsidRPr="006A755F" w:rsidRDefault="00BF1EF5" w:rsidP="008C5AA3">
            <w:pPr>
              <w:spacing w:after="0" w:line="256" w:lineRule="auto"/>
              <w:jc w:val="right"/>
              <w:rPr>
                <w:rFonts w:cstheme="minorHAnsi"/>
                <w:sz w:val="20"/>
                <w:szCs w:val="20"/>
              </w:rPr>
            </w:pPr>
            <w:r>
              <w:rPr>
                <w:rFonts w:cstheme="minorHAnsi"/>
                <w:sz w:val="20"/>
                <w:szCs w:val="20"/>
              </w:rPr>
              <w:t>309 950</w:t>
            </w:r>
          </w:p>
        </w:tc>
        <w:tc>
          <w:tcPr>
            <w:tcW w:w="1148" w:type="dxa"/>
            <w:tcBorders>
              <w:top w:val="nil"/>
              <w:left w:val="nil"/>
              <w:bottom w:val="single" w:sz="4" w:space="0" w:color="auto"/>
              <w:right w:val="single" w:sz="4" w:space="0" w:color="auto"/>
            </w:tcBorders>
            <w:shd w:val="clear" w:color="auto" w:fill="auto"/>
            <w:noWrap/>
            <w:vAlign w:val="center"/>
          </w:tcPr>
          <w:p w14:paraId="0BDE16F8" w14:textId="77777777" w:rsidR="00BF1EF5" w:rsidRPr="006A755F" w:rsidRDefault="00BF1EF5" w:rsidP="008C5AA3">
            <w:pPr>
              <w:spacing w:after="0"/>
              <w:jc w:val="right"/>
              <w:rPr>
                <w:rFonts w:cstheme="minorHAnsi"/>
                <w:color w:val="FF0000"/>
                <w:sz w:val="20"/>
                <w:szCs w:val="20"/>
              </w:rPr>
            </w:pPr>
            <w:r>
              <w:rPr>
                <w:rFonts w:cstheme="minorHAnsi"/>
                <w:sz w:val="20"/>
                <w:szCs w:val="20"/>
              </w:rPr>
              <w:t>292 758</w:t>
            </w:r>
          </w:p>
        </w:tc>
        <w:tc>
          <w:tcPr>
            <w:tcW w:w="735" w:type="dxa"/>
            <w:tcBorders>
              <w:top w:val="nil"/>
              <w:left w:val="nil"/>
              <w:bottom w:val="single" w:sz="4" w:space="0" w:color="auto"/>
              <w:right w:val="single" w:sz="4" w:space="0" w:color="auto"/>
            </w:tcBorders>
            <w:shd w:val="clear" w:color="auto" w:fill="auto"/>
            <w:noWrap/>
            <w:vAlign w:val="center"/>
          </w:tcPr>
          <w:p w14:paraId="6223D580" w14:textId="77777777" w:rsidR="00BF1EF5" w:rsidRPr="006A755F" w:rsidRDefault="00BF1EF5" w:rsidP="008C5AA3">
            <w:pPr>
              <w:spacing w:after="0"/>
              <w:jc w:val="right"/>
              <w:rPr>
                <w:rFonts w:cstheme="minorHAnsi"/>
                <w:color w:val="FF0000"/>
                <w:sz w:val="20"/>
                <w:szCs w:val="20"/>
              </w:rPr>
            </w:pPr>
            <w:r>
              <w:rPr>
                <w:rFonts w:cstheme="minorHAnsi"/>
                <w:sz w:val="20"/>
                <w:szCs w:val="20"/>
              </w:rPr>
              <w:t>103,4</w:t>
            </w:r>
          </w:p>
        </w:tc>
      </w:tr>
      <w:tr w:rsidR="00BF1EF5" w:rsidRPr="006A755F" w14:paraId="0621EDCC" w14:textId="77777777" w:rsidTr="008C5AA3">
        <w:trPr>
          <w:trHeight w:val="300"/>
        </w:trPr>
        <w:tc>
          <w:tcPr>
            <w:tcW w:w="0" w:type="auto"/>
            <w:tcBorders>
              <w:top w:val="nil"/>
              <w:left w:val="single" w:sz="4" w:space="0" w:color="auto"/>
              <w:bottom w:val="single" w:sz="4" w:space="0" w:color="auto"/>
              <w:right w:val="nil"/>
            </w:tcBorders>
            <w:shd w:val="clear" w:color="auto" w:fill="auto"/>
            <w:noWrap/>
            <w:vAlign w:val="bottom"/>
          </w:tcPr>
          <w:p w14:paraId="24BD3B5D" w14:textId="77777777" w:rsidR="00BF1EF5" w:rsidRPr="006A755F" w:rsidRDefault="00BF1EF5" w:rsidP="008C5AA3">
            <w:pPr>
              <w:spacing w:after="0"/>
              <w:rPr>
                <w:rFonts w:cstheme="minorHAnsi"/>
                <w:sz w:val="20"/>
                <w:szCs w:val="20"/>
              </w:rPr>
            </w:pPr>
          </w:p>
        </w:tc>
        <w:tc>
          <w:tcPr>
            <w:tcW w:w="2352" w:type="dxa"/>
            <w:tcBorders>
              <w:top w:val="nil"/>
              <w:left w:val="nil"/>
              <w:bottom w:val="single" w:sz="4" w:space="0" w:color="auto"/>
              <w:right w:val="single" w:sz="4" w:space="0" w:color="auto"/>
            </w:tcBorders>
            <w:shd w:val="clear" w:color="auto" w:fill="auto"/>
            <w:noWrap/>
            <w:vAlign w:val="bottom"/>
          </w:tcPr>
          <w:p w14:paraId="0A9B3508" w14:textId="77777777" w:rsidR="00BF1EF5" w:rsidRPr="006A755F" w:rsidRDefault="00BF1EF5" w:rsidP="008C5AA3">
            <w:pPr>
              <w:spacing w:after="0" w:line="256" w:lineRule="auto"/>
              <w:rPr>
                <w:rFonts w:cstheme="minorHAnsi"/>
                <w:sz w:val="20"/>
                <w:szCs w:val="20"/>
              </w:rPr>
            </w:pPr>
            <w:r w:rsidRPr="006A755F">
              <w:rPr>
                <w:rFonts w:cstheme="minorHAnsi"/>
                <w:sz w:val="20"/>
                <w:szCs w:val="20"/>
              </w:rPr>
              <w:t>Kraje</w:t>
            </w:r>
          </w:p>
        </w:tc>
        <w:tc>
          <w:tcPr>
            <w:tcW w:w="1268" w:type="dxa"/>
            <w:tcBorders>
              <w:top w:val="nil"/>
              <w:left w:val="nil"/>
              <w:bottom w:val="single" w:sz="4" w:space="0" w:color="auto"/>
              <w:right w:val="single" w:sz="4" w:space="0" w:color="auto"/>
            </w:tcBorders>
            <w:shd w:val="clear" w:color="auto" w:fill="auto"/>
            <w:noWrap/>
            <w:vAlign w:val="center"/>
          </w:tcPr>
          <w:p w14:paraId="7F4E2A00" w14:textId="77777777" w:rsidR="00BF1EF5" w:rsidRPr="006A755F" w:rsidRDefault="00BF1EF5" w:rsidP="008C5AA3">
            <w:pPr>
              <w:spacing w:after="0" w:line="256" w:lineRule="auto"/>
              <w:jc w:val="right"/>
              <w:rPr>
                <w:rFonts w:cstheme="minorHAnsi"/>
                <w:sz w:val="20"/>
                <w:szCs w:val="20"/>
              </w:rPr>
            </w:pPr>
            <w:r w:rsidRPr="006A755F">
              <w:rPr>
                <w:rFonts w:cstheme="minorHAnsi"/>
                <w:sz w:val="20"/>
                <w:szCs w:val="20"/>
              </w:rPr>
              <w:t>3</w:t>
            </w:r>
            <w:r>
              <w:rPr>
                <w:rFonts w:cstheme="minorHAnsi"/>
                <w:sz w:val="20"/>
                <w:szCs w:val="20"/>
              </w:rPr>
              <w:t> 018 845</w:t>
            </w:r>
          </w:p>
        </w:tc>
        <w:tc>
          <w:tcPr>
            <w:tcW w:w="1129" w:type="dxa"/>
            <w:tcBorders>
              <w:top w:val="nil"/>
              <w:left w:val="nil"/>
              <w:bottom w:val="single" w:sz="4" w:space="0" w:color="auto"/>
              <w:right w:val="single" w:sz="4" w:space="0" w:color="auto"/>
            </w:tcBorders>
            <w:shd w:val="clear" w:color="auto" w:fill="auto"/>
            <w:noWrap/>
            <w:vAlign w:val="center"/>
          </w:tcPr>
          <w:p w14:paraId="74AE47BE" w14:textId="77777777" w:rsidR="00BF1EF5" w:rsidRPr="006A755F" w:rsidRDefault="00BF1EF5" w:rsidP="008C5AA3">
            <w:pPr>
              <w:spacing w:after="0" w:line="256" w:lineRule="auto"/>
              <w:jc w:val="right"/>
              <w:rPr>
                <w:rFonts w:cstheme="minorHAnsi"/>
                <w:sz w:val="20"/>
                <w:szCs w:val="20"/>
              </w:rPr>
            </w:pPr>
            <w:r>
              <w:rPr>
                <w:rFonts w:cstheme="minorHAnsi"/>
                <w:sz w:val="20"/>
                <w:szCs w:val="20"/>
              </w:rPr>
              <w:t>3 298 301</w:t>
            </w:r>
          </w:p>
        </w:tc>
        <w:tc>
          <w:tcPr>
            <w:tcW w:w="1299" w:type="dxa"/>
            <w:tcBorders>
              <w:top w:val="nil"/>
              <w:left w:val="nil"/>
              <w:bottom w:val="single" w:sz="4" w:space="0" w:color="auto"/>
              <w:right w:val="single" w:sz="4" w:space="0" w:color="auto"/>
            </w:tcBorders>
            <w:shd w:val="clear" w:color="auto" w:fill="auto"/>
            <w:noWrap/>
            <w:vAlign w:val="center"/>
          </w:tcPr>
          <w:p w14:paraId="5D034D11" w14:textId="77777777" w:rsidR="00BF1EF5" w:rsidRPr="006A755F" w:rsidRDefault="00BF1EF5" w:rsidP="008C5AA3">
            <w:pPr>
              <w:spacing w:after="0" w:line="256" w:lineRule="auto"/>
              <w:jc w:val="right"/>
              <w:rPr>
                <w:rFonts w:cstheme="minorHAnsi"/>
                <w:sz w:val="20"/>
                <w:szCs w:val="20"/>
              </w:rPr>
            </w:pPr>
            <w:r w:rsidRPr="006A755F">
              <w:rPr>
                <w:rFonts w:cstheme="minorHAnsi"/>
                <w:sz w:val="20"/>
                <w:szCs w:val="20"/>
              </w:rPr>
              <w:t>3</w:t>
            </w:r>
            <w:r>
              <w:rPr>
                <w:rFonts w:cstheme="minorHAnsi"/>
                <w:sz w:val="20"/>
                <w:szCs w:val="20"/>
              </w:rPr>
              <w:t> 298 301</w:t>
            </w:r>
          </w:p>
        </w:tc>
        <w:tc>
          <w:tcPr>
            <w:tcW w:w="952" w:type="dxa"/>
            <w:tcBorders>
              <w:top w:val="nil"/>
              <w:left w:val="nil"/>
              <w:bottom w:val="single" w:sz="4" w:space="0" w:color="auto"/>
              <w:right w:val="single" w:sz="4" w:space="0" w:color="auto"/>
            </w:tcBorders>
            <w:shd w:val="clear" w:color="auto" w:fill="auto"/>
            <w:noWrap/>
            <w:vAlign w:val="center"/>
          </w:tcPr>
          <w:p w14:paraId="62B0678E" w14:textId="77777777" w:rsidR="00BF1EF5" w:rsidRPr="006A755F" w:rsidRDefault="00BF1EF5" w:rsidP="008C5AA3">
            <w:pPr>
              <w:spacing w:after="0" w:line="256" w:lineRule="auto"/>
              <w:jc w:val="right"/>
              <w:rPr>
                <w:rFonts w:cstheme="minorHAnsi"/>
                <w:sz w:val="20"/>
                <w:szCs w:val="20"/>
              </w:rPr>
            </w:pPr>
            <w:r w:rsidRPr="006A755F">
              <w:rPr>
                <w:rFonts w:cstheme="minorHAnsi"/>
                <w:sz w:val="20"/>
                <w:szCs w:val="20"/>
              </w:rPr>
              <w:t>3</w:t>
            </w:r>
            <w:r>
              <w:rPr>
                <w:rFonts w:cstheme="minorHAnsi"/>
                <w:sz w:val="20"/>
                <w:szCs w:val="20"/>
              </w:rPr>
              <w:t> 298 334</w:t>
            </w:r>
          </w:p>
        </w:tc>
        <w:tc>
          <w:tcPr>
            <w:tcW w:w="1148" w:type="dxa"/>
            <w:tcBorders>
              <w:top w:val="nil"/>
              <w:left w:val="nil"/>
              <w:bottom w:val="single" w:sz="4" w:space="0" w:color="auto"/>
              <w:right w:val="single" w:sz="4" w:space="0" w:color="auto"/>
            </w:tcBorders>
            <w:shd w:val="clear" w:color="auto" w:fill="auto"/>
            <w:noWrap/>
            <w:vAlign w:val="center"/>
          </w:tcPr>
          <w:p w14:paraId="24819F62" w14:textId="77777777" w:rsidR="00BF1EF5" w:rsidRPr="006A755F" w:rsidRDefault="00BF1EF5" w:rsidP="008C5AA3">
            <w:pPr>
              <w:spacing w:after="0" w:line="256" w:lineRule="auto"/>
              <w:jc w:val="right"/>
              <w:rPr>
                <w:rFonts w:cstheme="minorHAnsi"/>
                <w:sz w:val="20"/>
                <w:szCs w:val="20"/>
              </w:rPr>
            </w:pPr>
            <w:r w:rsidRPr="006A755F">
              <w:rPr>
                <w:rFonts w:cstheme="minorHAnsi"/>
                <w:sz w:val="20"/>
                <w:szCs w:val="20"/>
              </w:rPr>
              <w:t>3</w:t>
            </w:r>
            <w:r>
              <w:rPr>
                <w:rFonts w:cstheme="minorHAnsi"/>
                <w:sz w:val="20"/>
                <w:szCs w:val="20"/>
              </w:rPr>
              <w:t> 113 505</w:t>
            </w:r>
          </w:p>
        </w:tc>
        <w:tc>
          <w:tcPr>
            <w:tcW w:w="735" w:type="dxa"/>
            <w:tcBorders>
              <w:top w:val="nil"/>
              <w:left w:val="nil"/>
              <w:bottom w:val="single" w:sz="4" w:space="0" w:color="auto"/>
              <w:right w:val="single" w:sz="4" w:space="0" w:color="auto"/>
            </w:tcBorders>
            <w:shd w:val="clear" w:color="auto" w:fill="auto"/>
            <w:noWrap/>
            <w:vAlign w:val="center"/>
          </w:tcPr>
          <w:p w14:paraId="1BCC428D" w14:textId="77777777" w:rsidR="00BF1EF5" w:rsidRPr="006A755F" w:rsidRDefault="00BF1EF5" w:rsidP="008C5AA3">
            <w:pPr>
              <w:spacing w:after="0"/>
              <w:jc w:val="right"/>
              <w:rPr>
                <w:rFonts w:cstheme="minorHAnsi"/>
                <w:sz w:val="20"/>
                <w:szCs w:val="20"/>
              </w:rPr>
            </w:pPr>
            <w:r>
              <w:rPr>
                <w:rFonts w:cstheme="minorHAnsi"/>
                <w:sz w:val="20"/>
                <w:szCs w:val="20"/>
              </w:rPr>
              <w:t>103,1</w:t>
            </w:r>
          </w:p>
        </w:tc>
      </w:tr>
      <w:tr w:rsidR="00BF1EF5" w:rsidRPr="006A755F" w14:paraId="4C675B65" w14:textId="77777777" w:rsidTr="008C5AA3">
        <w:trPr>
          <w:trHeight w:val="300"/>
        </w:trPr>
        <w:tc>
          <w:tcPr>
            <w:tcW w:w="253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EAC6507" w14:textId="77777777" w:rsidR="00BF1EF5" w:rsidRPr="006A755F" w:rsidRDefault="00BF1EF5" w:rsidP="008C5AA3">
            <w:pPr>
              <w:spacing w:after="0" w:line="256" w:lineRule="auto"/>
              <w:rPr>
                <w:rFonts w:cstheme="minorHAnsi"/>
                <w:b/>
                <w:color w:val="2E74B5" w:themeColor="accent1" w:themeShade="BF"/>
                <w:sz w:val="20"/>
                <w:szCs w:val="20"/>
              </w:rPr>
            </w:pPr>
            <w:r w:rsidRPr="006A755F">
              <w:rPr>
                <w:rFonts w:cstheme="minorHAnsi"/>
                <w:b/>
                <w:color w:val="2E74B5" w:themeColor="accent1" w:themeShade="BF"/>
                <w:sz w:val="20"/>
                <w:szCs w:val="20"/>
              </w:rPr>
              <w:t>Investiční transfery veřejným rozpočtům územní úrovně</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16ACA70B" w14:textId="77777777" w:rsidR="00BF1EF5" w:rsidRPr="006A755F" w:rsidRDefault="00BF1EF5" w:rsidP="008C5AA3">
            <w:pPr>
              <w:spacing w:after="0" w:line="256" w:lineRule="auto"/>
              <w:jc w:val="right"/>
              <w:rPr>
                <w:rFonts w:cstheme="minorHAnsi"/>
                <w:b/>
                <w:color w:val="2E74B5" w:themeColor="accent1" w:themeShade="BF"/>
                <w:sz w:val="20"/>
                <w:szCs w:val="20"/>
              </w:rPr>
            </w:pPr>
            <w:r w:rsidRPr="006A755F">
              <w:rPr>
                <w:rFonts w:cstheme="minorHAnsi"/>
                <w:b/>
                <w:color w:val="2E74B5" w:themeColor="accent1" w:themeShade="BF"/>
                <w:sz w:val="20"/>
                <w:szCs w:val="20"/>
              </w:rPr>
              <w:t>0</w:t>
            </w:r>
          </w:p>
        </w:tc>
        <w:tc>
          <w:tcPr>
            <w:tcW w:w="1129" w:type="dxa"/>
            <w:tcBorders>
              <w:top w:val="single" w:sz="4" w:space="0" w:color="auto"/>
              <w:left w:val="nil"/>
              <w:bottom w:val="single" w:sz="4" w:space="0" w:color="auto"/>
              <w:right w:val="single" w:sz="4" w:space="0" w:color="auto"/>
            </w:tcBorders>
            <w:shd w:val="clear" w:color="auto" w:fill="auto"/>
            <w:noWrap/>
            <w:vAlign w:val="center"/>
          </w:tcPr>
          <w:p w14:paraId="7891213E" w14:textId="77777777" w:rsidR="00BF1EF5" w:rsidRPr="006A755F" w:rsidRDefault="00BF1EF5" w:rsidP="008C5AA3">
            <w:pPr>
              <w:spacing w:after="0" w:line="256" w:lineRule="auto"/>
              <w:jc w:val="right"/>
              <w:rPr>
                <w:rFonts w:cstheme="minorHAnsi"/>
                <w:b/>
                <w:color w:val="2E74B5" w:themeColor="accent1" w:themeShade="BF"/>
                <w:sz w:val="20"/>
                <w:szCs w:val="20"/>
              </w:rPr>
            </w:pPr>
            <w:r w:rsidRPr="006A755F">
              <w:rPr>
                <w:rFonts w:cstheme="minorHAnsi"/>
                <w:b/>
                <w:color w:val="2E74B5" w:themeColor="accent1" w:themeShade="BF"/>
                <w:sz w:val="20"/>
                <w:szCs w:val="20"/>
              </w:rPr>
              <w:t>0</w:t>
            </w:r>
          </w:p>
        </w:tc>
        <w:tc>
          <w:tcPr>
            <w:tcW w:w="1299" w:type="dxa"/>
            <w:tcBorders>
              <w:top w:val="single" w:sz="4" w:space="0" w:color="auto"/>
              <w:left w:val="nil"/>
              <w:bottom w:val="single" w:sz="4" w:space="0" w:color="auto"/>
              <w:right w:val="single" w:sz="4" w:space="0" w:color="auto"/>
            </w:tcBorders>
            <w:shd w:val="clear" w:color="auto" w:fill="auto"/>
            <w:noWrap/>
            <w:vAlign w:val="center"/>
          </w:tcPr>
          <w:p w14:paraId="72B535F7" w14:textId="77777777" w:rsidR="00BF1EF5" w:rsidRPr="006A755F" w:rsidRDefault="00BF1EF5" w:rsidP="008C5AA3">
            <w:pPr>
              <w:spacing w:after="0" w:line="256" w:lineRule="auto"/>
              <w:jc w:val="right"/>
              <w:rPr>
                <w:rFonts w:cstheme="minorHAnsi"/>
                <w:b/>
                <w:color w:val="2E74B5" w:themeColor="accent1" w:themeShade="BF"/>
                <w:sz w:val="20"/>
                <w:szCs w:val="20"/>
              </w:rPr>
            </w:pPr>
            <w:r w:rsidRPr="006A755F">
              <w:rPr>
                <w:rFonts w:cstheme="minorHAnsi"/>
                <w:b/>
                <w:color w:val="2E74B5" w:themeColor="accent1" w:themeShade="BF"/>
                <w:sz w:val="20"/>
                <w:szCs w:val="20"/>
              </w:rPr>
              <w:t>0</w:t>
            </w:r>
          </w:p>
        </w:tc>
        <w:tc>
          <w:tcPr>
            <w:tcW w:w="952" w:type="dxa"/>
            <w:tcBorders>
              <w:top w:val="single" w:sz="4" w:space="0" w:color="auto"/>
              <w:left w:val="nil"/>
              <w:bottom w:val="single" w:sz="4" w:space="0" w:color="auto"/>
              <w:right w:val="single" w:sz="4" w:space="0" w:color="auto"/>
            </w:tcBorders>
            <w:shd w:val="clear" w:color="auto" w:fill="auto"/>
            <w:noWrap/>
            <w:vAlign w:val="center"/>
          </w:tcPr>
          <w:p w14:paraId="2CE43B0B" w14:textId="77777777" w:rsidR="00BF1EF5" w:rsidRPr="006A755F" w:rsidRDefault="00BF1EF5" w:rsidP="008C5AA3">
            <w:pPr>
              <w:spacing w:after="0" w:line="256" w:lineRule="auto"/>
              <w:jc w:val="right"/>
              <w:rPr>
                <w:rFonts w:cstheme="minorHAnsi"/>
                <w:b/>
                <w:color w:val="2E74B5" w:themeColor="accent1" w:themeShade="BF"/>
                <w:sz w:val="20"/>
                <w:szCs w:val="20"/>
              </w:rPr>
            </w:pPr>
            <w:r>
              <w:rPr>
                <w:rFonts w:cstheme="minorHAnsi"/>
                <w:b/>
                <w:color w:val="2E74B5" w:themeColor="accent1" w:themeShade="BF"/>
                <w:sz w:val="20"/>
                <w:szCs w:val="20"/>
              </w:rPr>
              <w:t>3 009 515</w:t>
            </w:r>
          </w:p>
        </w:tc>
        <w:tc>
          <w:tcPr>
            <w:tcW w:w="1148" w:type="dxa"/>
            <w:tcBorders>
              <w:top w:val="single" w:sz="4" w:space="0" w:color="auto"/>
              <w:left w:val="nil"/>
              <w:bottom w:val="single" w:sz="4" w:space="0" w:color="auto"/>
              <w:right w:val="single" w:sz="4" w:space="0" w:color="auto"/>
            </w:tcBorders>
            <w:shd w:val="clear" w:color="auto" w:fill="auto"/>
            <w:noWrap/>
            <w:vAlign w:val="center"/>
          </w:tcPr>
          <w:p w14:paraId="4AB9E7A4" w14:textId="77777777" w:rsidR="00BF1EF5" w:rsidRPr="006A755F" w:rsidRDefault="00BF1EF5" w:rsidP="008C5AA3">
            <w:pPr>
              <w:spacing w:after="0" w:line="256" w:lineRule="auto"/>
              <w:jc w:val="right"/>
              <w:rPr>
                <w:rFonts w:cstheme="minorHAnsi"/>
                <w:b/>
                <w:color w:val="2E74B5" w:themeColor="accent1" w:themeShade="BF"/>
                <w:sz w:val="20"/>
                <w:szCs w:val="20"/>
              </w:rPr>
            </w:pPr>
            <w:r>
              <w:rPr>
                <w:rFonts w:cstheme="minorHAnsi"/>
                <w:b/>
                <w:color w:val="2E74B5" w:themeColor="accent1" w:themeShade="BF"/>
                <w:sz w:val="20"/>
                <w:szCs w:val="20"/>
              </w:rPr>
              <w:t>3 009 515</w:t>
            </w:r>
          </w:p>
        </w:tc>
        <w:tc>
          <w:tcPr>
            <w:tcW w:w="735" w:type="dxa"/>
            <w:tcBorders>
              <w:top w:val="single" w:sz="4" w:space="0" w:color="auto"/>
              <w:left w:val="nil"/>
              <w:bottom w:val="single" w:sz="4" w:space="0" w:color="auto"/>
              <w:right w:val="single" w:sz="4" w:space="0" w:color="auto"/>
            </w:tcBorders>
            <w:shd w:val="clear" w:color="auto" w:fill="auto"/>
            <w:noWrap/>
            <w:vAlign w:val="center"/>
          </w:tcPr>
          <w:p w14:paraId="58F865D4" w14:textId="77777777" w:rsidR="00BF1EF5" w:rsidRPr="006A755F" w:rsidRDefault="00BF1EF5" w:rsidP="008C5AA3">
            <w:pPr>
              <w:spacing w:after="0"/>
              <w:jc w:val="right"/>
              <w:rPr>
                <w:rFonts w:cstheme="minorHAnsi"/>
                <w:b/>
                <w:color w:val="2E74B5" w:themeColor="accent1" w:themeShade="BF"/>
                <w:sz w:val="20"/>
                <w:szCs w:val="20"/>
              </w:rPr>
            </w:pPr>
            <w:r w:rsidRPr="006A755F">
              <w:rPr>
                <w:rFonts w:cstheme="minorHAnsi"/>
                <w:b/>
                <w:color w:val="2E74B5" w:themeColor="accent1" w:themeShade="BF"/>
                <w:sz w:val="20"/>
                <w:szCs w:val="20"/>
              </w:rPr>
              <w:t>x</w:t>
            </w:r>
          </w:p>
        </w:tc>
      </w:tr>
    </w:tbl>
    <w:p w14:paraId="11BC17F4" w14:textId="062F6EC1" w:rsidR="00C95EBE" w:rsidRPr="006B6D61" w:rsidRDefault="00C95EBE" w:rsidP="008A0E44">
      <w:pPr>
        <w:pStyle w:val="KOMnadp4"/>
      </w:pPr>
      <w:r w:rsidRPr="006B6D61">
        <w:t>Neinvestiční transfery veřejným rozpočtům územní úrovně</w:t>
      </w:r>
    </w:p>
    <w:p w14:paraId="503CF31F" w14:textId="77777777" w:rsidR="00F26C62" w:rsidRPr="006A755F" w:rsidRDefault="00F26C62" w:rsidP="00F26C62">
      <w:pPr>
        <w:pStyle w:val="KOMtext"/>
      </w:pPr>
      <w:r w:rsidRPr="006A755F">
        <w:t>Schválený rozpočet ve výši 3</w:t>
      </w:r>
      <w:r>
        <w:t> 608 251</w:t>
      </w:r>
      <w:r w:rsidRPr="006A755F">
        <w:t xml:space="preserve"> tis. Kč nebyl upravován.</w:t>
      </w:r>
    </w:p>
    <w:p w14:paraId="4D47CC3F" w14:textId="77777777" w:rsidR="00F26C62" w:rsidRPr="006A755F" w:rsidRDefault="00F26C62" w:rsidP="00F26C62">
      <w:pPr>
        <w:pStyle w:val="KOMnadp5"/>
        <w:spacing w:before="120" w:after="120"/>
        <w:ind w:hanging="357"/>
      </w:pPr>
      <w:r w:rsidRPr="006A755F">
        <w:t>Financování závazků veřejné služby v železniční dopravě</w:t>
      </w:r>
    </w:p>
    <w:p w14:paraId="56735A83" w14:textId="77777777" w:rsidR="00F26C62" w:rsidRPr="006A755F" w:rsidRDefault="00F26C62" w:rsidP="00F26C62">
      <w:pPr>
        <w:pStyle w:val="KOMtext"/>
        <w:spacing w:before="160" w:after="160"/>
      </w:pPr>
      <w:r w:rsidRPr="006A755F">
        <w:t xml:space="preserve">Ministerstvo dopravy poskytuje v souladu s usnesením vlády ze dne 31. srpna 2009 </w:t>
      </w:r>
      <w:r w:rsidRPr="006A755F">
        <w:br/>
        <w:t>č. 1132 a usnesením vlády ze dne 9. března 2016 č. 191 krajům a hl. m. Praze dotace na úhradu prokazatelné ztráty ze závazku veřejné služby ve veřejné drážní osobní dopravě. Stát touto dotací doplňuje finanční zdroje krajů a hl. m. Prahy na úhradu nákladů dopravních výkonů, které si jednotlivé kraje a hl. m. Praha objednaly. Dotace je poskytnuta k zajištění odpovídající dopravní obslužnost krajů a hl. m. Prahy železniční dopravou na regionální úrovni.</w:t>
      </w:r>
    </w:p>
    <w:p w14:paraId="22643453" w14:textId="77777777" w:rsidR="00F26C62" w:rsidRPr="006A755F" w:rsidRDefault="00F26C62" w:rsidP="00F26C62">
      <w:pPr>
        <w:pStyle w:val="KOMtext"/>
        <w:spacing w:before="160" w:after="160"/>
        <w:rPr>
          <w:color w:val="FF0000"/>
        </w:rPr>
      </w:pPr>
      <w:r w:rsidRPr="006A755F">
        <w:lastRenderedPageBreak/>
        <w:t xml:space="preserve">Financování dopravní obslužnosti veřejnou železniční osobní dopravou krajů </w:t>
      </w:r>
      <w:r w:rsidRPr="006A755F">
        <w:br/>
        <w:t>a hl. m. Prahy probíhá v závislosti na termínu předložení žádosti o poskytnutí dotace ze strany krajů a hl. m. Prahy. Schválený rozpočet ve výši 3</w:t>
      </w:r>
      <w:r>
        <w:t> 608 251</w:t>
      </w:r>
      <w:r w:rsidRPr="006A755F">
        <w:t xml:space="preserve"> tis. Kč byl k 31. 12. 202</w:t>
      </w:r>
      <w:r>
        <w:t>3</w:t>
      </w:r>
      <w:r w:rsidRPr="006A755F">
        <w:t xml:space="preserve"> čerpán ve výši 3</w:t>
      </w:r>
      <w:r>
        <w:t> 406 230</w:t>
      </w:r>
      <w:r w:rsidRPr="006A755F">
        <w:t xml:space="preserve"> tis. Kč, v tomto členění:</w:t>
      </w:r>
    </w:p>
    <w:tbl>
      <w:tblPr>
        <w:tblW w:w="5340" w:type="dxa"/>
        <w:jc w:val="center"/>
        <w:tblCellMar>
          <w:left w:w="70" w:type="dxa"/>
          <w:right w:w="70" w:type="dxa"/>
        </w:tblCellMar>
        <w:tblLook w:val="04A0" w:firstRow="1" w:lastRow="0" w:firstColumn="1" w:lastColumn="0" w:noHBand="0" w:noVBand="1"/>
      </w:tblPr>
      <w:tblGrid>
        <w:gridCol w:w="3440"/>
        <w:gridCol w:w="1900"/>
      </w:tblGrid>
      <w:tr w:rsidR="00F26C62" w:rsidRPr="006A755F" w14:paraId="0EB6E17B" w14:textId="77777777" w:rsidTr="00DC5C0C">
        <w:trPr>
          <w:trHeight w:val="630"/>
          <w:tblHeader/>
          <w:jc w:val="center"/>
        </w:trPr>
        <w:tc>
          <w:tcPr>
            <w:tcW w:w="3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9381ABB" w14:textId="77777777" w:rsidR="00F26C62" w:rsidRPr="006A755F" w:rsidRDefault="00F26C62" w:rsidP="00DC5C0C">
            <w:pPr>
              <w:spacing w:line="256" w:lineRule="auto"/>
              <w:jc w:val="center"/>
              <w:rPr>
                <w:b/>
              </w:rPr>
            </w:pPr>
            <w:r w:rsidRPr="006A755F">
              <w:rPr>
                <w:b/>
              </w:rPr>
              <w:t>Kraj</w:t>
            </w:r>
          </w:p>
        </w:tc>
        <w:tc>
          <w:tcPr>
            <w:tcW w:w="19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8667C2E" w14:textId="77777777" w:rsidR="00F26C62" w:rsidRPr="006A755F" w:rsidRDefault="00F26C62" w:rsidP="00DC5C0C">
            <w:pPr>
              <w:spacing w:after="0" w:line="257" w:lineRule="auto"/>
              <w:jc w:val="center"/>
              <w:rPr>
                <w:b/>
              </w:rPr>
            </w:pPr>
            <w:r w:rsidRPr="006A755F">
              <w:rPr>
                <w:b/>
              </w:rPr>
              <w:t>Uvolněná částka</w:t>
            </w:r>
            <w:r w:rsidRPr="006A755F">
              <w:t xml:space="preserve"> (v tis. Kč)</w:t>
            </w:r>
          </w:p>
        </w:tc>
      </w:tr>
      <w:tr w:rsidR="00F26C62" w:rsidRPr="006A755F" w14:paraId="5BB2A04A"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18F4ED66" w14:textId="77777777" w:rsidR="00F26C62" w:rsidRPr="006A755F" w:rsidRDefault="00F26C62" w:rsidP="00DC5C0C">
            <w:pPr>
              <w:spacing w:after="80" w:line="257" w:lineRule="auto"/>
            </w:pPr>
            <w:r w:rsidRPr="006A755F">
              <w:t>Středočeský</w:t>
            </w:r>
          </w:p>
        </w:tc>
        <w:tc>
          <w:tcPr>
            <w:tcW w:w="1900" w:type="dxa"/>
            <w:tcBorders>
              <w:top w:val="nil"/>
              <w:left w:val="nil"/>
              <w:bottom w:val="single" w:sz="4" w:space="0" w:color="auto"/>
              <w:right w:val="single" w:sz="4" w:space="0" w:color="auto"/>
            </w:tcBorders>
            <w:noWrap/>
            <w:vAlign w:val="center"/>
            <w:hideMark/>
          </w:tcPr>
          <w:p w14:paraId="07442100" w14:textId="77777777" w:rsidR="00F26C62" w:rsidRPr="006A755F" w:rsidRDefault="00F26C62" w:rsidP="00DC5C0C">
            <w:pPr>
              <w:spacing w:after="80" w:line="257" w:lineRule="auto"/>
              <w:jc w:val="right"/>
            </w:pPr>
            <w:r>
              <w:t>558 432</w:t>
            </w:r>
          </w:p>
        </w:tc>
      </w:tr>
      <w:tr w:rsidR="00F26C62" w:rsidRPr="006A755F" w14:paraId="1EB45243"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6EBC25ED" w14:textId="77777777" w:rsidR="00F26C62" w:rsidRPr="006A755F" w:rsidRDefault="00F26C62" w:rsidP="00DC5C0C">
            <w:pPr>
              <w:spacing w:after="80" w:line="257" w:lineRule="auto"/>
            </w:pPr>
            <w:r w:rsidRPr="006A755F">
              <w:t>Jihočeský</w:t>
            </w:r>
          </w:p>
        </w:tc>
        <w:tc>
          <w:tcPr>
            <w:tcW w:w="1900" w:type="dxa"/>
            <w:tcBorders>
              <w:top w:val="single" w:sz="4" w:space="0" w:color="auto"/>
              <w:left w:val="nil"/>
              <w:bottom w:val="single" w:sz="4" w:space="0" w:color="auto"/>
              <w:right w:val="single" w:sz="4" w:space="0" w:color="auto"/>
            </w:tcBorders>
            <w:noWrap/>
            <w:vAlign w:val="center"/>
            <w:hideMark/>
          </w:tcPr>
          <w:p w14:paraId="4307D648" w14:textId="77777777" w:rsidR="00F26C62" w:rsidRPr="006A755F" w:rsidRDefault="00F26C62" w:rsidP="00DC5C0C">
            <w:pPr>
              <w:spacing w:after="80" w:line="257" w:lineRule="auto"/>
              <w:jc w:val="right"/>
            </w:pPr>
            <w:r>
              <w:t>205 637</w:t>
            </w:r>
          </w:p>
        </w:tc>
      </w:tr>
      <w:tr w:rsidR="00F26C62" w:rsidRPr="006A755F" w14:paraId="60D592FF"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06C4A079" w14:textId="77777777" w:rsidR="00F26C62" w:rsidRPr="006A755F" w:rsidRDefault="00F26C62" w:rsidP="00DC5C0C">
            <w:pPr>
              <w:spacing w:after="80" w:line="257" w:lineRule="auto"/>
            </w:pPr>
            <w:r w:rsidRPr="006A755F">
              <w:t>Plzeňský</w:t>
            </w:r>
          </w:p>
        </w:tc>
        <w:tc>
          <w:tcPr>
            <w:tcW w:w="1900" w:type="dxa"/>
            <w:tcBorders>
              <w:top w:val="single" w:sz="4" w:space="0" w:color="auto"/>
              <w:left w:val="nil"/>
              <w:bottom w:val="single" w:sz="4" w:space="0" w:color="auto"/>
              <w:right w:val="single" w:sz="4" w:space="0" w:color="auto"/>
            </w:tcBorders>
            <w:noWrap/>
            <w:vAlign w:val="center"/>
            <w:hideMark/>
          </w:tcPr>
          <w:p w14:paraId="404CE40D" w14:textId="77777777" w:rsidR="00F26C62" w:rsidRPr="006A755F" w:rsidRDefault="00F26C62" w:rsidP="00DC5C0C">
            <w:pPr>
              <w:spacing w:after="80" w:line="257" w:lineRule="auto"/>
              <w:jc w:val="right"/>
            </w:pPr>
            <w:r>
              <w:t>222 476</w:t>
            </w:r>
          </w:p>
        </w:tc>
      </w:tr>
      <w:tr w:rsidR="00F26C62" w:rsidRPr="006A755F" w14:paraId="618529B6"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7C753D64" w14:textId="77777777" w:rsidR="00F26C62" w:rsidRPr="006A755F" w:rsidRDefault="00F26C62" w:rsidP="00DC5C0C">
            <w:pPr>
              <w:spacing w:after="80" w:line="257" w:lineRule="auto"/>
            </w:pPr>
            <w:r w:rsidRPr="006A755F">
              <w:t>Karlovarský</w:t>
            </w:r>
          </w:p>
        </w:tc>
        <w:tc>
          <w:tcPr>
            <w:tcW w:w="1900" w:type="dxa"/>
            <w:tcBorders>
              <w:top w:val="single" w:sz="4" w:space="0" w:color="auto"/>
              <w:left w:val="nil"/>
              <w:bottom w:val="single" w:sz="4" w:space="0" w:color="auto"/>
              <w:right w:val="single" w:sz="4" w:space="0" w:color="auto"/>
            </w:tcBorders>
            <w:noWrap/>
            <w:vAlign w:val="center"/>
            <w:hideMark/>
          </w:tcPr>
          <w:p w14:paraId="38C10FBA" w14:textId="77777777" w:rsidR="00F26C62" w:rsidRPr="006A755F" w:rsidRDefault="00F26C62" w:rsidP="00DC5C0C">
            <w:pPr>
              <w:spacing w:after="80" w:line="257" w:lineRule="auto"/>
              <w:jc w:val="right"/>
            </w:pPr>
            <w:r>
              <w:t>112 274</w:t>
            </w:r>
          </w:p>
        </w:tc>
      </w:tr>
      <w:tr w:rsidR="00F26C62" w:rsidRPr="006A755F" w14:paraId="5848DA5A"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4C9E0E79" w14:textId="77777777" w:rsidR="00F26C62" w:rsidRPr="006A755F" w:rsidRDefault="00F26C62" w:rsidP="00DC5C0C">
            <w:pPr>
              <w:spacing w:after="80" w:line="257" w:lineRule="auto"/>
            </w:pPr>
            <w:r w:rsidRPr="006A755F">
              <w:t>Ústecký</w:t>
            </w:r>
          </w:p>
        </w:tc>
        <w:tc>
          <w:tcPr>
            <w:tcW w:w="1900" w:type="dxa"/>
            <w:tcBorders>
              <w:top w:val="single" w:sz="4" w:space="0" w:color="auto"/>
              <w:left w:val="nil"/>
              <w:bottom w:val="single" w:sz="4" w:space="0" w:color="auto"/>
              <w:right w:val="single" w:sz="4" w:space="0" w:color="auto"/>
            </w:tcBorders>
            <w:noWrap/>
            <w:vAlign w:val="center"/>
            <w:hideMark/>
          </w:tcPr>
          <w:p w14:paraId="669E0C40" w14:textId="77777777" w:rsidR="00F26C62" w:rsidRPr="006A755F" w:rsidRDefault="00F26C62" w:rsidP="00DC5C0C">
            <w:pPr>
              <w:spacing w:after="80" w:line="257" w:lineRule="auto"/>
              <w:jc w:val="right"/>
            </w:pPr>
            <w:r>
              <w:t>290 135</w:t>
            </w:r>
          </w:p>
        </w:tc>
      </w:tr>
      <w:tr w:rsidR="00F26C62" w:rsidRPr="006A755F" w14:paraId="558BA916"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7DED8622" w14:textId="77777777" w:rsidR="00F26C62" w:rsidRPr="006A755F" w:rsidRDefault="00F26C62" w:rsidP="00DC5C0C">
            <w:pPr>
              <w:spacing w:after="80" w:line="257" w:lineRule="auto"/>
            </w:pPr>
            <w:r w:rsidRPr="006A755F">
              <w:t>Liberecký</w:t>
            </w:r>
          </w:p>
        </w:tc>
        <w:tc>
          <w:tcPr>
            <w:tcW w:w="1900" w:type="dxa"/>
            <w:tcBorders>
              <w:top w:val="single" w:sz="4" w:space="0" w:color="auto"/>
              <w:left w:val="nil"/>
              <w:bottom w:val="single" w:sz="4" w:space="0" w:color="auto"/>
              <w:right w:val="single" w:sz="4" w:space="0" w:color="auto"/>
            </w:tcBorders>
            <w:noWrap/>
            <w:vAlign w:val="center"/>
            <w:hideMark/>
          </w:tcPr>
          <w:p w14:paraId="1C3FC595" w14:textId="77777777" w:rsidR="00F26C62" w:rsidRPr="006A755F" w:rsidRDefault="00F26C62" w:rsidP="00DC5C0C">
            <w:pPr>
              <w:spacing w:after="80" w:line="257" w:lineRule="auto"/>
              <w:jc w:val="right"/>
            </w:pPr>
            <w:r>
              <w:t>132 780</w:t>
            </w:r>
          </w:p>
        </w:tc>
      </w:tr>
      <w:tr w:rsidR="00F26C62" w:rsidRPr="006A755F" w14:paraId="72763B3C"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69E2A787" w14:textId="77777777" w:rsidR="00F26C62" w:rsidRPr="006A755F" w:rsidRDefault="00F26C62" w:rsidP="00DC5C0C">
            <w:pPr>
              <w:spacing w:after="80" w:line="257" w:lineRule="auto"/>
            </w:pPr>
            <w:r w:rsidRPr="006A755F">
              <w:t>Královéhradecký</w:t>
            </w:r>
          </w:p>
        </w:tc>
        <w:tc>
          <w:tcPr>
            <w:tcW w:w="1900" w:type="dxa"/>
            <w:tcBorders>
              <w:top w:val="single" w:sz="4" w:space="0" w:color="auto"/>
              <w:left w:val="nil"/>
              <w:bottom w:val="single" w:sz="4" w:space="0" w:color="auto"/>
              <w:right w:val="single" w:sz="4" w:space="0" w:color="auto"/>
            </w:tcBorders>
            <w:noWrap/>
            <w:vAlign w:val="center"/>
          </w:tcPr>
          <w:p w14:paraId="3741CD85" w14:textId="77777777" w:rsidR="00F26C62" w:rsidRPr="006A755F" w:rsidRDefault="00F26C62" w:rsidP="00DC5C0C">
            <w:pPr>
              <w:spacing w:after="80" w:line="257" w:lineRule="auto"/>
              <w:jc w:val="right"/>
            </w:pPr>
            <w:r>
              <w:t>211 110</w:t>
            </w:r>
          </w:p>
        </w:tc>
      </w:tr>
      <w:tr w:rsidR="00F26C62" w:rsidRPr="006A755F" w14:paraId="04D1E13D"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3CCB576C" w14:textId="77777777" w:rsidR="00F26C62" w:rsidRPr="006A755F" w:rsidRDefault="00F26C62" w:rsidP="00DC5C0C">
            <w:pPr>
              <w:spacing w:after="80" w:line="257" w:lineRule="auto"/>
            </w:pPr>
            <w:r w:rsidRPr="006A755F">
              <w:t>Pardubický</w:t>
            </w:r>
          </w:p>
        </w:tc>
        <w:tc>
          <w:tcPr>
            <w:tcW w:w="1900" w:type="dxa"/>
            <w:tcBorders>
              <w:top w:val="single" w:sz="4" w:space="0" w:color="auto"/>
              <w:left w:val="nil"/>
              <w:bottom w:val="single" w:sz="4" w:space="0" w:color="auto"/>
              <w:right w:val="single" w:sz="4" w:space="0" w:color="auto"/>
            </w:tcBorders>
            <w:noWrap/>
            <w:vAlign w:val="center"/>
            <w:hideMark/>
          </w:tcPr>
          <w:p w14:paraId="5FE58FFE" w14:textId="77777777" w:rsidR="00F26C62" w:rsidRPr="006A755F" w:rsidRDefault="00F26C62" w:rsidP="00DC5C0C">
            <w:pPr>
              <w:spacing w:after="80" w:line="257" w:lineRule="auto"/>
              <w:jc w:val="right"/>
            </w:pPr>
            <w:r>
              <w:t>175 498</w:t>
            </w:r>
          </w:p>
        </w:tc>
      </w:tr>
      <w:tr w:rsidR="00F26C62" w:rsidRPr="006A755F" w14:paraId="33517052"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02BA8C19" w14:textId="77777777" w:rsidR="00F26C62" w:rsidRPr="006A755F" w:rsidRDefault="00F26C62" w:rsidP="00DC5C0C">
            <w:pPr>
              <w:spacing w:after="80" w:line="257" w:lineRule="auto"/>
            </w:pPr>
            <w:r w:rsidRPr="006A755F">
              <w:t>Vysočina</w:t>
            </w:r>
          </w:p>
        </w:tc>
        <w:tc>
          <w:tcPr>
            <w:tcW w:w="1900" w:type="dxa"/>
            <w:tcBorders>
              <w:top w:val="single" w:sz="4" w:space="0" w:color="auto"/>
              <w:left w:val="nil"/>
              <w:bottom w:val="single" w:sz="4" w:space="0" w:color="auto"/>
              <w:right w:val="single" w:sz="4" w:space="0" w:color="auto"/>
            </w:tcBorders>
            <w:noWrap/>
            <w:vAlign w:val="center"/>
          </w:tcPr>
          <w:p w14:paraId="499D51A1" w14:textId="77777777" w:rsidR="00F26C62" w:rsidRPr="006A755F" w:rsidRDefault="00F26C62" w:rsidP="00DC5C0C">
            <w:pPr>
              <w:spacing w:after="80" w:line="257" w:lineRule="auto"/>
              <w:jc w:val="right"/>
            </w:pPr>
            <w:r>
              <w:t>152 098</w:t>
            </w:r>
          </w:p>
        </w:tc>
      </w:tr>
      <w:tr w:rsidR="00F26C62" w:rsidRPr="006A755F" w14:paraId="53F07501"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564EDAAC" w14:textId="77777777" w:rsidR="00F26C62" w:rsidRPr="006A755F" w:rsidRDefault="00F26C62" w:rsidP="00DC5C0C">
            <w:pPr>
              <w:spacing w:after="80" w:line="257" w:lineRule="auto"/>
            </w:pPr>
            <w:r w:rsidRPr="006A755F">
              <w:t>Jihomoravský</w:t>
            </w:r>
          </w:p>
        </w:tc>
        <w:tc>
          <w:tcPr>
            <w:tcW w:w="1900" w:type="dxa"/>
            <w:tcBorders>
              <w:top w:val="single" w:sz="4" w:space="0" w:color="auto"/>
              <w:left w:val="nil"/>
              <w:bottom w:val="single" w:sz="4" w:space="0" w:color="auto"/>
              <w:right w:val="single" w:sz="4" w:space="0" w:color="auto"/>
            </w:tcBorders>
            <w:noWrap/>
            <w:vAlign w:val="center"/>
            <w:hideMark/>
          </w:tcPr>
          <w:p w14:paraId="2A27CD01" w14:textId="77777777" w:rsidR="00F26C62" w:rsidRPr="006A755F" w:rsidRDefault="00F26C62" w:rsidP="00DC5C0C">
            <w:pPr>
              <w:spacing w:after="80" w:line="257" w:lineRule="auto"/>
              <w:jc w:val="right"/>
            </w:pPr>
            <w:r>
              <w:t>334 535</w:t>
            </w:r>
          </w:p>
        </w:tc>
      </w:tr>
      <w:tr w:rsidR="00F26C62" w:rsidRPr="006A755F" w14:paraId="75BAAE42"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4AC598CE" w14:textId="77777777" w:rsidR="00F26C62" w:rsidRPr="006A755F" w:rsidRDefault="00F26C62" w:rsidP="00DC5C0C">
            <w:pPr>
              <w:spacing w:after="80" w:line="257" w:lineRule="auto"/>
            </w:pPr>
            <w:r w:rsidRPr="006A755F">
              <w:t>Olomoucký</w:t>
            </w:r>
          </w:p>
        </w:tc>
        <w:tc>
          <w:tcPr>
            <w:tcW w:w="1900" w:type="dxa"/>
            <w:tcBorders>
              <w:top w:val="single" w:sz="4" w:space="0" w:color="auto"/>
              <w:left w:val="nil"/>
              <w:bottom w:val="single" w:sz="4" w:space="0" w:color="auto"/>
              <w:right w:val="single" w:sz="4" w:space="0" w:color="auto"/>
            </w:tcBorders>
            <w:noWrap/>
            <w:vAlign w:val="center"/>
            <w:hideMark/>
          </w:tcPr>
          <w:p w14:paraId="1983F0D4" w14:textId="77777777" w:rsidR="00F26C62" w:rsidRPr="006A755F" w:rsidRDefault="00F26C62" w:rsidP="00DC5C0C">
            <w:pPr>
              <w:spacing w:after="80" w:line="257" w:lineRule="auto"/>
              <w:jc w:val="right"/>
            </w:pPr>
            <w:r>
              <w:t>229 752</w:t>
            </w:r>
          </w:p>
        </w:tc>
      </w:tr>
      <w:tr w:rsidR="00F26C62" w:rsidRPr="006A755F" w14:paraId="3C45F58C" w14:textId="77777777" w:rsidTr="00DC5C0C">
        <w:trPr>
          <w:trHeight w:val="315"/>
          <w:tblHeader/>
          <w:jc w:val="center"/>
        </w:trPr>
        <w:tc>
          <w:tcPr>
            <w:tcW w:w="3440" w:type="dxa"/>
            <w:tcBorders>
              <w:top w:val="single" w:sz="4" w:space="0" w:color="auto"/>
              <w:left w:val="single" w:sz="4" w:space="0" w:color="auto"/>
              <w:bottom w:val="single" w:sz="4" w:space="0" w:color="auto"/>
              <w:right w:val="single" w:sz="4" w:space="0" w:color="auto"/>
            </w:tcBorders>
            <w:noWrap/>
            <w:vAlign w:val="bottom"/>
            <w:hideMark/>
          </w:tcPr>
          <w:p w14:paraId="15BC117D" w14:textId="77777777" w:rsidR="00F26C62" w:rsidRPr="006A755F" w:rsidRDefault="00F26C62" w:rsidP="00DC5C0C">
            <w:pPr>
              <w:spacing w:after="80" w:line="257" w:lineRule="auto"/>
            </w:pPr>
            <w:r w:rsidRPr="006A755F">
              <w:t>Zlínský</w:t>
            </w:r>
          </w:p>
        </w:tc>
        <w:tc>
          <w:tcPr>
            <w:tcW w:w="1900" w:type="dxa"/>
            <w:tcBorders>
              <w:top w:val="single" w:sz="4" w:space="0" w:color="auto"/>
              <w:left w:val="nil"/>
              <w:bottom w:val="single" w:sz="4" w:space="0" w:color="auto"/>
              <w:right w:val="single" w:sz="4" w:space="0" w:color="auto"/>
            </w:tcBorders>
            <w:noWrap/>
            <w:vAlign w:val="center"/>
            <w:hideMark/>
          </w:tcPr>
          <w:p w14:paraId="6AF7B775" w14:textId="77777777" w:rsidR="00F26C62" w:rsidRPr="006A755F" w:rsidRDefault="00F26C62" w:rsidP="00DC5C0C">
            <w:pPr>
              <w:spacing w:after="80" w:line="257" w:lineRule="auto"/>
              <w:jc w:val="right"/>
            </w:pPr>
            <w:r>
              <w:t>144 656</w:t>
            </w:r>
          </w:p>
        </w:tc>
      </w:tr>
      <w:tr w:rsidR="00F26C62" w:rsidRPr="006A755F" w14:paraId="2DD55398" w14:textId="77777777" w:rsidTr="00DC5C0C">
        <w:trPr>
          <w:trHeight w:val="315"/>
          <w:tblHeader/>
          <w:jc w:val="center"/>
        </w:trPr>
        <w:tc>
          <w:tcPr>
            <w:tcW w:w="3440" w:type="dxa"/>
            <w:tcBorders>
              <w:top w:val="single" w:sz="4" w:space="0" w:color="auto"/>
              <w:left w:val="single" w:sz="4" w:space="0" w:color="auto"/>
              <w:bottom w:val="single" w:sz="4" w:space="0" w:color="auto"/>
              <w:right w:val="single" w:sz="4" w:space="0" w:color="auto"/>
            </w:tcBorders>
            <w:noWrap/>
            <w:vAlign w:val="bottom"/>
            <w:hideMark/>
          </w:tcPr>
          <w:p w14:paraId="62E9C104" w14:textId="77777777" w:rsidR="00F26C62" w:rsidRPr="006A755F" w:rsidRDefault="00F26C62" w:rsidP="00DC5C0C">
            <w:pPr>
              <w:spacing w:after="80" w:line="257" w:lineRule="auto"/>
            </w:pPr>
            <w:r w:rsidRPr="006A755F">
              <w:t>Moravskoslezský</w:t>
            </w:r>
          </w:p>
        </w:tc>
        <w:tc>
          <w:tcPr>
            <w:tcW w:w="1900" w:type="dxa"/>
            <w:tcBorders>
              <w:top w:val="single" w:sz="4" w:space="0" w:color="auto"/>
              <w:left w:val="nil"/>
              <w:bottom w:val="single" w:sz="4" w:space="0" w:color="auto"/>
              <w:right w:val="single" w:sz="4" w:space="0" w:color="auto"/>
            </w:tcBorders>
            <w:noWrap/>
            <w:vAlign w:val="center"/>
            <w:hideMark/>
          </w:tcPr>
          <w:p w14:paraId="3C9EA965" w14:textId="77777777" w:rsidR="00F26C62" w:rsidRPr="006A755F" w:rsidRDefault="00F26C62" w:rsidP="00DC5C0C">
            <w:pPr>
              <w:spacing w:after="80" w:line="257" w:lineRule="auto"/>
              <w:jc w:val="right"/>
            </w:pPr>
            <w:r>
              <w:t>344 089</w:t>
            </w:r>
          </w:p>
        </w:tc>
      </w:tr>
      <w:tr w:rsidR="00F26C62" w:rsidRPr="006A755F" w14:paraId="4D301D9E"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6BF4C821" w14:textId="77777777" w:rsidR="00F26C62" w:rsidRPr="006A755F" w:rsidRDefault="00F26C62" w:rsidP="00DC5C0C">
            <w:pPr>
              <w:spacing w:after="80" w:line="257" w:lineRule="auto"/>
              <w:rPr>
                <w:b/>
              </w:rPr>
            </w:pPr>
            <w:r w:rsidRPr="006A755F">
              <w:rPr>
                <w:b/>
              </w:rPr>
              <w:t xml:space="preserve">C e l k e m </w:t>
            </w:r>
            <w:r>
              <w:rPr>
                <w:b/>
              </w:rPr>
              <w:t xml:space="preserve">  </w:t>
            </w:r>
            <w:r w:rsidRPr="006A755F">
              <w:rPr>
                <w:b/>
              </w:rPr>
              <w:t>k r a j e</w:t>
            </w:r>
          </w:p>
        </w:tc>
        <w:tc>
          <w:tcPr>
            <w:tcW w:w="1900" w:type="dxa"/>
            <w:tcBorders>
              <w:top w:val="single" w:sz="4" w:space="0" w:color="auto"/>
              <w:left w:val="nil"/>
              <w:bottom w:val="single" w:sz="4" w:space="0" w:color="auto"/>
              <w:right w:val="single" w:sz="4" w:space="0" w:color="auto"/>
            </w:tcBorders>
            <w:noWrap/>
            <w:vAlign w:val="center"/>
            <w:hideMark/>
          </w:tcPr>
          <w:p w14:paraId="28AE98FE" w14:textId="77777777" w:rsidR="00F26C62" w:rsidRPr="006A755F" w:rsidRDefault="00F26C62" w:rsidP="00DC5C0C">
            <w:pPr>
              <w:spacing w:after="80" w:line="257" w:lineRule="auto"/>
              <w:jc w:val="right"/>
              <w:rPr>
                <w:b/>
              </w:rPr>
            </w:pPr>
            <w:r w:rsidRPr="006A755F">
              <w:rPr>
                <w:b/>
              </w:rPr>
              <w:t>3</w:t>
            </w:r>
            <w:r>
              <w:rPr>
                <w:b/>
              </w:rPr>
              <w:t> 113 472</w:t>
            </w:r>
          </w:p>
        </w:tc>
      </w:tr>
      <w:tr w:rsidR="00F26C62" w:rsidRPr="006A755F" w14:paraId="26C8C201" w14:textId="77777777" w:rsidTr="00DC5C0C">
        <w:trPr>
          <w:trHeight w:val="162"/>
          <w:tblHeader/>
          <w:jc w:val="center"/>
        </w:trPr>
        <w:tc>
          <w:tcPr>
            <w:tcW w:w="344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49ED0BF7" w14:textId="77777777" w:rsidR="00F26C62" w:rsidRPr="004A12C5" w:rsidRDefault="00F26C62" w:rsidP="00DC5C0C">
            <w:pPr>
              <w:spacing w:after="80" w:line="257" w:lineRule="auto"/>
              <w:rPr>
                <w:color w:val="FF0000"/>
                <w:sz w:val="12"/>
                <w:szCs w:val="12"/>
              </w:rPr>
            </w:pPr>
            <w:r w:rsidRPr="004A12C5">
              <w:rPr>
                <w:color w:val="FF0000"/>
                <w:sz w:val="12"/>
                <w:szCs w:val="12"/>
              </w:rPr>
              <w:t> </w:t>
            </w:r>
          </w:p>
        </w:tc>
        <w:tc>
          <w:tcPr>
            <w:tcW w:w="190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5F0ED35" w14:textId="77777777" w:rsidR="00F26C62" w:rsidRPr="004A12C5" w:rsidRDefault="00F26C62" w:rsidP="00DC5C0C">
            <w:pPr>
              <w:spacing w:after="80" w:line="257" w:lineRule="auto"/>
              <w:rPr>
                <w:color w:val="FF0000"/>
                <w:sz w:val="12"/>
                <w:szCs w:val="12"/>
              </w:rPr>
            </w:pPr>
            <w:r w:rsidRPr="004A12C5">
              <w:rPr>
                <w:color w:val="FF0000"/>
                <w:sz w:val="12"/>
                <w:szCs w:val="12"/>
              </w:rPr>
              <w:t> </w:t>
            </w:r>
          </w:p>
        </w:tc>
      </w:tr>
      <w:tr w:rsidR="00F26C62" w:rsidRPr="006A755F" w14:paraId="4D71E3F6"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7EC7593B" w14:textId="77777777" w:rsidR="00F26C62" w:rsidRPr="006A755F" w:rsidRDefault="00F26C62" w:rsidP="00DC5C0C">
            <w:pPr>
              <w:spacing w:after="80" w:line="257" w:lineRule="auto"/>
            </w:pPr>
            <w:r w:rsidRPr="006A755F">
              <w:t>Praha</w:t>
            </w:r>
          </w:p>
        </w:tc>
        <w:tc>
          <w:tcPr>
            <w:tcW w:w="1900" w:type="dxa"/>
            <w:tcBorders>
              <w:top w:val="single" w:sz="4" w:space="0" w:color="auto"/>
              <w:left w:val="nil"/>
              <w:bottom w:val="single" w:sz="4" w:space="0" w:color="auto"/>
              <w:right w:val="single" w:sz="4" w:space="0" w:color="auto"/>
            </w:tcBorders>
            <w:noWrap/>
            <w:vAlign w:val="center"/>
            <w:hideMark/>
          </w:tcPr>
          <w:p w14:paraId="40B72777" w14:textId="77777777" w:rsidR="00F26C62" w:rsidRPr="006A755F" w:rsidRDefault="00F26C62" w:rsidP="00DC5C0C">
            <w:pPr>
              <w:spacing w:after="80" w:line="257" w:lineRule="auto"/>
              <w:jc w:val="right"/>
            </w:pPr>
            <w:r>
              <w:t>292 758</w:t>
            </w:r>
          </w:p>
        </w:tc>
      </w:tr>
      <w:tr w:rsidR="00F26C62" w:rsidRPr="006A755F" w14:paraId="13F3E8B8" w14:textId="77777777" w:rsidTr="00DC5C0C">
        <w:trPr>
          <w:trHeight w:val="315"/>
          <w:tblHeader/>
          <w:jc w:val="center"/>
        </w:trPr>
        <w:tc>
          <w:tcPr>
            <w:tcW w:w="3440" w:type="dxa"/>
            <w:tcBorders>
              <w:top w:val="nil"/>
              <w:left w:val="single" w:sz="4" w:space="0" w:color="auto"/>
              <w:bottom w:val="single" w:sz="4" w:space="0" w:color="auto"/>
              <w:right w:val="single" w:sz="4" w:space="0" w:color="auto"/>
            </w:tcBorders>
            <w:noWrap/>
            <w:vAlign w:val="bottom"/>
            <w:hideMark/>
          </w:tcPr>
          <w:p w14:paraId="25432524" w14:textId="77777777" w:rsidR="00F26C62" w:rsidRPr="006A755F" w:rsidRDefault="00F26C62" w:rsidP="00DC5C0C">
            <w:pPr>
              <w:spacing w:after="80" w:line="257" w:lineRule="auto"/>
              <w:rPr>
                <w:b/>
              </w:rPr>
            </w:pPr>
            <w:r w:rsidRPr="006A755F">
              <w:rPr>
                <w:b/>
              </w:rPr>
              <w:t xml:space="preserve">C e l k e m </w:t>
            </w:r>
          </w:p>
        </w:tc>
        <w:tc>
          <w:tcPr>
            <w:tcW w:w="1900" w:type="dxa"/>
            <w:tcBorders>
              <w:top w:val="single" w:sz="4" w:space="0" w:color="auto"/>
              <w:left w:val="nil"/>
              <w:bottom w:val="single" w:sz="8" w:space="0" w:color="auto"/>
              <w:right w:val="single" w:sz="4" w:space="0" w:color="auto"/>
            </w:tcBorders>
            <w:noWrap/>
            <w:vAlign w:val="center"/>
            <w:hideMark/>
          </w:tcPr>
          <w:p w14:paraId="1BF4A894" w14:textId="77777777" w:rsidR="00F26C62" w:rsidRPr="006A755F" w:rsidRDefault="00F26C62" w:rsidP="00DC5C0C">
            <w:pPr>
              <w:spacing w:after="80" w:line="257" w:lineRule="auto"/>
              <w:jc w:val="right"/>
              <w:rPr>
                <w:b/>
              </w:rPr>
            </w:pPr>
            <w:r w:rsidRPr="006A755F">
              <w:rPr>
                <w:b/>
              </w:rPr>
              <w:t>3</w:t>
            </w:r>
            <w:r>
              <w:rPr>
                <w:b/>
              </w:rPr>
              <w:t> 406 230</w:t>
            </w:r>
          </w:p>
        </w:tc>
      </w:tr>
    </w:tbl>
    <w:p w14:paraId="0F33A21B" w14:textId="77777777" w:rsidR="00F26C62" w:rsidRPr="006A755F" w:rsidRDefault="00F26C62" w:rsidP="00F26C62">
      <w:pPr>
        <w:pStyle w:val="KOMnadp5"/>
        <w:ind w:hanging="357"/>
      </w:pPr>
      <w:r w:rsidRPr="006A755F">
        <w:t>Program 127 6</w:t>
      </w:r>
      <w:r>
        <w:t>5</w:t>
      </w:r>
      <w:r w:rsidRPr="006A755F">
        <w:t xml:space="preserve"> </w:t>
      </w:r>
      <w:r>
        <w:t>Pořízení a modernizace železničních kolejových vozidel</w:t>
      </w:r>
      <w:r w:rsidRPr="006A755F">
        <w:t xml:space="preserve"> </w:t>
      </w:r>
    </w:p>
    <w:p w14:paraId="5710519D" w14:textId="77777777" w:rsidR="00995D43" w:rsidRDefault="00F26C62" w:rsidP="003F0A7C">
      <w:pPr>
        <w:pStyle w:val="KOMtext"/>
      </w:pPr>
      <w:r>
        <w:t xml:space="preserve">Program je určen pro implementaci projektů zaměřených na podporu pořízení železničních kolejových vozidel v rámci specifického cíle 1.5 OPD 2014+. Finanční prostředky ve výši </w:t>
      </w:r>
      <w:r>
        <w:br/>
        <w:t>33 tis. Kč byly využity na publicitu v rámci pořízení nových železničních elektrických jednotek do majetku Jihomoravského kraje. Jednalo se v plné výši o podíl EU a nároky.</w:t>
      </w:r>
    </w:p>
    <w:p w14:paraId="662F4039" w14:textId="41734F2E" w:rsidR="00F63D2C" w:rsidRPr="006B6D61" w:rsidRDefault="00995D43" w:rsidP="00995D43">
      <w:pPr>
        <w:pStyle w:val="KOMnadp4"/>
      </w:pPr>
      <w:r>
        <w:t xml:space="preserve"> </w:t>
      </w:r>
      <w:r w:rsidR="00ED4537" w:rsidRPr="006B6D61">
        <w:t>Investiční transfery veřejným rozpočtům územní úrovně</w:t>
      </w:r>
    </w:p>
    <w:p w14:paraId="024A5FC8" w14:textId="412A2537" w:rsidR="00F63D2C" w:rsidRPr="006B6D61" w:rsidRDefault="00F63D2C">
      <w:pPr>
        <w:pStyle w:val="KOMtext"/>
        <w:rPr>
          <w:rFonts w:eastAsiaTheme="majorEastAsia"/>
        </w:rPr>
      </w:pPr>
      <w:r w:rsidRPr="006B6D61">
        <w:rPr>
          <w:rFonts w:eastAsiaTheme="majorEastAsia"/>
        </w:rPr>
        <w:t>Program 127 65 Pořízení a modernizace železničních kolejových vozidel byl určen pro implementaci projektů zaměřených na podporu pořízení železničních kolejových vozidel             v rámci specifického cíle 1.5 OPD 2014-2020. Program byl zaměřen na podporu dopravní obslužnosti na území České republiky formou zvýšení konkurenceschopnosti železniční dopravy.  Schváleným rozpočtem pro rok 2023 nebyla na investiční transfery programu vyčleněna žádná částka. Do financování potřeb programu byly zapojeny nároky (prostředky EU).</w:t>
      </w:r>
    </w:p>
    <w:p w14:paraId="482DCF98" w14:textId="795A1A70" w:rsidR="00C95EBE" w:rsidRPr="006B6D61" w:rsidRDefault="00F63D2C">
      <w:pPr>
        <w:pStyle w:val="KOMtext"/>
      </w:pPr>
      <w:r w:rsidRPr="006B6D61">
        <w:rPr>
          <w:rFonts w:eastAsiaTheme="majorEastAsia"/>
        </w:rPr>
        <w:lastRenderedPageBreak/>
        <w:t>Na pořízení 36 kusů moderních elektrických jednotek do majetku Jihomoravského kraje byla Jihomoravskému kraji poskytnuta dotace ve výši 3 009 515 tis. Kč. K 31.12.2023 byla vyčleněná částka plně vyčerpána.</w:t>
      </w:r>
    </w:p>
    <w:p w14:paraId="4CC7F740" w14:textId="155B077C" w:rsidR="00663216" w:rsidRPr="006B6D61" w:rsidRDefault="00342109">
      <w:pPr>
        <w:pStyle w:val="KOMNadp1"/>
      </w:pPr>
      <w:bookmarkStart w:id="1114" w:name="_Toc128660467"/>
      <w:bookmarkStart w:id="1115" w:name="_Toc128660765"/>
      <w:bookmarkStart w:id="1116" w:name="_Toc128660982"/>
      <w:bookmarkStart w:id="1117" w:name="_Toc128661197"/>
      <w:bookmarkStart w:id="1118" w:name="_Toc128661412"/>
      <w:bookmarkStart w:id="1119" w:name="_Toc128666870"/>
      <w:bookmarkStart w:id="1120" w:name="_Toc128667102"/>
      <w:bookmarkStart w:id="1121" w:name="_Toc128670372"/>
      <w:bookmarkStart w:id="1122" w:name="_Toc128660468"/>
      <w:bookmarkStart w:id="1123" w:name="_Toc128660766"/>
      <w:bookmarkStart w:id="1124" w:name="_Toc128660983"/>
      <w:bookmarkStart w:id="1125" w:name="_Toc128661198"/>
      <w:bookmarkStart w:id="1126" w:name="_Toc128661413"/>
      <w:bookmarkStart w:id="1127" w:name="_Toc128666871"/>
      <w:bookmarkStart w:id="1128" w:name="_Toc128667103"/>
      <w:bookmarkStart w:id="1129" w:name="_Toc128670373"/>
      <w:bookmarkStart w:id="1130" w:name="_Toc128660469"/>
      <w:bookmarkStart w:id="1131" w:name="_Toc128660767"/>
      <w:bookmarkStart w:id="1132" w:name="_Toc128660984"/>
      <w:bookmarkStart w:id="1133" w:name="_Toc128661199"/>
      <w:bookmarkStart w:id="1134" w:name="_Toc128661414"/>
      <w:bookmarkStart w:id="1135" w:name="_Toc128666872"/>
      <w:bookmarkStart w:id="1136" w:name="_Toc128667104"/>
      <w:bookmarkStart w:id="1137" w:name="_Toc128670374"/>
      <w:bookmarkStart w:id="1138" w:name="_Toc128660472"/>
      <w:bookmarkStart w:id="1139" w:name="_Toc128660770"/>
      <w:bookmarkStart w:id="1140" w:name="_Toc128660987"/>
      <w:bookmarkStart w:id="1141" w:name="_Toc128661202"/>
      <w:bookmarkStart w:id="1142" w:name="_Toc128661417"/>
      <w:bookmarkStart w:id="1143" w:name="_Toc128666875"/>
      <w:bookmarkStart w:id="1144" w:name="_Toc128667107"/>
      <w:bookmarkStart w:id="1145" w:name="_Toc128670377"/>
      <w:bookmarkStart w:id="1146" w:name="_Toc128660482"/>
      <w:bookmarkStart w:id="1147" w:name="_Toc128660780"/>
      <w:bookmarkStart w:id="1148" w:name="_Toc128660997"/>
      <w:bookmarkStart w:id="1149" w:name="_Toc128661212"/>
      <w:bookmarkStart w:id="1150" w:name="_Toc128661427"/>
      <w:bookmarkStart w:id="1151" w:name="_Toc128666885"/>
      <w:bookmarkStart w:id="1152" w:name="_Toc128667117"/>
      <w:bookmarkStart w:id="1153" w:name="_Toc128670387"/>
      <w:bookmarkStart w:id="1154" w:name="_Toc128660484"/>
      <w:bookmarkStart w:id="1155" w:name="_Toc128660782"/>
      <w:bookmarkStart w:id="1156" w:name="_Toc128660999"/>
      <w:bookmarkStart w:id="1157" w:name="_Toc128661214"/>
      <w:bookmarkStart w:id="1158" w:name="_Toc128661429"/>
      <w:bookmarkStart w:id="1159" w:name="_Toc128666887"/>
      <w:bookmarkStart w:id="1160" w:name="_Toc128667119"/>
      <w:bookmarkStart w:id="1161" w:name="_Toc128670389"/>
      <w:bookmarkStart w:id="1162" w:name="_Toc128660494"/>
      <w:bookmarkStart w:id="1163" w:name="_Toc128660792"/>
      <w:bookmarkStart w:id="1164" w:name="_Toc128661009"/>
      <w:bookmarkStart w:id="1165" w:name="_Toc128661224"/>
      <w:bookmarkStart w:id="1166" w:name="_Toc128661439"/>
      <w:bookmarkStart w:id="1167" w:name="_Toc128666897"/>
      <w:bookmarkStart w:id="1168" w:name="_Toc128667129"/>
      <w:bookmarkStart w:id="1169" w:name="_Toc128670399"/>
      <w:bookmarkStart w:id="1170" w:name="_Toc128660495"/>
      <w:bookmarkStart w:id="1171" w:name="_Toc128660793"/>
      <w:bookmarkStart w:id="1172" w:name="_Toc128661010"/>
      <w:bookmarkStart w:id="1173" w:name="_Toc128661225"/>
      <w:bookmarkStart w:id="1174" w:name="_Toc128661440"/>
      <w:bookmarkStart w:id="1175" w:name="_Toc128666898"/>
      <w:bookmarkStart w:id="1176" w:name="_Toc128667130"/>
      <w:bookmarkStart w:id="1177" w:name="_Toc128670400"/>
      <w:bookmarkStart w:id="1178" w:name="_Toc128660496"/>
      <w:bookmarkStart w:id="1179" w:name="_Toc128660794"/>
      <w:bookmarkStart w:id="1180" w:name="_Toc128661011"/>
      <w:bookmarkStart w:id="1181" w:name="_Toc128661226"/>
      <w:bookmarkStart w:id="1182" w:name="_Toc128661441"/>
      <w:bookmarkStart w:id="1183" w:name="_Toc128666899"/>
      <w:bookmarkStart w:id="1184" w:name="_Toc128667131"/>
      <w:bookmarkStart w:id="1185" w:name="_Toc128670401"/>
      <w:bookmarkStart w:id="1186" w:name="_Toc128400091"/>
      <w:bookmarkStart w:id="1187" w:name="_Toc162269278"/>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r w:rsidRPr="006B6D61">
        <w:lastRenderedPageBreak/>
        <w:t>REZERVNÍ FOND</w:t>
      </w:r>
      <w:bookmarkEnd w:id="1186"/>
      <w:bookmarkEnd w:id="1187"/>
    </w:p>
    <w:p w14:paraId="187783DB" w14:textId="5D8FE532" w:rsidR="00E53AFE" w:rsidRDefault="00E53AFE" w:rsidP="00E53AFE">
      <w:pPr>
        <w:pStyle w:val="KOMtext"/>
        <w:rPr>
          <w:color w:val="FF0000"/>
        </w:rPr>
      </w:pPr>
      <w:r w:rsidRPr="006A755F">
        <w:t>Stav prostředků převedených v předchozích letech do rezervního fondu organiz</w:t>
      </w:r>
      <w:r>
        <w:t>ačních složek státu k 1. 1. 2023 a 31. 12. 2023</w:t>
      </w:r>
      <w:r w:rsidRPr="006A755F">
        <w:t xml:space="preserve"> a příjmy rezervních fondů organizačn</w:t>
      </w:r>
      <w:r>
        <w:t xml:space="preserve">ích složek státu </w:t>
      </w:r>
      <w:r>
        <w:br/>
        <w:t>k 31. 12. 2023</w:t>
      </w:r>
      <w:r w:rsidRPr="006A755F">
        <w:t xml:space="preserve"> jsou uvedeny v následující tabulce:</w:t>
      </w:r>
      <w:r w:rsidRPr="003A054C">
        <w:rPr>
          <w:color w:val="FF0000"/>
        </w:rPr>
        <w:t xml:space="preserve">  </w:t>
      </w:r>
    </w:p>
    <w:tbl>
      <w:tblPr>
        <w:tblW w:w="8965" w:type="dxa"/>
        <w:tblInd w:w="102" w:type="dxa"/>
        <w:tblLayout w:type="fixed"/>
        <w:tblCellMar>
          <w:left w:w="70" w:type="dxa"/>
          <w:right w:w="70" w:type="dxa"/>
        </w:tblCellMar>
        <w:tblLook w:val="0000" w:firstRow="0" w:lastRow="0" w:firstColumn="0" w:lastColumn="0" w:noHBand="0" w:noVBand="0"/>
      </w:tblPr>
      <w:tblGrid>
        <w:gridCol w:w="4363"/>
        <w:gridCol w:w="1575"/>
        <w:gridCol w:w="1576"/>
        <w:gridCol w:w="1451"/>
      </w:tblGrid>
      <w:tr w:rsidR="00E53AFE" w:rsidRPr="00B74A25" w14:paraId="43ECBFCD" w14:textId="77777777" w:rsidTr="007F4A51">
        <w:tc>
          <w:tcPr>
            <w:tcW w:w="4363" w:type="dxa"/>
            <w:tcBorders>
              <w:top w:val="single" w:sz="4" w:space="0" w:color="auto"/>
              <w:left w:val="single" w:sz="4" w:space="0" w:color="auto"/>
              <w:bottom w:val="single" w:sz="4" w:space="0" w:color="auto"/>
              <w:right w:val="single" w:sz="4" w:space="0" w:color="auto"/>
            </w:tcBorders>
            <w:vAlign w:val="center"/>
          </w:tcPr>
          <w:p w14:paraId="3C0A30A4" w14:textId="77777777" w:rsidR="00E53AFE" w:rsidRPr="00B74A25" w:rsidRDefault="00E53AFE" w:rsidP="007F4A51">
            <w:pPr>
              <w:snapToGrid w:val="0"/>
              <w:spacing w:after="0" w:line="240" w:lineRule="auto"/>
              <w:jc w:val="center"/>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Rezervní fond</w:t>
            </w:r>
          </w:p>
        </w:tc>
        <w:tc>
          <w:tcPr>
            <w:tcW w:w="1575" w:type="dxa"/>
            <w:tcBorders>
              <w:top w:val="single" w:sz="4" w:space="0" w:color="auto"/>
              <w:left w:val="single" w:sz="4" w:space="0" w:color="auto"/>
              <w:bottom w:val="single" w:sz="4" w:space="0" w:color="auto"/>
              <w:right w:val="single" w:sz="4" w:space="0" w:color="auto"/>
            </w:tcBorders>
            <w:vAlign w:val="center"/>
          </w:tcPr>
          <w:p w14:paraId="6DF8D360" w14:textId="77777777" w:rsidR="00E53AFE" w:rsidRPr="00B74A25" w:rsidRDefault="00E53AFE" w:rsidP="007F4A51">
            <w:pPr>
              <w:snapToGrid w:val="0"/>
              <w:spacing w:after="0" w:line="240" w:lineRule="auto"/>
              <w:jc w:val="center"/>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Stav rezervních fondů celkem</w:t>
            </w:r>
          </w:p>
          <w:p w14:paraId="7DD1F4DF" w14:textId="77777777" w:rsidR="00E53AFE" w:rsidRPr="00B74A25" w:rsidRDefault="00E53AFE" w:rsidP="007F4A51">
            <w:pPr>
              <w:spacing w:after="0" w:line="240" w:lineRule="auto"/>
              <w:jc w:val="center"/>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k 1. 1. 2023</w:t>
            </w:r>
          </w:p>
        </w:tc>
        <w:tc>
          <w:tcPr>
            <w:tcW w:w="1576" w:type="dxa"/>
            <w:tcBorders>
              <w:top w:val="single" w:sz="4" w:space="0" w:color="auto"/>
              <w:left w:val="single" w:sz="4" w:space="0" w:color="auto"/>
              <w:bottom w:val="single" w:sz="4" w:space="0" w:color="auto"/>
              <w:right w:val="single" w:sz="4" w:space="0" w:color="auto"/>
            </w:tcBorders>
            <w:vAlign w:val="center"/>
          </w:tcPr>
          <w:p w14:paraId="7AABF789" w14:textId="77777777" w:rsidR="00E53AFE" w:rsidRPr="00B74A25" w:rsidRDefault="00E53AFE" w:rsidP="007F4A51">
            <w:pPr>
              <w:snapToGrid w:val="0"/>
              <w:spacing w:after="0" w:line="240" w:lineRule="auto"/>
              <w:jc w:val="center"/>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Stav rezervních fondů celkem</w:t>
            </w:r>
          </w:p>
          <w:p w14:paraId="32442B98" w14:textId="77777777" w:rsidR="00E53AFE" w:rsidRPr="00B74A25" w:rsidRDefault="00E53AFE" w:rsidP="007F4A51">
            <w:pPr>
              <w:spacing w:after="0" w:line="240" w:lineRule="auto"/>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 31. 12</w:t>
            </w:r>
            <w:r w:rsidRPr="00B74A25">
              <w:rPr>
                <w:rFonts w:ascii="Times New Roman" w:eastAsia="Times New Roman" w:hAnsi="Times New Roman" w:cs="Times New Roman"/>
                <w:sz w:val="24"/>
                <w:szCs w:val="24"/>
                <w:lang w:eastAsia="ar-SA"/>
              </w:rPr>
              <w:t>. 2023</w:t>
            </w:r>
          </w:p>
        </w:tc>
        <w:tc>
          <w:tcPr>
            <w:tcW w:w="1451" w:type="dxa"/>
            <w:tcBorders>
              <w:top w:val="single" w:sz="4" w:space="0" w:color="auto"/>
              <w:left w:val="single" w:sz="4" w:space="0" w:color="auto"/>
              <w:bottom w:val="single" w:sz="4" w:space="0" w:color="auto"/>
              <w:right w:val="single" w:sz="4" w:space="0" w:color="auto"/>
            </w:tcBorders>
            <w:vAlign w:val="center"/>
          </w:tcPr>
          <w:p w14:paraId="7C49448D" w14:textId="77777777" w:rsidR="00E53AFE" w:rsidRPr="00B74A25" w:rsidRDefault="00E53AFE" w:rsidP="007F4A51">
            <w:pPr>
              <w:snapToGrid w:val="0"/>
              <w:spacing w:after="0" w:line="240" w:lineRule="auto"/>
              <w:jc w:val="center"/>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 xml:space="preserve">Příjem RF              </w:t>
            </w:r>
          </w:p>
          <w:p w14:paraId="21D7C95D" w14:textId="77777777" w:rsidR="00E53AFE" w:rsidRPr="00B74A25" w:rsidRDefault="00E53AFE" w:rsidP="007F4A51">
            <w:pPr>
              <w:snapToGrid w:val="0"/>
              <w:spacing w:after="0" w:line="240" w:lineRule="auto"/>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 31. 12</w:t>
            </w:r>
            <w:r w:rsidRPr="00B74A25">
              <w:rPr>
                <w:rFonts w:ascii="Times New Roman" w:eastAsia="Times New Roman" w:hAnsi="Times New Roman" w:cs="Times New Roman"/>
                <w:sz w:val="24"/>
                <w:szCs w:val="24"/>
                <w:lang w:eastAsia="ar-SA"/>
              </w:rPr>
              <w:t xml:space="preserve">. </w:t>
            </w:r>
          </w:p>
          <w:p w14:paraId="6E54BD3D" w14:textId="77777777"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 xml:space="preserve">       2023</w:t>
            </w:r>
          </w:p>
        </w:tc>
      </w:tr>
      <w:tr w:rsidR="00E53AFE" w:rsidRPr="00B74A25" w14:paraId="121D948F" w14:textId="77777777" w:rsidTr="008955D0">
        <w:trPr>
          <w:trHeight w:val="255"/>
        </w:trPr>
        <w:tc>
          <w:tcPr>
            <w:tcW w:w="4363" w:type="dxa"/>
            <w:tcBorders>
              <w:top w:val="single" w:sz="4" w:space="0" w:color="auto"/>
              <w:left w:val="single" w:sz="4" w:space="0" w:color="auto"/>
              <w:right w:val="single" w:sz="4" w:space="0" w:color="auto"/>
            </w:tcBorders>
            <w:vAlign w:val="bottom"/>
          </w:tcPr>
          <w:p w14:paraId="6C86F203" w14:textId="0710AF05"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Ústřední orgán MD</w:t>
            </w:r>
            <w:r w:rsidR="00357D75" w:rsidRPr="00B74A25">
              <w:rPr>
                <w:rFonts w:ascii="Times New Roman" w:eastAsia="Times New Roman" w:hAnsi="Times New Roman" w:cs="Times New Roman"/>
                <w:sz w:val="24"/>
                <w:szCs w:val="24"/>
                <w:lang w:eastAsia="ar-SA"/>
              </w:rPr>
              <w:t xml:space="preserve"> </w:t>
            </w:r>
            <w:r w:rsidR="00357D75">
              <w:rPr>
                <w:rFonts w:ascii="Times New Roman" w:eastAsia="Times New Roman" w:hAnsi="Times New Roman" w:cs="Times New Roman"/>
                <w:sz w:val="24"/>
                <w:szCs w:val="24"/>
                <w:lang w:eastAsia="ar-SA"/>
              </w:rPr>
              <w:br/>
            </w:r>
            <w:r w:rsidR="00357D75" w:rsidRPr="00B74A25">
              <w:rPr>
                <w:rFonts w:ascii="Times New Roman" w:eastAsia="Times New Roman" w:hAnsi="Times New Roman" w:cs="Times New Roman"/>
                <w:sz w:val="24"/>
                <w:szCs w:val="24"/>
                <w:lang w:eastAsia="ar-SA"/>
              </w:rPr>
              <w:t>v tom:</w:t>
            </w:r>
          </w:p>
        </w:tc>
        <w:tc>
          <w:tcPr>
            <w:tcW w:w="1575" w:type="dxa"/>
            <w:tcBorders>
              <w:top w:val="single" w:sz="4" w:space="0" w:color="auto"/>
              <w:left w:val="single" w:sz="4" w:space="0" w:color="auto"/>
              <w:right w:val="single" w:sz="4" w:space="0" w:color="auto"/>
            </w:tcBorders>
            <w:vAlign w:val="center"/>
          </w:tcPr>
          <w:p w14:paraId="0FFF556E" w14:textId="0D2216AF" w:rsidR="00E53AFE" w:rsidRPr="00B74A25" w:rsidRDefault="00E53AFE" w:rsidP="008955D0">
            <w:pPr>
              <w:snapToGrid w:val="0"/>
              <w:spacing w:after="0" w:line="240" w:lineRule="auto"/>
              <w:jc w:val="right"/>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4 871</w:t>
            </w:r>
          </w:p>
        </w:tc>
        <w:tc>
          <w:tcPr>
            <w:tcW w:w="1576" w:type="dxa"/>
            <w:tcBorders>
              <w:top w:val="single" w:sz="4" w:space="0" w:color="auto"/>
              <w:left w:val="single" w:sz="4" w:space="0" w:color="auto"/>
              <w:right w:val="single" w:sz="4" w:space="0" w:color="auto"/>
            </w:tcBorders>
            <w:vAlign w:val="center"/>
          </w:tcPr>
          <w:p w14:paraId="517D05A5" w14:textId="33C6F187" w:rsidR="00E53AFE" w:rsidRPr="00B74A25" w:rsidRDefault="00E53AFE" w:rsidP="008955D0">
            <w:pPr>
              <w:snapToGrid w:val="0"/>
              <w:spacing w:after="0" w:line="240" w:lineRule="auto"/>
              <w:jc w:val="right"/>
              <w:rPr>
                <w:rFonts w:ascii="Times New Roman" w:eastAsia="Times New Roman" w:hAnsi="Times New Roman" w:cs="Times New Roman"/>
                <w:color w:val="FF0000"/>
                <w:sz w:val="24"/>
                <w:szCs w:val="24"/>
                <w:lang w:eastAsia="ar-SA"/>
              </w:rPr>
            </w:pPr>
            <w:r w:rsidRPr="00E72F6B">
              <w:rPr>
                <w:rFonts w:ascii="Times New Roman" w:eastAsia="Times New Roman" w:hAnsi="Times New Roman" w:cs="Times New Roman"/>
                <w:sz w:val="24"/>
                <w:szCs w:val="24"/>
                <w:lang w:eastAsia="ar-SA"/>
              </w:rPr>
              <w:t xml:space="preserve">16 070    </w:t>
            </w:r>
          </w:p>
        </w:tc>
        <w:tc>
          <w:tcPr>
            <w:tcW w:w="1451" w:type="dxa"/>
            <w:tcBorders>
              <w:top w:val="single" w:sz="4" w:space="0" w:color="auto"/>
              <w:left w:val="single" w:sz="4" w:space="0" w:color="auto"/>
              <w:right w:val="single" w:sz="4" w:space="0" w:color="auto"/>
            </w:tcBorders>
            <w:vAlign w:val="center"/>
          </w:tcPr>
          <w:p w14:paraId="444E7CFB" w14:textId="77777777" w:rsidR="00E53AFE" w:rsidRPr="00B74A25" w:rsidRDefault="00E53AFE" w:rsidP="008955D0">
            <w:pPr>
              <w:snapToGrid w:val="0"/>
              <w:spacing w:after="0" w:line="240" w:lineRule="auto"/>
              <w:jc w:val="right"/>
              <w:rPr>
                <w:rFonts w:ascii="Times New Roman" w:eastAsia="Times New Roman" w:hAnsi="Times New Roman" w:cs="Times New Roman"/>
                <w:color w:val="FF0000"/>
                <w:sz w:val="24"/>
                <w:szCs w:val="24"/>
                <w:lang w:eastAsia="ar-SA"/>
              </w:rPr>
            </w:pPr>
            <w:r w:rsidRPr="007C1DD5">
              <w:rPr>
                <w:rFonts w:ascii="Times New Roman" w:eastAsia="Times New Roman" w:hAnsi="Times New Roman" w:cs="Times New Roman"/>
                <w:sz w:val="24"/>
                <w:szCs w:val="24"/>
                <w:lang w:eastAsia="ar-SA"/>
              </w:rPr>
              <w:t>16 850</w:t>
            </w:r>
          </w:p>
        </w:tc>
      </w:tr>
      <w:tr w:rsidR="00E53AFE" w:rsidRPr="00B74A25" w14:paraId="389C15BC" w14:textId="77777777" w:rsidTr="007F4A51">
        <w:trPr>
          <w:trHeight w:val="270"/>
        </w:trPr>
        <w:tc>
          <w:tcPr>
            <w:tcW w:w="4363" w:type="dxa"/>
            <w:tcBorders>
              <w:top w:val="single" w:sz="4" w:space="0" w:color="auto"/>
              <w:left w:val="single" w:sz="4" w:space="0" w:color="auto"/>
              <w:bottom w:val="single" w:sz="4" w:space="0" w:color="auto"/>
              <w:right w:val="single" w:sz="4" w:space="0" w:color="auto"/>
            </w:tcBorders>
            <w:vAlign w:val="bottom"/>
          </w:tcPr>
          <w:p w14:paraId="463F57F9" w14:textId="77777777"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Prostředky z Fondu zábrany škod České kanceláře pojistitelů</w:t>
            </w:r>
          </w:p>
        </w:tc>
        <w:tc>
          <w:tcPr>
            <w:tcW w:w="1575" w:type="dxa"/>
            <w:tcBorders>
              <w:top w:val="single" w:sz="4" w:space="0" w:color="auto"/>
              <w:left w:val="single" w:sz="4" w:space="0" w:color="auto"/>
              <w:bottom w:val="single" w:sz="4" w:space="0" w:color="auto"/>
              <w:right w:val="single" w:sz="4" w:space="0" w:color="auto"/>
            </w:tcBorders>
            <w:vAlign w:val="center"/>
          </w:tcPr>
          <w:p w14:paraId="071ED6E8" w14:textId="77777777" w:rsidR="00E53AFE" w:rsidRPr="00B74A25" w:rsidRDefault="00E53AFE" w:rsidP="007F4A51">
            <w:pPr>
              <w:snapToGrid w:val="0"/>
              <w:spacing w:after="0" w:line="240" w:lineRule="auto"/>
              <w:jc w:val="right"/>
              <w:rPr>
                <w:rFonts w:ascii="Times New Roman" w:eastAsia="Times New Roman" w:hAnsi="Times New Roman" w:cs="Times New Roman"/>
                <w:color w:val="00B050"/>
                <w:sz w:val="24"/>
                <w:szCs w:val="24"/>
                <w:lang w:eastAsia="ar-SA"/>
              </w:rPr>
            </w:pPr>
            <w:r w:rsidRPr="00B74A25">
              <w:rPr>
                <w:rFonts w:ascii="Times New Roman" w:eastAsia="Times New Roman" w:hAnsi="Times New Roman" w:cs="Times New Roman"/>
                <w:sz w:val="24"/>
                <w:szCs w:val="24"/>
                <w:lang w:eastAsia="ar-SA"/>
              </w:rPr>
              <w:t>2 946</w:t>
            </w:r>
          </w:p>
        </w:tc>
        <w:tc>
          <w:tcPr>
            <w:tcW w:w="1576" w:type="dxa"/>
            <w:tcBorders>
              <w:top w:val="single" w:sz="4" w:space="0" w:color="auto"/>
              <w:left w:val="single" w:sz="4" w:space="0" w:color="auto"/>
              <w:bottom w:val="single" w:sz="4" w:space="0" w:color="auto"/>
              <w:right w:val="single" w:sz="4" w:space="0" w:color="auto"/>
            </w:tcBorders>
            <w:vAlign w:val="center"/>
          </w:tcPr>
          <w:p w14:paraId="452747E4" w14:textId="77777777" w:rsidR="00E53AFE" w:rsidRPr="00B74A25" w:rsidRDefault="00E53AFE" w:rsidP="007F4A51">
            <w:pPr>
              <w:snapToGrid w:val="0"/>
              <w:spacing w:after="0" w:line="240" w:lineRule="auto"/>
              <w:jc w:val="right"/>
              <w:rPr>
                <w:rFonts w:ascii="Times New Roman" w:eastAsia="Times New Roman" w:hAnsi="Times New Roman" w:cs="Times New Roman"/>
                <w:color w:val="FF0000"/>
                <w:sz w:val="24"/>
                <w:szCs w:val="24"/>
                <w:lang w:eastAsia="ar-SA"/>
              </w:rPr>
            </w:pPr>
            <w:r w:rsidRPr="00E72F6B">
              <w:rPr>
                <w:rFonts w:ascii="Times New Roman" w:eastAsia="Times New Roman" w:hAnsi="Times New Roman" w:cs="Times New Roman"/>
                <w:sz w:val="24"/>
                <w:szCs w:val="24"/>
                <w:lang w:eastAsia="ar-SA"/>
              </w:rPr>
              <w:t>16 070</w:t>
            </w:r>
          </w:p>
        </w:tc>
        <w:tc>
          <w:tcPr>
            <w:tcW w:w="1451" w:type="dxa"/>
            <w:tcBorders>
              <w:top w:val="single" w:sz="4" w:space="0" w:color="auto"/>
              <w:left w:val="single" w:sz="4" w:space="0" w:color="auto"/>
              <w:bottom w:val="single" w:sz="4" w:space="0" w:color="auto"/>
              <w:right w:val="single" w:sz="4" w:space="0" w:color="auto"/>
            </w:tcBorders>
            <w:vAlign w:val="center"/>
          </w:tcPr>
          <w:p w14:paraId="0EFDC5DB" w14:textId="77777777" w:rsidR="00E53AFE" w:rsidRPr="00B74A25" w:rsidRDefault="00E53AFE" w:rsidP="007F4A51">
            <w:pPr>
              <w:snapToGrid w:val="0"/>
              <w:spacing w:after="0" w:line="240" w:lineRule="auto"/>
              <w:jc w:val="right"/>
              <w:rPr>
                <w:rFonts w:ascii="Times New Roman" w:eastAsia="Times New Roman" w:hAnsi="Times New Roman" w:cs="Times New Roman"/>
                <w:color w:val="FF0000"/>
                <w:sz w:val="24"/>
                <w:szCs w:val="24"/>
                <w:lang w:eastAsia="ar-SA"/>
              </w:rPr>
            </w:pPr>
            <w:r w:rsidRPr="007C1DD5">
              <w:rPr>
                <w:rFonts w:ascii="Times New Roman" w:eastAsia="Times New Roman" w:hAnsi="Times New Roman" w:cs="Times New Roman"/>
                <w:sz w:val="24"/>
                <w:szCs w:val="24"/>
                <w:lang w:eastAsia="ar-SA"/>
              </w:rPr>
              <w:t>16 850</w:t>
            </w:r>
          </w:p>
        </w:tc>
      </w:tr>
      <w:tr w:rsidR="00E53AFE" w:rsidRPr="00B74A25" w14:paraId="078FEBB7" w14:textId="77777777" w:rsidTr="007F4A51">
        <w:trPr>
          <w:trHeight w:val="270"/>
        </w:trPr>
        <w:tc>
          <w:tcPr>
            <w:tcW w:w="4363" w:type="dxa"/>
            <w:tcBorders>
              <w:top w:val="single" w:sz="4" w:space="0" w:color="auto"/>
              <w:left w:val="single" w:sz="4" w:space="0" w:color="auto"/>
              <w:bottom w:val="single" w:sz="4" w:space="0" w:color="auto"/>
              <w:right w:val="single" w:sz="4" w:space="0" w:color="auto"/>
            </w:tcBorders>
            <w:vAlign w:val="bottom"/>
          </w:tcPr>
          <w:p w14:paraId="56FAA975" w14:textId="77777777"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Prostředky poskytnuté ze zahraničí na projekty CEF (Nástroj pro propojení Evropy)</w:t>
            </w:r>
          </w:p>
        </w:tc>
        <w:tc>
          <w:tcPr>
            <w:tcW w:w="1575" w:type="dxa"/>
            <w:tcBorders>
              <w:top w:val="single" w:sz="4" w:space="0" w:color="auto"/>
              <w:left w:val="single" w:sz="4" w:space="0" w:color="auto"/>
              <w:bottom w:val="single" w:sz="4" w:space="0" w:color="auto"/>
              <w:right w:val="single" w:sz="4" w:space="0" w:color="auto"/>
            </w:tcBorders>
            <w:vAlign w:val="center"/>
          </w:tcPr>
          <w:p w14:paraId="6943D760" w14:textId="77777777" w:rsidR="00E53AFE" w:rsidRPr="00B74A25" w:rsidRDefault="00E53AFE" w:rsidP="007F4A51">
            <w:pPr>
              <w:snapToGrid w:val="0"/>
              <w:spacing w:after="0" w:line="240" w:lineRule="auto"/>
              <w:jc w:val="right"/>
              <w:rPr>
                <w:rFonts w:ascii="Times New Roman" w:eastAsia="Times New Roman" w:hAnsi="Times New Roman" w:cs="Times New Roman"/>
                <w:color w:val="00B050"/>
                <w:sz w:val="24"/>
                <w:szCs w:val="24"/>
                <w:lang w:eastAsia="ar-SA"/>
              </w:rPr>
            </w:pPr>
            <w:r w:rsidRPr="00B74A25">
              <w:rPr>
                <w:rFonts w:ascii="Times New Roman" w:eastAsia="Times New Roman" w:hAnsi="Times New Roman" w:cs="Times New Roman"/>
                <w:sz w:val="24"/>
                <w:szCs w:val="24"/>
                <w:lang w:eastAsia="ar-SA"/>
              </w:rPr>
              <w:t xml:space="preserve">1 925      </w:t>
            </w:r>
          </w:p>
        </w:tc>
        <w:tc>
          <w:tcPr>
            <w:tcW w:w="1576" w:type="dxa"/>
            <w:tcBorders>
              <w:top w:val="single" w:sz="4" w:space="0" w:color="auto"/>
              <w:left w:val="single" w:sz="4" w:space="0" w:color="auto"/>
              <w:bottom w:val="single" w:sz="4" w:space="0" w:color="auto"/>
              <w:right w:val="single" w:sz="4" w:space="0" w:color="auto"/>
            </w:tcBorders>
            <w:vAlign w:val="center"/>
          </w:tcPr>
          <w:p w14:paraId="6AAA70F6" w14:textId="77777777" w:rsidR="00E53AFE" w:rsidRPr="007C1DD5" w:rsidRDefault="00E53AFE" w:rsidP="007F4A51">
            <w:pPr>
              <w:snapToGrid w:val="0"/>
              <w:spacing w:after="0" w:line="240" w:lineRule="auto"/>
              <w:jc w:val="right"/>
              <w:rPr>
                <w:rFonts w:ascii="Times New Roman" w:eastAsia="Times New Roman" w:hAnsi="Times New Roman" w:cs="Times New Roman"/>
                <w:sz w:val="24"/>
                <w:szCs w:val="24"/>
                <w:lang w:eastAsia="ar-SA"/>
              </w:rPr>
            </w:pPr>
            <w:r w:rsidRPr="007C1DD5">
              <w:rPr>
                <w:rFonts w:ascii="Times New Roman" w:eastAsia="Times New Roman" w:hAnsi="Times New Roman" w:cs="Times New Roman"/>
                <w:sz w:val="24"/>
                <w:szCs w:val="24"/>
                <w:lang w:eastAsia="ar-SA"/>
              </w:rPr>
              <w:t xml:space="preserve">0      </w:t>
            </w:r>
          </w:p>
        </w:tc>
        <w:tc>
          <w:tcPr>
            <w:tcW w:w="1451" w:type="dxa"/>
            <w:tcBorders>
              <w:top w:val="single" w:sz="4" w:space="0" w:color="auto"/>
              <w:left w:val="single" w:sz="4" w:space="0" w:color="auto"/>
              <w:bottom w:val="single" w:sz="4" w:space="0" w:color="auto"/>
              <w:right w:val="single" w:sz="4" w:space="0" w:color="auto"/>
            </w:tcBorders>
            <w:vAlign w:val="center"/>
          </w:tcPr>
          <w:p w14:paraId="27BC8D92" w14:textId="77777777" w:rsidR="00E53AFE" w:rsidRPr="007C1DD5" w:rsidRDefault="00E53AFE" w:rsidP="007F4A51">
            <w:pPr>
              <w:snapToGrid w:val="0"/>
              <w:spacing w:after="0" w:line="240" w:lineRule="auto"/>
              <w:jc w:val="right"/>
              <w:rPr>
                <w:rFonts w:ascii="Times New Roman" w:eastAsia="Times New Roman" w:hAnsi="Times New Roman" w:cs="Times New Roman"/>
                <w:sz w:val="24"/>
                <w:szCs w:val="24"/>
                <w:lang w:eastAsia="ar-SA"/>
              </w:rPr>
            </w:pPr>
            <w:r w:rsidRPr="007C1DD5">
              <w:rPr>
                <w:rFonts w:ascii="Times New Roman" w:eastAsia="Times New Roman" w:hAnsi="Times New Roman" w:cs="Times New Roman"/>
                <w:sz w:val="24"/>
                <w:szCs w:val="24"/>
                <w:lang w:eastAsia="ar-SA"/>
              </w:rPr>
              <w:t>0</w:t>
            </w:r>
          </w:p>
        </w:tc>
      </w:tr>
      <w:tr w:rsidR="00E53AFE" w:rsidRPr="00B74A25" w14:paraId="655E4245" w14:textId="77777777" w:rsidTr="00357D75">
        <w:trPr>
          <w:trHeight w:val="270"/>
        </w:trPr>
        <w:tc>
          <w:tcPr>
            <w:tcW w:w="4363" w:type="dxa"/>
            <w:tcBorders>
              <w:top w:val="single" w:sz="4" w:space="0" w:color="auto"/>
              <w:left w:val="single" w:sz="4" w:space="0" w:color="auto"/>
              <w:bottom w:val="single" w:sz="4" w:space="0" w:color="auto"/>
              <w:right w:val="single" w:sz="4" w:space="0" w:color="auto"/>
            </w:tcBorders>
            <w:vAlign w:val="bottom"/>
          </w:tcPr>
          <w:p w14:paraId="37527E82" w14:textId="77777777"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Drážní úřad</w:t>
            </w:r>
          </w:p>
          <w:p w14:paraId="72CC0F73" w14:textId="77777777"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v tom:</w:t>
            </w:r>
          </w:p>
        </w:tc>
        <w:tc>
          <w:tcPr>
            <w:tcW w:w="1575" w:type="dxa"/>
            <w:tcBorders>
              <w:top w:val="single" w:sz="4" w:space="0" w:color="auto"/>
              <w:left w:val="single" w:sz="4" w:space="0" w:color="auto"/>
              <w:bottom w:val="single" w:sz="4" w:space="0" w:color="auto"/>
              <w:right w:val="single" w:sz="4" w:space="0" w:color="auto"/>
            </w:tcBorders>
            <w:vAlign w:val="center"/>
          </w:tcPr>
          <w:p w14:paraId="1979A0E5" w14:textId="77777777" w:rsidR="00E53AFE" w:rsidRPr="00B74A25" w:rsidRDefault="00E53AFE" w:rsidP="00357D75">
            <w:pPr>
              <w:snapToGrid w:val="0"/>
              <w:spacing w:after="0" w:line="240" w:lineRule="auto"/>
              <w:jc w:val="right"/>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0</w:t>
            </w:r>
          </w:p>
        </w:tc>
        <w:tc>
          <w:tcPr>
            <w:tcW w:w="1576" w:type="dxa"/>
            <w:tcBorders>
              <w:top w:val="single" w:sz="4" w:space="0" w:color="auto"/>
              <w:left w:val="single" w:sz="4" w:space="0" w:color="auto"/>
              <w:bottom w:val="single" w:sz="4" w:space="0" w:color="auto"/>
              <w:right w:val="single" w:sz="4" w:space="0" w:color="auto"/>
            </w:tcBorders>
            <w:vAlign w:val="center"/>
          </w:tcPr>
          <w:p w14:paraId="6A1E3D3E" w14:textId="77777777" w:rsidR="00E53AFE" w:rsidRPr="0017756B" w:rsidRDefault="00E53AFE" w:rsidP="00357D75">
            <w:pPr>
              <w:snapToGrid w:val="0"/>
              <w:spacing w:after="0" w:line="240" w:lineRule="auto"/>
              <w:jc w:val="right"/>
              <w:rPr>
                <w:rFonts w:ascii="Times New Roman" w:eastAsia="Times New Roman" w:hAnsi="Times New Roman" w:cs="Times New Roman"/>
                <w:sz w:val="24"/>
                <w:szCs w:val="24"/>
                <w:lang w:eastAsia="ar-SA"/>
              </w:rPr>
            </w:pPr>
            <w:r w:rsidRPr="0017756B">
              <w:rPr>
                <w:rFonts w:ascii="Times New Roman" w:eastAsia="Times New Roman" w:hAnsi="Times New Roman" w:cs="Times New Roman"/>
                <w:sz w:val="24"/>
                <w:szCs w:val="24"/>
                <w:lang w:eastAsia="ar-SA"/>
              </w:rPr>
              <w:t>957</w:t>
            </w:r>
          </w:p>
        </w:tc>
        <w:tc>
          <w:tcPr>
            <w:tcW w:w="1451" w:type="dxa"/>
            <w:tcBorders>
              <w:top w:val="single" w:sz="4" w:space="0" w:color="auto"/>
              <w:left w:val="single" w:sz="4" w:space="0" w:color="auto"/>
              <w:bottom w:val="single" w:sz="4" w:space="0" w:color="auto"/>
              <w:right w:val="single" w:sz="4" w:space="0" w:color="auto"/>
            </w:tcBorders>
            <w:vAlign w:val="center"/>
          </w:tcPr>
          <w:p w14:paraId="25205B60" w14:textId="77777777" w:rsidR="00E53AFE" w:rsidRPr="000667A9" w:rsidRDefault="00E53AFE" w:rsidP="00357D75">
            <w:pPr>
              <w:snapToGrid w:val="0"/>
              <w:spacing w:after="0" w:line="240" w:lineRule="auto"/>
              <w:jc w:val="right"/>
              <w:rPr>
                <w:rFonts w:ascii="Times New Roman" w:eastAsia="Times New Roman" w:hAnsi="Times New Roman" w:cs="Times New Roman"/>
                <w:sz w:val="24"/>
                <w:szCs w:val="24"/>
                <w:lang w:eastAsia="ar-SA"/>
              </w:rPr>
            </w:pPr>
            <w:r w:rsidRPr="000667A9">
              <w:rPr>
                <w:rFonts w:ascii="Times New Roman" w:eastAsia="Times New Roman" w:hAnsi="Times New Roman" w:cs="Times New Roman"/>
                <w:sz w:val="24"/>
                <w:szCs w:val="24"/>
                <w:lang w:eastAsia="ar-SA"/>
              </w:rPr>
              <w:t>1 677</w:t>
            </w:r>
          </w:p>
        </w:tc>
      </w:tr>
      <w:tr w:rsidR="00E53AFE" w:rsidRPr="00B74A25" w14:paraId="2E95ED1A" w14:textId="77777777" w:rsidTr="00357D75">
        <w:trPr>
          <w:trHeight w:val="270"/>
        </w:trPr>
        <w:tc>
          <w:tcPr>
            <w:tcW w:w="4363" w:type="dxa"/>
            <w:tcBorders>
              <w:top w:val="single" w:sz="4" w:space="0" w:color="auto"/>
              <w:left w:val="single" w:sz="4" w:space="0" w:color="auto"/>
              <w:bottom w:val="single" w:sz="4" w:space="0" w:color="auto"/>
              <w:right w:val="single" w:sz="4" w:space="0" w:color="auto"/>
            </w:tcBorders>
            <w:vAlign w:val="bottom"/>
          </w:tcPr>
          <w:p w14:paraId="6C214D72" w14:textId="2616F6A2" w:rsidR="00E53AFE" w:rsidRPr="00B74A25" w:rsidRDefault="00E53AFE" w:rsidP="007F4A51">
            <w:pPr>
              <w:snapToGrid w:val="0"/>
              <w:spacing w:after="0" w:line="240" w:lineRule="auto"/>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 xml:space="preserve">Prostředky poskytnuté ze zahraničí </w:t>
            </w:r>
            <w:r w:rsidR="00357D75">
              <w:rPr>
                <w:rFonts w:ascii="Times New Roman" w:eastAsia="Times New Roman" w:hAnsi="Times New Roman" w:cs="Times New Roman"/>
                <w:sz w:val="24"/>
                <w:szCs w:val="24"/>
                <w:lang w:eastAsia="ar-SA"/>
              </w:rPr>
              <w:br/>
            </w:r>
            <w:r w:rsidRPr="00B74A25">
              <w:rPr>
                <w:rFonts w:ascii="Times New Roman" w:eastAsia="Times New Roman" w:hAnsi="Times New Roman" w:cs="Times New Roman"/>
                <w:sz w:val="24"/>
                <w:szCs w:val="24"/>
                <w:lang w:eastAsia="ar-SA"/>
              </w:rPr>
              <w:t>(z ERA)</w:t>
            </w:r>
          </w:p>
        </w:tc>
        <w:tc>
          <w:tcPr>
            <w:tcW w:w="1575" w:type="dxa"/>
            <w:tcBorders>
              <w:top w:val="single" w:sz="4" w:space="0" w:color="auto"/>
              <w:left w:val="single" w:sz="4" w:space="0" w:color="auto"/>
              <w:bottom w:val="single" w:sz="4" w:space="0" w:color="auto"/>
              <w:right w:val="single" w:sz="4" w:space="0" w:color="auto"/>
            </w:tcBorders>
            <w:vAlign w:val="center"/>
          </w:tcPr>
          <w:p w14:paraId="54A4FC55" w14:textId="77777777" w:rsidR="00E53AFE" w:rsidRPr="00B74A25" w:rsidRDefault="00E53AFE" w:rsidP="00357D75">
            <w:pPr>
              <w:snapToGrid w:val="0"/>
              <w:spacing w:after="0" w:line="240" w:lineRule="auto"/>
              <w:jc w:val="right"/>
              <w:rPr>
                <w:rFonts w:ascii="Times New Roman" w:eastAsia="Times New Roman" w:hAnsi="Times New Roman" w:cs="Times New Roman"/>
                <w:sz w:val="24"/>
                <w:szCs w:val="24"/>
                <w:lang w:eastAsia="ar-SA"/>
              </w:rPr>
            </w:pPr>
            <w:r w:rsidRPr="00B74A25">
              <w:rPr>
                <w:rFonts w:ascii="Times New Roman" w:eastAsia="Times New Roman" w:hAnsi="Times New Roman" w:cs="Times New Roman"/>
                <w:sz w:val="24"/>
                <w:szCs w:val="24"/>
                <w:lang w:eastAsia="ar-SA"/>
              </w:rPr>
              <w:t>0</w:t>
            </w:r>
          </w:p>
        </w:tc>
        <w:tc>
          <w:tcPr>
            <w:tcW w:w="1576" w:type="dxa"/>
            <w:tcBorders>
              <w:top w:val="single" w:sz="4" w:space="0" w:color="auto"/>
              <w:left w:val="single" w:sz="4" w:space="0" w:color="auto"/>
              <w:bottom w:val="single" w:sz="4" w:space="0" w:color="auto"/>
              <w:right w:val="single" w:sz="4" w:space="0" w:color="auto"/>
            </w:tcBorders>
            <w:vAlign w:val="center"/>
          </w:tcPr>
          <w:p w14:paraId="587134B3" w14:textId="77777777" w:rsidR="00E53AFE" w:rsidRPr="0017756B" w:rsidRDefault="00E53AFE" w:rsidP="00357D75">
            <w:pPr>
              <w:snapToGrid w:val="0"/>
              <w:spacing w:after="0" w:line="240" w:lineRule="auto"/>
              <w:jc w:val="right"/>
              <w:rPr>
                <w:rFonts w:ascii="Times New Roman" w:eastAsia="Times New Roman" w:hAnsi="Times New Roman" w:cs="Times New Roman"/>
                <w:sz w:val="24"/>
                <w:szCs w:val="24"/>
                <w:lang w:eastAsia="ar-SA"/>
              </w:rPr>
            </w:pPr>
            <w:r w:rsidRPr="0017756B">
              <w:rPr>
                <w:rFonts w:ascii="Times New Roman" w:eastAsia="Times New Roman" w:hAnsi="Times New Roman" w:cs="Times New Roman"/>
                <w:sz w:val="24"/>
                <w:szCs w:val="24"/>
                <w:lang w:eastAsia="ar-SA"/>
              </w:rPr>
              <w:t>957</w:t>
            </w:r>
          </w:p>
        </w:tc>
        <w:tc>
          <w:tcPr>
            <w:tcW w:w="1451" w:type="dxa"/>
            <w:tcBorders>
              <w:top w:val="single" w:sz="4" w:space="0" w:color="auto"/>
              <w:left w:val="single" w:sz="4" w:space="0" w:color="auto"/>
              <w:bottom w:val="single" w:sz="4" w:space="0" w:color="auto"/>
              <w:right w:val="single" w:sz="4" w:space="0" w:color="auto"/>
            </w:tcBorders>
            <w:vAlign w:val="center"/>
          </w:tcPr>
          <w:p w14:paraId="09FF9F7B" w14:textId="77777777" w:rsidR="00E53AFE" w:rsidRPr="000667A9" w:rsidRDefault="00E53AFE" w:rsidP="00357D75">
            <w:pPr>
              <w:snapToGrid w:val="0"/>
              <w:spacing w:after="0" w:line="240" w:lineRule="auto"/>
              <w:jc w:val="right"/>
              <w:rPr>
                <w:rFonts w:ascii="Times New Roman" w:eastAsia="Times New Roman" w:hAnsi="Times New Roman" w:cs="Times New Roman"/>
                <w:sz w:val="24"/>
                <w:szCs w:val="24"/>
                <w:lang w:eastAsia="ar-SA"/>
              </w:rPr>
            </w:pPr>
            <w:r w:rsidRPr="000667A9">
              <w:rPr>
                <w:rFonts w:ascii="Times New Roman" w:eastAsia="Times New Roman" w:hAnsi="Times New Roman" w:cs="Times New Roman"/>
                <w:sz w:val="24"/>
                <w:szCs w:val="24"/>
                <w:lang w:eastAsia="ar-SA"/>
              </w:rPr>
              <w:t>1 677</w:t>
            </w:r>
          </w:p>
        </w:tc>
      </w:tr>
      <w:tr w:rsidR="00E53AFE" w:rsidRPr="00B74A25" w14:paraId="37A0EC0C" w14:textId="77777777" w:rsidTr="007F4A51">
        <w:trPr>
          <w:trHeight w:val="270"/>
        </w:trPr>
        <w:tc>
          <w:tcPr>
            <w:tcW w:w="4363" w:type="dxa"/>
            <w:tcBorders>
              <w:top w:val="single" w:sz="4" w:space="0" w:color="auto"/>
              <w:left w:val="single" w:sz="4" w:space="0" w:color="auto"/>
              <w:bottom w:val="single" w:sz="4" w:space="0" w:color="auto"/>
              <w:right w:val="single" w:sz="4" w:space="0" w:color="auto"/>
            </w:tcBorders>
            <w:vAlign w:val="bottom"/>
          </w:tcPr>
          <w:p w14:paraId="48B5D9DC" w14:textId="77777777" w:rsidR="00E53AFE" w:rsidRPr="00B74A25" w:rsidRDefault="00E53AFE" w:rsidP="007F4A51">
            <w:pPr>
              <w:snapToGrid w:val="0"/>
              <w:spacing w:after="0" w:line="240" w:lineRule="auto"/>
              <w:rPr>
                <w:rFonts w:ascii="Times New Roman" w:eastAsia="Times New Roman" w:hAnsi="Times New Roman" w:cs="Times New Roman"/>
                <w:b/>
                <w:sz w:val="24"/>
                <w:szCs w:val="24"/>
                <w:lang w:eastAsia="ar-SA"/>
              </w:rPr>
            </w:pPr>
            <w:r w:rsidRPr="00B74A25">
              <w:rPr>
                <w:rFonts w:ascii="Times New Roman" w:eastAsia="Times New Roman" w:hAnsi="Times New Roman" w:cs="Times New Roman"/>
                <w:b/>
                <w:sz w:val="24"/>
                <w:szCs w:val="24"/>
                <w:lang w:eastAsia="ar-SA"/>
              </w:rPr>
              <w:t>CELKEM</w:t>
            </w:r>
          </w:p>
        </w:tc>
        <w:tc>
          <w:tcPr>
            <w:tcW w:w="1575" w:type="dxa"/>
            <w:tcBorders>
              <w:top w:val="single" w:sz="4" w:space="0" w:color="auto"/>
              <w:left w:val="single" w:sz="4" w:space="0" w:color="auto"/>
              <w:bottom w:val="single" w:sz="4" w:space="0" w:color="auto"/>
              <w:right w:val="single" w:sz="4" w:space="0" w:color="auto"/>
            </w:tcBorders>
            <w:vAlign w:val="bottom"/>
          </w:tcPr>
          <w:p w14:paraId="0373977B" w14:textId="77777777" w:rsidR="00E53AFE" w:rsidRPr="00B74A25" w:rsidRDefault="00E53AFE" w:rsidP="007F4A51">
            <w:pPr>
              <w:snapToGrid w:val="0"/>
              <w:spacing w:after="0" w:line="240" w:lineRule="auto"/>
              <w:jc w:val="right"/>
              <w:rPr>
                <w:rFonts w:ascii="Times New Roman" w:eastAsia="Times New Roman" w:hAnsi="Times New Roman" w:cs="Times New Roman"/>
                <w:b/>
                <w:sz w:val="24"/>
                <w:szCs w:val="24"/>
                <w:lang w:eastAsia="ar-SA"/>
              </w:rPr>
            </w:pPr>
            <w:r w:rsidRPr="00B74A25">
              <w:rPr>
                <w:rFonts w:ascii="Times New Roman" w:eastAsia="Times New Roman" w:hAnsi="Times New Roman" w:cs="Times New Roman"/>
                <w:b/>
                <w:sz w:val="24"/>
                <w:szCs w:val="24"/>
                <w:lang w:eastAsia="ar-SA"/>
              </w:rPr>
              <w:t>4 871</w:t>
            </w:r>
          </w:p>
        </w:tc>
        <w:tc>
          <w:tcPr>
            <w:tcW w:w="1576" w:type="dxa"/>
            <w:tcBorders>
              <w:top w:val="single" w:sz="4" w:space="0" w:color="auto"/>
              <w:left w:val="single" w:sz="4" w:space="0" w:color="auto"/>
              <w:bottom w:val="single" w:sz="4" w:space="0" w:color="auto"/>
              <w:right w:val="single" w:sz="4" w:space="0" w:color="auto"/>
            </w:tcBorders>
            <w:vAlign w:val="bottom"/>
          </w:tcPr>
          <w:p w14:paraId="0486F2E6" w14:textId="77777777" w:rsidR="00E53AFE" w:rsidRPr="0017756B" w:rsidRDefault="00E53AFE" w:rsidP="007F4A51">
            <w:pPr>
              <w:snapToGrid w:val="0"/>
              <w:spacing w:after="0" w:line="240" w:lineRule="auto"/>
              <w:jc w:val="right"/>
              <w:rPr>
                <w:rFonts w:ascii="Times New Roman" w:eastAsia="Times New Roman" w:hAnsi="Times New Roman" w:cs="Times New Roman"/>
                <w:b/>
                <w:sz w:val="24"/>
                <w:szCs w:val="24"/>
                <w:lang w:eastAsia="ar-SA"/>
              </w:rPr>
            </w:pPr>
            <w:r w:rsidRPr="0017756B">
              <w:rPr>
                <w:rFonts w:ascii="Times New Roman" w:eastAsia="Times New Roman" w:hAnsi="Times New Roman" w:cs="Times New Roman"/>
                <w:b/>
                <w:sz w:val="24"/>
                <w:szCs w:val="24"/>
                <w:lang w:eastAsia="ar-SA"/>
              </w:rPr>
              <w:t>17 027</w:t>
            </w:r>
          </w:p>
        </w:tc>
        <w:tc>
          <w:tcPr>
            <w:tcW w:w="1451" w:type="dxa"/>
            <w:tcBorders>
              <w:top w:val="single" w:sz="4" w:space="0" w:color="auto"/>
              <w:left w:val="single" w:sz="4" w:space="0" w:color="auto"/>
              <w:bottom w:val="single" w:sz="4" w:space="0" w:color="auto"/>
              <w:right w:val="single" w:sz="4" w:space="0" w:color="auto"/>
            </w:tcBorders>
            <w:vAlign w:val="bottom"/>
          </w:tcPr>
          <w:p w14:paraId="48211149" w14:textId="77777777" w:rsidR="00E53AFE" w:rsidRPr="000667A9" w:rsidRDefault="00E53AFE" w:rsidP="007F4A51">
            <w:pPr>
              <w:snapToGrid w:val="0"/>
              <w:spacing w:after="0" w:line="240" w:lineRule="auto"/>
              <w:jc w:val="right"/>
              <w:rPr>
                <w:rFonts w:ascii="Times New Roman" w:eastAsia="Times New Roman" w:hAnsi="Times New Roman" w:cs="Times New Roman"/>
                <w:b/>
                <w:sz w:val="24"/>
                <w:szCs w:val="24"/>
                <w:lang w:eastAsia="ar-SA"/>
              </w:rPr>
            </w:pPr>
            <w:r w:rsidRPr="000667A9">
              <w:rPr>
                <w:rFonts w:ascii="Times New Roman" w:eastAsia="Times New Roman" w:hAnsi="Times New Roman" w:cs="Times New Roman"/>
                <w:b/>
                <w:sz w:val="24"/>
                <w:szCs w:val="24"/>
                <w:lang w:eastAsia="ar-SA"/>
              </w:rPr>
              <w:t>18 527</w:t>
            </w:r>
          </w:p>
        </w:tc>
      </w:tr>
    </w:tbl>
    <w:p w14:paraId="27F13A9F" w14:textId="77777777" w:rsidR="00E53AFE" w:rsidRPr="006A755F" w:rsidRDefault="00E53AFE" w:rsidP="00E53AFE">
      <w:pPr>
        <w:pStyle w:val="KOMtext"/>
      </w:pPr>
      <w:r w:rsidRPr="003A054C">
        <w:rPr>
          <w:color w:val="FF0000"/>
        </w:rPr>
        <w:t xml:space="preserve"> </w:t>
      </w:r>
      <w:r>
        <w:t>K 1. 1. 2023</w:t>
      </w:r>
      <w:r w:rsidRPr="006A755F">
        <w:t xml:space="preserve"> byly v rezervních fondech organizačních složek státu v rámci kapitoly 327 Ministerstvo d</w:t>
      </w:r>
      <w:r>
        <w:t>opravy prostředky ve výši 4 871</w:t>
      </w:r>
      <w:r w:rsidRPr="006A755F">
        <w:t xml:space="preserve"> tis. Kč. Jednalo se o prostředky poskytnut</w:t>
      </w:r>
      <w:r>
        <w:t xml:space="preserve">é ze zahraničí na projekty CEF a prostředky </w:t>
      </w:r>
      <w:r w:rsidRPr="00B04DB1">
        <w:t>z Fondu zábrany škod České kanceláře pojistitelů.</w:t>
      </w:r>
    </w:p>
    <w:p w14:paraId="6C62A1C7" w14:textId="209910B4" w:rsidR="00E53AFE" w:rsidRPr="00182147" w:rsidRDefault="00E53AFE" w:rsidP="00E53AFE">
      <w:pPr>
        <w:pStyle w:val="KOMtext"/>
        <w:rPr>
          <w:color w:val="FF0000"/>
        </w:rPr>
      </w:pPr>
      <w:r w:rsidRPr="00E72F6B">
        <w:t xml:space="preserve">K 31. 12. 2023 byly do rezervního fondu převedeny finanční prostředky ve </w:t>
      </w:r>
      <w:r w:rsidRPr="00C36CC6">
        <w:t xml:space="preserve">výši 18 527 tis. Kč </w:t>
      </w:r>
      <w:r w:rsidRPr="00E72F6B">
        <w:t>(v tom: z Fondu zábrany škod ve výši 16 850 tis. Kč a</w:t>
      </w:r>
      <w:r w:rsidRPr="00E72F6B">
        <w:rPr>
          <w:color w:val="FF0000"/>
        </w:rPr>
        <w:t xml:space="preserve"> </w:t>
      </w:r>
      <w:r w:rsidRPr="00E72F6B">
        <w:t xml:space="preserve">ze zahraničí (z ERA) ve </w:t>
      </w:r>
      <w:r w:rsidRPr="00C36CC6">
        <w:t>výši 1 677 tis. Kč).</w:t>
      </w:r>
    </w:p>
    <w:p w14:paraId="1EE53C17" w14:textId="77777777" w:rsidR="00E53AFE" w:rsidRPr="003E0997" w:rsidRDefault="00E53AFE" w:rsidP="00E53AFE">
      <w:pPr>
        <w:pStyle w:val="KOMtext"/>
      </w:pPr>
      <w:r w:rsidRPr="003E0997">
        <w:t xml:space="preserve">K 31. 12. 2023 byly zapojeny do příjmů MD finanční prostředky v celkové výši 4 446 tis. Kč </w:t>
      </w:r>
      <w:r w:rsidRPr="003E0997">
        <w:br/>
        <w:t xml:space="preserve">(v tom: ve výši 720 tis. Kč ze zahraničí (z ERA) a 3 726 tis. Kč prostředky z Fondu zábrany škod). </w:t>
      </w:r>
    </w:p>
    <w:p w14:paraId="5B3F0E4D" w14:textId="77777777" w:rsidR="00E53AFE" w:rsidRPr="00B05827" w:rsidRDefault="00E53AFE" w:rsidP="00E53AFE">
      <w:pPr>
        <w:pStyle w:val="KOMtext"/>
        <w:rPr>
          <w:color w:val="00B050"/>
        </w:rPr>
      </w:pPr>
      <w:r w:rsidRPr="003A054C">
        <w:t xml:space="preserve">K 31. 12. 2023 byl snížen stav RF o 1 925 tis. </w:t>
      </w:r>
      <w:r w:rsidRPr="00C62654">
        <w:t xml:space="preserve">Kč </w:t>
      </w:r>
      <w:r w:rsidRPr="006B6D61">
        <w:t>(ukončení projektu CEF).</w:t>
      </w:r>
    </w:p>
    <w:p w14:paraId="1D1498E9" w14:textId="77777777" w:rsidR="00E53AFE" w:rsidRDefault="00E53AFE" w:rsidP="00E53AFE">
      <w:pPr>
        <w:pStyle w:val="KOMtext"/>
      </w:pPr>
      <w:r>
        <w:t>K 31. 12. 2023</w:t>
      </w:r>
      <w:r w:rsidRPr="00C93676">
        <w:t xml:space="preserve"> byl v rezervních fondech organizačních složek státu zůstatek prostředků ve výši</w:t>
      </w:r>
      <w:r>
        <w:rPr>
          <w:color w:val="FF0000"/>
        </w:rPr>
        <w:t xml:space="preserve"> </w:t>
      </w:r>
      <w:r w:rsidRPr="005A5681">
        <w:t xml:space="preserve">17 027 tis. Kč (v tom: ve výši 957 tis. Kč </w:t>
      </w:r>
      <w:r w:rsidRPr="00923B42">
        <w:t>ze zahraničí (z ERA</w:t>
      </w:r>
      <w:r>
        <w:t>)</w:t>
      </w:r>
      <w:r>
        <w:rPr>
          <w:color w:val="FF0000"/>
        </w:rPr>
        <w:t xml:space="preserve"> </w:t>
      </w:r>
      <w:r w:rsidRPr="00C93676">
        <w:t xml:space="preserve">a ve výši 16 070 tis. Kč </w:t>
      </w:r>
      <w:r w:rsidRPr="00C93676">
        <w:br/>
        <w:t>z Fondu zábrany škod).</w:t>
      </w:r>
    </w:p>
    <w:p w14:paraId="40402947" w14:textId="77777777" w:rsidR="00E53AFE" w:rsidRDefault="00E53AFE" w:rsidP="00E53AFE">
      <w:pPr>
        <w:pStyle w:val="KOMtext"/>
      </w:pPr>
    </w:p>
    <w:p w14:paraId="5517A716" w14:textId="77777777" w:rsidR="00E53AFE" w:rsidRDefault="00E53AFE" w:rsidP="00E53AFE">
      <w:pPr>
        <w:pStyle w:val="KOMtext"/>
      </w:pPr>
    </w:p>
    <w:p w14:paraId="34CCC865" w14:textId="77777777" w:rsidR="00E53AFE" w:rsidRPr="00C93676" w:rsidRDefault="00E53AFE" w:rsidP="00E53AFE">
      <w:pPr>
        <w:pStyle w:val="KOMtext"/>
      </w:pPr>
    </w:p>
    <w:p w14:paraId="2E653322" w14:textId="0DE897D2" w:rsidR="000E486E" w:rsidRPr="006B6D61" w:rsidRDefault="00342109" w:rsidP="0077128B">
      <w:pPr>
        <w:pStyle w:val="KOMNadp1"/>
      </w:pPr>
      <w:bookmarkStart w:id="1188" w:name="_Toc128400092"/>
      <w:bookmarkStart w:id="1189" w:name="_Toc162269279"/>
      <w:r w:rsidRPr="006B6D61">
        <w:lastRenderedPageBreak/>
        <w:t>NÁROKY Z NESPOTŘEBOVANÝCH VÝDAJŮ OSS</w:t>
      </w:r>
      <w:bookmarkEnd w:id="1188"/>
      <w:bookmarkEnd w:id="1189"/>
    </w:p>
    <w:p w14:paraId="6003E6DF" w14:textId="2B2281F7" w:rsidR="00A62743" w:rsidRDefault="00A62743" w:rsidP="00A62743">
      <w:pPr>
        <w:pStyle w:val="KOMtext"/>
      </w:pPr>
      <w:r w:rsidRPr="003A054C">
        <w:t xml:space="preserve">V souladu s § 47 zákona č. 218/2000 Sb., o rozpočtových pravidlech, v platném znění, vznikají organizačním složkám státu nároky z nespotřebovaných výdajů minulých let (dále v textu „nároky“). Výše celkových nároků z nespotřebovaných výdajů organizačních složek státu </w:t>
      </w:r>
      <w:r w:rsidR="008E35E7">
        <w:br/>
      </w:r>
      <w:r w:rsidRPr="003A054C">
        <w:t>v rámci kapitoly 327 Ministerstvo dopravy k 1. 1. 2023 činila 18 977 578 tis. Kč.</w:t>
      </w:r>
    </w:p>
    <w:p w14:paraId="10BCD5A0" w14:textId="74DB5359" w:rsidR="00A62743" w:rsidRPr="003A054C" w:rsidRDefault="00A62743" w:rsidP="00A62743">
      <w:pPr>
        <w:pStyle w:val="KOMtext"/>
        <w:rPr>
          <w:b/>
        </w:rPr>
      </w:pPr>
      <w:r w:rsidRPr="003A054C">
        <w:rPr>
          <w:b/>
        </w:rPr>
        <w:t xml:space="preserve">Čerpání nároků za období I. – IV. čtvrtletí 2023 bylo ve výši 8 421 882 tis. Kč. </w:t>
      </w:r>
    </w:p>
    <w:p w14:paraId="375C2215" w14:textId="77777777" w:rsidR="00A62743" w:rsidRPr="003A054C" w:rsidRDefault="00A62743" w:rsidP="00A62743">
      <w:pPr>
        <w:pStyle w:val="KOMtext"/>
        <w:rPr>
          <w:b/>
        </w:rPr>
      </w:pPr>
      <w:r w:rsidRPr="003A054C">
        <w:rPr>
          <w:b/>
        </w:rPr>
        <w:t xml:space="preserve">Nároky vzniklé na straně profilujících výdajů byly čerpány v celkové výši </w:t>
      </w:r>
      <w:r w:rsidRPr="003A054C">
        <w:rPr>
          <w:b/>
        </w:rPr>
        <w:br/>
        <w:t xml:space="preserve">8 009 296 tis. Kč. </w:t>
      </w:r>
    </w:p>
    <w:p w14:paraId="649459FE" w14:textId="77777777" w:rsidR="00A62743" w:rsidRPr="00D1033F" w:rsidRDefault="00A62743" w:rsidP="00A62743">
      <w:pPr>
        <w:pStyle w:val="KOMtext"/>
      </w:pPr>
      <w:r w:rsidRPr="003A054C">
        <w:t xml:space="preserve">Nároky na platy státních zaměstnanců v I. - IV. čtvrtletí roku 2023 se čerpaly ve výši </w:t>
      </w:r>
      <w:r w:rsidRPr="003A054C">
        <w:br/>
        <w:t>19 952 tis. Kč u ústředního orgánu MD, OSS Úřad pro civilní letectví a OSS Drážní inspekce.</w:t>
      </w:r>
    </w:p>
    <w:p w14:paraId="2A4D415D" w14:textId="77777777" w:rsidR="00A62743" w:rsidRPr="003A054C" w:rsidRDefault="00A62743" w:rsidP="00A62743">
      <w:pPr>
        <w:pStyle w:val="KOMtext"/>
      </w:pPr>
      <w:r w:rsidRPr="003A054C">
        <w:t xml:space="preserve">Na platy a ostatní platby za provedenou práci kromě platů státních zaměstnanců </w:t>
      </w:r>
      <w:r w:rsidRPr="003A054C">
        <w:br/>
        <w:t>se nároky v I. – IV. čtvrtletí 2023 čerpaly ve výši 11 856 tis. Kč u ústředního orgánu MD, OSS Státní plavební správa a OSS Úřad pro civilní letectví.</w:t>
      </w:r>
    </w:p>
    <w:p w14:paraId="70D14953" w14:textId="77777777" w:rsidR="00A62743" w:rsidRPr="000A25F6" w:rsidRDefault="00A62743" w:rsidP="00A62743">
      <w:pPr>
        <w:pStyle w:val="KOMtext"/>
      </w:pPr>
      <w:r w:rsidRPr="003A054C">
        <w:t>Na čerpání profilujících výdajů se nejvíce podílí výdaje z rozpočtu Evropské unie včetně národních podílů (bez platů a OON), a to ve výši 7 385 033 tis. Kč.</w:t>
      </w:r>
    </w:p>
    <w:p w14:paraId="78B53DCF" w14:textId="77777777" w:rsidR="00AB7786" w:rsidRPr="005D180B" w:rsidRDefault="00AB7786" w:rsidP="00A62743">
      <w:pPr>
        <w:pStyle w:val="KOMtext"/>
        <w:rPr>
          <w:b/>
        </w:rPr>
      </w:pPr>
      <w:r w:rsidRPr="005D180B">
        <w:rPr>
          <w:b/>
        </w:rPr>
        <w:t>Jedná se o:</w:t>
      </w:r>
    </w:p>
    <w:p w14:paraId="146B6F49" w14:textId="77777777" w:rsidR="000D7547" w:rsidRPr="009516A8" w:rsidRDefault="000D7547" w:rsidP="000D7547">
      <w:pPr>
        <w:pStyle w:val="KOModrky"/>
        <w:spacing w:line="276" w:lineRule="auto"/>
      </w:pPr>
      <w:r w:rsidRPr="003A054C">
        <w:t>výdaje na Technickou pomoc Operačního programu Doprava (2014-2020) pro MD bez programu 127 03 (prostředky SR a EU) ve výš</w:t>
      </w:r>
      <w:r w:rsidRPr="009516A8">
        <w:t xml:space="preserve">i </w:t>
      </w:r>
      <w:r w:rsidRPr="003A054C">
        <w:t>5 846 tis. Kč,</w:t>
      </w:r>
    </w:p>
    <w:p w14:paraId="789905E7" w14:textId="65E09986" w:rsidR="000D7547" w:rsidRPr="003A054C" w:rsidRDefault="000D7547" w:rsidP="000D7547">
      <w:pPr>
        <w:pStyle w:val="KOModrky"/>
        <w:spacing w:line="276" w:lineRule="auto"/>
      </w:pPr>
      <w:r w:rsidRPr="003A054C">
        <w:t>Operační program Doprava (2014-2020) - program 127 77 „Podpora financování dopravy“ (prostředky EU) ve výši 2 204 409 tis. Kč,</w:t>
      </w:r>
    </w:p>
    <w:p w14:paraId="21846C93" w14:textId="52A669B9" w:rsidR="000D7547" w:rsidRPr="003A054C" w:rsidRDefault="000D7547" w:rsidP="000D7547">
      <w:pPr>
        <w:pStyle w:val="KOModrky"/>
        <w:spacing w:line="276" w:lineRule="auto"/>
      </w:pPr>
      <w:r w:rsidRPr="003A054C">
        <w:t>Operační program Doprava (2014-2020) - prostředky EU – program Z2701 „Dotace pro Státní fond infrastruktury“ ve výši 48 927 tis. Kč,</w:t>
      </w:r>
    </w:p>
    <w:p w14:paraId="70460E67" w14:textId="77777777" w:rsidR="000D7547" w:rsidRPr="003A054C" w:rsidRDefault="000D7547" w:rsidP="000D7547">
      <w:pPr>
        <w:pStyle w:val="KOModrky"/>
        <w:spacing w:line="276" w:lineRule="auto"/>
      </w:pPr>
      <w:r w:rsidRPr="003A054C">
        <w:t>Komunitární programy (2014-2020) - program 127 77 „Podpora financování dopravy“ (prostředky EU) ve výši 23 781 tis. Kč,</w:t>
      </w:r>
    </w:p>
    <w:p w14:paraId="4AA37ECD" w14:textId="77777777" w:rsidR="000D7547" w:rsidRPr="003A054C" w:rsidRDefault="000D7547" w:rsidP="000D7547">
      <w:pPr>
        <w:pStyle w:val="KOModrky"/>
        <w:spacing w:line="276" w:lineRule="auto"/>
      </w:pPr>
      <w:r w:rsidRPr="003A054C">
        <w:t>Operační program Doprava (2014-2020) - program 127 65 “Pořízení a modernizace železničních kolejových vozidel“ (prostředky EU) ve výši 3 698 082 tis. Kč,</w:t>
      </w:r>
    </w:p>
    <w:p w14:paraId="7D446233" w14:textId="77777777" w:rsidR="000D7547" w:rsidRPr="003A054C" w:rsidRDefault="000D7547" w:rsidP="000D7547">
      <w:pPr>
        <w:pStyle w:val="KOModrky"/>
        <w:spacing w:line="276" w:lineRule="auto"/>
      </w:pPr>
      <w:r w:rsidRPr="003A054C">
        <w:t>Komunitární programy (</w:t>
      </w:r>
      <w:proofErr w:type="gramStart"/>
      <w:r w:rsidRPr="003A054C">
        <w:t>2014 – 2020</w:t>
      </w:r>
      <w:proofErr w:type="gramEnd"/>
      <w:r w:rsidRPr="003A054C">
        <w:t>) neprogramové (prostředky SR a EU) - ústřední orgán MD ve výši 120 tis. Kč,</w:t>
      </w:r>
    </w:p>
    <w:p w14:paraId="437835AA" w14:textId="77777777" w:rsidR="000D7547" w:rsidRPr="003A054C" w:rsidRDefault="000D7547" w:rsidP="000D7547">
      <w:pPr>
        <w:pStyle w:val="KOModrky"/>
        <w:spacing w:line="276" w:lineRule="auto"/>
      </w:pPr>
      <w:r w:rsidRPr="003A054C">
        <w:t xml:space="preserve">NPO – Zrychlení a digitalizace stavebního řízení </w:t>
      </w:r>
      <w:proofErr w:type="gramStart"/>
      <w:r w:rsidRPr="003A054C">
        <w:t>-  neprogramové</w:t>
      </w:r>
      <w:proofErr w:type="gramEnd"/>
      <w:r w:rsidRPr="003A054C">
        <w:t xml:space="preserve"> (prostředky  EU) – OSS Dopravní a energetický stavební úřad ve výši 1 622 tis. Kč,</w:t>
      </w:r>
    </w:p>
    <w:p w14:paraId="75AF8D67" w14:textId="77777777" w:rsidR="000D7547" w:rsidRPr="003A054C" w:rsidRDefault="000D7547" w:rsidP="000D7547">
      <w:pPr>
        <w:pStyle w:val="KOModrky"/>
        <w:spacing w:line="276" w:lineRule="auto"/>
      </w:pPr>
      <w:r w:rsidRPr="003A054C">
        <w:lastRenderedPageBreak/>
        <w:t>Operační program zaměstnanost (2014–2020</w:t>
      </w:r>
      <w:proofErr w:type="gramStart"/>
      <w:r w:rsidRPr="003A054C">
        <w:t>)  –</w:t>
      </w:r>
      <w:proofErr w:type="gramEnd"/>
      <w:r w:rsidRPr="003A054C">
        <w:t xml:space="preserve">  OSS Drážní inspekce  (prostředky SR </w:t>
      </w:r>
      <w:r w:rsidRPr="003A054C">
        <w:br/>
        <w:t>a EU) program 127 03 „Rozvoj a obnova materiálně technické základny systému řízení MD – OSS“   ve výši 697 tis. Kč,</w:t>
      </w:r>
    </w:p>
    <w:p w14:paraId="6AD08FAB" w14:textId="180A5C2B" w:rsidR="000D7547" w:rsidRPr="003A054C" w:rsidRDefault="000D7547" w:rsidP="000D7547">
      <w:pPr>
        <w:pStyle w:val="KOModrky"/>
        <w:spacing w:line="276" w:lineRule="auto"/>
      </w:pPr>
      <w:r w:rsidRPr="003A054C">
        <w:t xml:space="preserve">NPO – Zrychlení a digitalizace stavebního </w:t>
      </w:r>
      <w:proofErr w:type="gramStart"/>
      <w:r w:rsidRPr="003A054C">
        <w:t>řízení - program</w:t>
      </w:r>
      <w:proofErr w:type="gramEnd"/>
      <w:r w:rsidRPr="003A054C">
        <w:t xml:space="preserve"> 127 07 „Rozvoj a obnova materiálně technické základny systému řízení MD – OSS“ (prostředky EU) – OSS Dopravní a energetický stavební úřad ve výši 6 941 tis. Kč,</w:t>
      </w:r>
    </w:p>
    <w:p w14:paraId="5E2478A6" w14:textId="77777777" w:rsidR="000D7547" w:rsidRPr="003A054C" w:rsidRDefault="000D7547" w:rsidP="000D7547">
      <w:pPr>
        <w:pStyle w:val="KOModrky"/>
        <w:spacing w:line="276" w:lineRule="auto"/>
      </w:pPr>
      <w:r w:rsidRPr="003A054C">
        <w:t>Operační program zaměstnanost (2014–2020) neprogramové – OSS Drážní inspekce (prostředky SR a EU) ve výši 466 tis. Kč,</w:t>
      </w:r>
    </w:p>
    <w:p w14:paraId="383556F1" w14:textId="7576DC63" w:rsidR="000D7547" w:rsidRPr="003A054C" w:rsidRDefault="000D7547" w:rsidP="000D7547">
      <w:pPr>
        <w:pStyle w:val="KOModrky"/>
        <w:spacing w:line="276" w:lineRule="auto"/>
      </w:pPr>
      <w:r w:rsidRPr="003A054C">
        <w:t xml:space="preserve">OP Podnikání a inovace pro konkurenceschopnost 2014+ - program </w:t>
      </w:r>
      <w:r w:rsidRPr="003A054C">
        <w:br/>
        <w:t>127 06 „Rozvoj a obnova MTZ systému řízení MD-PO,</w:t>
      </w:r>
      <w:r w:rsidR="008E35E7">
        <w:t xml:space="preserve"> </w:t>
      </w:r>
      <w:r w:rsidRPr="003A054C">
        <w:t xml:space="preserve">SFDI“ (prostředky EU) ve výši </w:t>
      </w:r>
      <w:r w:rsidRPr="003A054C">
        <w:br/>
        <w:t>136 594 tis. Kč,</w:t>
      </w:r>
    </w:p>
    <w:p w14:paraId="71551ED5" w14:textId="77777777" w:rsidR="000D7547" w:rsidRPr="003A054C" w:rsidRDefault="000D7547" w:rsidP="000D7547">
      <w:pPr>
        <w:pStyle w:val="KOModrky"/>
        <w:spacing w:line="276" w:lineRule="auto"/>
      </w:pPr>
      <w:r w:rsidRPr="003A054C">
        <w:t>Komunitární programy (</w:t>
      </w:r>
      <w:proofErr w:type="gramStart"/>
      <w:r w:rsidRPr="003A054C">
        <w:t>2014 – 2020</w:t>
      </w:r>
      <w:proofErr w:type="gramEnd"/>
      <w:r w:rsidRPr="003A054C">
        <w:t>) - (prostředky EU) – program Z2701 „Dotace pro Státní fond infrastruktury“ ve výši 1 674 tis. Kč,</w:t>
      </w:r>
    </w:p>
    <w:p w14:paraId="698CD5ED" w14:textId="30856D7A" w:rsidR="000D7547" w:rsidRPr="003A054C" w:rsidRDefault="000D7547" w:rsidP="000D7547">
      <w:pPr>
        <w:pStyle w:val="KOModrky"/>
        <w:spacing w:line="276" w:lineRule="auto"/>
      </w:pPr>
      <w:r w:rsidRPr="003A054C">
        <w:t>Národní plán obnovy – Facilita na podporu oživení a odolnosti (RRF)- program Z2701 „Dotace pro Státní fond infrastruktury“ (prostředky EU) ve výši 1 255 874 tis. Kč.</w:t>
      </w:r>
    </w:p>
    <w:p w14:paraId="3C2FCBC7" w14:textId="77777777" w:rsidR="003B22A7" w:rsidRPr="005D6320" w:rsidRDefault="003B22A7" w:rsidP="003B22A7">
      <w:pPr>
        <w:pStyle w:val="KOMtext"/>
        <w:rPr>
          <w:b/>
        </w:rPr>
      </w:pPr>
      <w:r w:rsidRPr="005D6320">
        <w:t xml:space="preserve">Dále se na čerpání profilujících výdajů podílí programy podle § 13 odst. 3 zákona </w:t>
      </w:r>
      <w:r w:rsidRPr="005D6320">
        <w:br/>
        <w:t>č. 218/2000 Sb., o rozpočtových pravidlech a o změně některých souvisejících zákonů (rozpočtová pravidla), a to ve výši 5</w:t>
      </w:r>
      <w:r w:rsidRPr="003A054C">
        <w:t>89 246</w:t>
      </w:r>
      <w:r w:rsidRPr="005D6320">
        <w:t xml:space="preserve"> tis. Kč.</w:t>
      </w:r>
      <w:r w:rsidRPr="005D6320">
        <w:rPr>
          <w:b/>
        </w:rPr>
        <w:t xml:space="preserve"> </w:t>
      </w:r>
    </w:p>
    <w:p w14:paraId="10A96B23" w14:textId="77777777" w:rsidR="003B22A7" w:rsidRPr="00772482" w:rsidRDefault="003B22A7" w:rsidP="003B22A7">
      <w:pPr>
        <w:keepLines/>
        <w:spacing w:before="120" w:after="120" w:line="276" w:lineRule="auto"/>
        <w:jc w:val="both"/>
        <w:rPr>
          <w:rFonts w:ascii="Times New Roman" w:eastAsia="Times New Roman" w:hAnsi="Times New Roman" w:cs="Times New Roman"/>
          <w:b/>
          <w:sz w:val="24"/>
          <w:szCs w:val="20"/>
          <w:lang w:eastAsia="cs-CZ"/>
        </w:rPr>
      </w:pPr>
      <w:r w:rsidRPr="00772482">
        <w:rPr>
          <w:rFonts w:ascii="Times New Roman" w:eastAsia="Times New Roman" w:hAnsi="Times New Roman" w:cs="Times New Roman"/>
          <w:b/>
          <w:sz w:val="24"/>
          <w:szCs w:val="20"/>
          <w:lang w:eastAsia="cs-CZ"/>
        </w:rPr>
        <w:t xml:space="preserve">Jedná se o programy: </w:t>
      </w:r>
    </w:p>
    <w:p w14:paraId="4E7FC906" w14:textId="77777777" w:rsidR="003B22A7" w:rsidRDefault="003B22A7" w:rsidP="003B22A7">
      <w:pPr>
        <w:pStyle w:val="KOModrky"/>
        <w:ind w:left="720" w:hanging="360"/>
      </w:pPr>
      <w:r w:rsidRPr="00772482">
        <w:t xml:space="preserve">program 127 03 „Rozvoj a obnova materiálně technické základny systému řízení MD – OSS“ ve výši </w:t>
      </w:r>
      <w:r w:rsidRPr="003A054C">
        <w:t>87 166</w:t>
      </w:r>
      <w:r w:rsidRPr="00772482">
        <w:t xml:space="preserve"> tis. Kč,</w:t>
      </w:r>
    </w:p>
    <w:p w14:paraId="174FC492" w14:textId="77777777" w:rsidR="003B22A7" w:rsidRPr="00101408" w:rsidRDefault="003B22A7" w:rsidP="003B22A7">
      <w:pPr>
        <w:pStyle w:val="KOModrky"/>
        <w:spacing w:line="276" w:lineRule="auto"/>
      </w:pPr>
      <w:r w:rsidRPr="003A054C">
        <w:t>program 127 07 „Rozvoj a obnova materiálně technické základny systému řízení MD – OSS“ ve výši 65 798 tis. Kč,</w:t>
      </w:r>
    </w:p>
    <w:p w14:paraId="6A34E343" w14:textId="026D5CC7" w:rsidR="003B22A7" w:rsidRDefault="003B22A7" w:rsidP="003B22A7">
      <w:pPr>
        <w:pStyle w:val="KOModrky"/>
        <w:ind w:left="720" w:hanging="360"/>
      </w:pPr>
      <w:r w:rsidRPr="00101408">
        <w:t>program 127 06 „Rozvoj a obnova materiálně-technické základy systému řízení MD-PO,</w:t>
      </w:r>
      <w:r w:rsidR="008E35E7">
        <w:t xml:space="preserve"> </w:t>
      </w:r>
      <w:r w:rsidRPr="00101408">
        <w:t xml:space="preserve">SFDI“ ve výši 4 </w:t>
      </w:r>
      <w:r w:rsidRPr="003A054C">
        <w:t>726</w:t>
      </w:r>
      <w:r w:rsidRPr="00101408">
        <w:t xml:space="preserve"> tis. Kč,</w:t>
      </w:r>
    </w:p>
    <w:p w14:paraId="09FF7376" w14:textId="388CE5A2" w:rsidR="003B22A7" w:rsidRPr="00101408" w:rsidRDefault="003B22A7" w:rsidP="003B22A7">
      <w:pPr>
        <w:pStyle w:val="KOModrky"/>
        <w:spacing w:line="276" w:lineRule="auto"/>
      </w:pPr>
      <w:r w:rsidRPr="003A054C">
        <w:t xml:space="preserve">program 127 67 „Podpora obnovy historických železničních kolejových vozidel </w:t>
      </w:r>
      <w:r w:rsidRPr="003A054C">
        <w:br/>
        <w:t xml:space="preserve">v období </w:t>
      </w:r>
      <w:proofErr w:type="gramStart"/>
      <w:r w:rsidRPr="003A054C">
        <w:t>2021 – 2023</w:t>
      </w:r>
      <w:proofErr w:type="gramEnd"/>
      <w:r w:rsidRPr="003A054C">
        <w:t>“ ve výši 1 606 tis. Kč,</w:t>
      </w:r>
    </w:p>
    <w:p w14:paraId="27FD1B7C" w14:textId="77777777" w:rsidR="003B22A7" w:rsidRDefault="003B22A7" w:rsidP="003B22A7">
      <w:pPr>
        <w:pStyle w:val="KOModrky"/>
        <w:ind w:left="720" w:hanging="360"/>
      </w:pPr>
      <w:r w:rsidRPr="00101408">
        <w:t>program 127 77 „Podpora financování dopravy“ ve výši 4</w:t>
      </w:r>
      <w:r w:rsidRPr="003A054C">
        <w:t>29 949</w:t>
      </w:r>
      <w:r w:rsidRPr="00101408">
        <w:t xml:space="preserve"> tis. Kč.</w:t>
      </w:r>
    </w:p>
    <w:p w14:paraId="0CCAB6DD" w14:textId="3D68E644" w:rsidR="004A7B87" w:rsidRPr="003A054C" w:rsidRDefault="004A7B87" w:rsidP="004A7B87">
      <w:pPr>
        <w:pStyle w:val="KOMtext"/>
        <w:rPr>
          <w:b/>
        </w:rPr>
      </w:pPr>
      <w:r w:rsidRPr="003A054C">
        <w:rPr>
          <w:b/>
        </w:rPr>
        <w:t xml:space="preserve">Účelově určené výdaje § 21 odst. 3 a 4 se na čerpání profilujících výdajů podílí ve výši </w:t>
      </w:r>
      <w:r w:rsidR="008E35E7">
        <w:rPr>
          <w:b/>
        </w:rPr>
        <w:br/>
      </w:r>
      <w:r w:rsidRPr="003A054C">
        <w:rPr>
          <w:b/>
        </w:rPr>
        <w:t>3 208 tis. Kč. Jedná se o tituly:</w:t>
      </w:r>
    </w:p>
    <w:p w14:paraId="57D5F6A7" w14:textId="7C5693E5" w:rsidR="004A7B87" w:rsidRPr="003A054C" w:rsidRDefault="004A7B87" w:rsidP="008E35E7">
      <w:pPr>
        <w:pStyle w:val="Odstavecseseznamem"/>
        <w:numPr>
          <w:ilvl w:val="0"/>
          <w:numId w:val="5"/>
        </w:numPr>
        <w:jc w:val="both"/>
        <w:rPr>
          <w:rFonts w:eastAsia="Times New Roman" w:cs="Times New Roman"/>
          <w:sz w:val="24"/>
          <w:szCs w:val="20"/>
          <w:lang w:eastAsia="cs-CZ"/>
        </w:rPr>
      </w:pPr>
      <w:r w:rsidRPr="003A054C">
        <w:rPr>
          <w:rFonts w:eastAsia="Times New Roman" w:cs="Times New Roman"/>
          <w:sz w:val="24"/>
          <w:szCs w:val="20"/>
          <w:lang w:eastAsia="cs-CZ"/>
        </w:rPr>
        <w:t xml:space="preserve">účel č. 223980032 – navýšení prostředků na platy a příslušenství v souvislosti </w:t>
      </w:r>
      <w:r w:rsidR="008E35E7">
        <w:rPr>
          <w:rFonts w:eastAsia="Times New Roman" w:cs="Times New Roman"/>
          <w:sz w:val="24"/>
          <w:szCs w:val="20"/>
          <w:lang w:eastAsia="cs-CZ"/>
        </w:rPr>
        <w:br/>
      </w:r>
      <w:r w:rsidRPr="003A054C">
        <w:rPr>
          <w:rFonts w:eastAsia="Times New Roman" w:cs="Times New Roman"/>
          <w:sz w:val="24"/>
          <w:szCs w:val="20"/>
          <w:lang w:eastAsia="cs-CZ"/>
        </w:rPr>
        <w:t>s valorizací platových tarifů od 1. 9. 2022 ve výši 3 208 tis. Kč.</w:t>
      </w:r>
    </w:p>
    <w:p w14:paraId="4664519D" w14:textId="77777777" w:rsidR="004A7B87" w:rsidRDefault="004A7B87" w:rsidP="004A7B87">
      <w:pPr>
        <w:pStyle w:val="KOModrky"/>
        <w:numPr>
          <w:ilvl w:val="0"/>
          <w:numId w:val="0"/>
        </w:numPr>
        <w:ind w:left="720" w:hanging="360"/>
      </w:pPr>
    </w:p>
    <w:p w14:paraId="119BD1EC" w14:textId="77777777" w:rsidR="004A7B87" w:rsidRDefault="004A7B87" w:rsidP="004A7B87">
      <w:pPr>
        <w:pStyle w:val="KOModrky"/>
        <w:numPr>
          <w:ilvl w:val="0"/>
          <w:numId w:val="0"/>
        </w:numPr>
        <w:ind w:left="720" w:hanging="360"/>
      </w:pPr>
    </w:p>
    <w:p w14:paraId="6D21E7D8" w14:textId="77777777" w:rsidR="004A7B87" w:rsidRPr="009F75FD" w:rsidRDefault="004A7B87" w:rsidP="004A7B87">
      <w:pPr>
        <w:pStyle w:val="KOMtext"/>
        <w:rPr>
          <w:b/>
        </w:rPr>
      </w:pPr>
      <w:r w:rsidRPr="009F75FD">
        <w:rPr>
          <w:b/>
        </w:rPr>
        <w:lastRenderedPageBreak/>
        <w:t xml:space="preserve">Nároky vzniklé jako neprofilující výdaje byly čerpány v celkové výši </w:t>
      </w:r>
      <w:r w:rsidRPr="003A054C">
        <w:rPr>
          <w:b/>
        </w:rPr>
        <w:t>412 586</w:t>
      </w:r>
      <w:r w:rsidRPr="009F75FD">
        <w:rPr>
          <w:b/>
        </w:rPr>
        <w:t xml:space="preserve"> tis. Kč. </w:t>
      </w:r>
    </w:p>
    <w:p w14:paraId="0B2DF2D9" w14:textId="23F58C0A" w:rsidR="00613956" w:rsidRDefault="00904A8F" w:rsidP="00904A8F">
      <w:pPr>
        <w:pStyle w:val="KOMtext"/>
      </w:pPr>
      <w:r w:rsidRPr="006B6D61">
        <w:t>Jedná se zejména o titul</w:t>
      </w:r>
      <w:r w:rsidR="00AA75BA">
        <w:t>y:</w:t>
      </w:r>
    </w:p>
    <w:p w14:paraId="64BD5817" w14:textId="77777777" w:rsidR="00613956" w:rsidRPr="006B6D61" w:rsidRDefault="00613956" w:rsidP="00613956">
      <w:pPr>
        <w:pStyle w:val="KOModrky"/>
        <w:spacing w:line="276" w:lineRule="auto"/>
      </w:pPr>
      <w:r w:rsidRPr="006B6D61">
        <w:t>program ROCET ve výši 92 545 tis. Kč,</w:t>
      </w:r>
    </w:p>
    <w:p w14:paraId="4EE948D7" w14:textId="1E0A1E52" w:rsidR="00613956" w:rsidRPr="006B6D61" w:rsidRDefault="00613956" w:rsidP="00613956">
      <w:pPr>
        <w:pStyle w:val="KOModrky"/>
        <w:spacing w:line="276" w:lineRule="auto"/>
      </w:pPr>
      <w:r w:rsidRPr="006B6D61">
        <w:t>prostředky poskytnuté na úhradu výdajů za výcvik řídících letového provozu Armády ČR ve výši 3 071 tis. Kč,</w:t>
      </w:r>
    </w:p>
    <w:p w14:paraId="669C3BD1" w14:textId="5D2061BE" w:rsidR="00613956" w:rsidRPr="006B6D61" w:rsidRDefault="00613956" w:rsidP="00613956">
      <w:pPr>
        <w:pStyle w:val="KOModrky"/>
        <w:spacing w:line="276" w:lineRule="auto"/>
      </w:pPr>
      <w:r w:rsidRPr="006B6D61">
        <w:t xml:space="preserve">neinvestiční příspěvek ŘSD na úhradu pokut vyměřených finančním úřadem </w:t>
      </w:r>
      <w:r w:rsidR="008E35E7">
        <w:br/>
      </w:r>
      <w:r w:rsidRPr="006B6D61">
        <w:t>3 487 tis. Kč,</w:t>
      </w:r>
    </w:p>
    <w:p w14:paraId="12AFA75B" w14:textId="165BB94F" w:rsidR="00613956" w:rsidRPr="006B6D61" w:rsidRDefault="00613956" w:rsidP="00613956">
      <w:pPr>
        <w:pStyle w:val="KOModrky"/>
        <w:spacing w:line="276" w:lineRule="auto"/>
      </w:pPr>
      <w:r w:rsidRPr="006B6D61">
        <w:t>zajištění správy a provozu Výcvikového střediska Kojetín ve výši 252 tis. Kč</w:t>
      </w:r>
      <w:r w:rsidR="00036C83">
        <w:t>,</w:t>
      </w:r>
    </w:p>
    <w:p w14:paraId="77B40D25" w14:textId="77777777" w:rsidR="00613956" w:rsidRPr="00036C83" w:rsidRDefault="00613956" w:rsidP="00613956">
      <w:pPr>
        <w:pStyle w:val="KOModrky"/>
        <w:spacing w:line="276" w:lineRule="auto"/>
      </w:pPr>
      <w:r w:rsidRPr="006B6D61">
        <w:t>neinvestiční příspěvek ŘSD určený na vrácení prostředků SFDI ve výši 69 675 tis. Kč,</w:t>
      </w:r>
    </w:p>
    <w:p w14:paraId="51694265" w14:textId="77777777" w:rsidR="00613956" w:rsidRPr="006B6D61" w:rsidRDefault="00613956" w:rsidP="00613956">
      <w:pPr>
        <w:pStyle w:val="KOModrky"/>
        <w:spacing w:line="276" w:lineRule="auto"/>
      </w:pPr>
      <w:r w:rsidRPr="006B6D61">
        <w:t>poskytování letových provozních služeb H 24 na regionálních letištích 100 000 tis. Kč,</w:t>
      </w:r>
    </w:p>
    <w:p w14:paraId="4E250391" w14:textId="77777777" w:rsidR="00613956" w:rsidRPr="006B6D61" w:rsidRDefault="00613956" w:rsidP="00613956">
      <w:pPr>
        <w:pStyle w:val="KOModrky"/>
        <w:spacing w:line="276" w:lineRule="auto"/>
      </w:pPr>
      <w:r w:rsidRPr="006B6D61">
        <w:t>příslušenství k platům a ostatním platbám za provedenou práci ve výši 6 639 tis. Kč,</w:t>
      </w:r>
    </w:p>
    <w:p w14:paraId="7D06BA92" w14:textId="0539FC98" w:rsidR="00613956" w:rsidRPr="006B6D61" w:rsidRDefault="00613956" w:rsidP="00613956">
      <w:pPr>
        <w:pStyle w:val="KOModrky"/>
        <w:spacing w:line="276" w:lineRule="auto"/>
      </w:pPr>
      <w:r w:rsidRPr="006B6D61">
        <w:t>úhrada provozních nákladů spojených se zaváděním U-</w:t>
      </w:r>
      <w:proofErr w:type="spellStart"/>
      <w:r w:rsidRPr="006B6D61">
        <w:t>space</w:t>
      </w:r>
      <w:proofErr w:type="spellEnd"/>
      <w:r w:rsidRPr="006B6D61">
        <w:t xml:space="preserve"> v ČR ve výši 20 000 tis. Kč,</w:t>
      </w:r>
    </w:p>
    <w:p w14:paraId="06307EA2" w14:textId="77777777" w:rsidR="00613956" w:rsidRPr="006B6D61" w:rsidRDefault="00613956" w:rsidP="00613956">
      <w:pPr>
        <w:pStyle w:val="KOModrky"/>
        <w:spacing w:line="276" w:lineRule="auto"/>
      </w:pPr>
      <w:r w:rsidRPr="006B6D61">
        <w:t xml:space="preserve"> krytí výdajů na ESA ve výši 47 587 tis. Kč,</w:t>
      </w:r>
    </w:p>
    <w:p w14:paraId="0D76CF9E" w14:textId="77777777" w:rsidR="00613956" w:rsidRPr="006B6D61" w:rsidRDefault="00613956" w:rsidP="00613956">
      <w:pPr>
        <w:pStyle w:val="KOModrky"/>
        <w:spacing w:line="276" w:lineRule="auto"/>
      </w:pPr>
      <w:proofErr w:type="gramStart"/>
      <w:r w:rsidRPr="006B6D61">
        <w:t>MD- pořízení</w:t>
      </w:r>
      <w:proofErr w:type="gramEnd"/>
      <w:r w:rsidRPr="006B6D61">
        <w:t xml:space="preserve"> notebooků ve výši 18 634 tis. Kč,</w:t>
      </w:r>
    </w:p>
    <w:p w14:paraId="79B93D5B" w14:textId="1C9C0DAA" w:rsidR="00904A8F" w:rsidRPr="0077128B" w:rsidRDefault="00613956" w:rsidP="006B6D61">
      <w:pPr>
        <w:pStyle w:val="KOModrky"/>
        <w:spacing w:line="276" w:lineRule="auto"/>
      </w:pPr>
      <w:r w:rsidRPr="00036C83">
        <w:t xml:space="preserve">ostatní výdaje organizačních složek státu vč. ústředního orgánu MD ve výši </w:t>
      </w:r>
      <w:r w:rsidRPr="00036C83">
        <w:br/>
        <w:t>50 696 tis. Kč.</w:t>
      </w:r>
    </w:p>
    <w:p w14:paraId="7D41D270" w14:textId="4ADDC8BF" w:rsidR="004737BB" w:rsidRDefault="004737BB" w:rsidP="004737BB">
      <w:pPr>
        <w:pStyle w:val="KOMtext"/>
      </w:pPr>
      <w:r w:rsidRPr="00F706F2">
        <w:t>Stav nároků z nespotřebovaných výdajů byl k 31. 12. 202</w:t>
      </w:r>
      <w:r w:rsidRPr="003A054C">
        <w:t>3</w:t>
      </w:r>
      <w:r w:rsidRPr="00F706F2">
        <w:t xml:space="preserve"> snížen z důvodu ukončení podle </w:t>
      </w:r>
      <w:r w:rsidRPr="00F706F2">
        <w:br/>
        <w:t xml:space="preserve">§ 47 odst. 6 </w:t>
      </w:r>
      <w:proofErr w:type="spellStart"/>
      <w:r w:rsidRPr="00F706F2">
        <w:t>písm</w:t>
      </w:r>
      <w:proofErr w:type="spellEnd"/>
      <w:r w:rsidRPr="00F706F2">
        <w:t xml:space="preserve"> b) až e) zákona č. 218/2000 Sb., o rozpočtových pravidlech, v platném znění, o částku </w:t>
      </w:r>
      <w:r>
        <w:t>1 196</w:t>
      </w:r>
      <w:r w:rsidRPr="00F706F2">
        <w:t xml:space="preserve"> tis. Kč, v tom:</w:t>
      </w:r>
      <w:r>
        <w:t xml:space="preserve"> </w:t>
      </w:r>
      <w:r w:rsidRPr="003A054C">
        <w:t>snížení o částky určené na programy a projekty spolufinancované z rozpočtu Evropské unie a programy podle § 13 odst.3</w:t>
      </w:r>
      <w:r>
        <w:t>, které již skončily ve výši 1 196</w:t>
      </w:r>
      <w:r w:rsidRPr="003A054C">
        <w:t xml:space="preserve"> tis. Kč v tom:  </w:t>
      </w:r>
    </w:p>
    <w:p w14:paraId="6133033A" w14:textId="20D1B495" w:rsidR="004737BB" w:rsidRDefault="004737BB" w:rsidP="00D05A89">
      <w:pPr>
        <w:pStyle w:val="KOMtext"/>
        <w:keepLines w:val="0"/>
        <w:numPr>
          <w:ilvl w:val="0"/>
          <w:numId w:val="6"/>
        </w:numPr>
        <w:spacing w:line="240" w:lineRule="auto"/>
      </w:pPr>
      <w:r w:rsidRPr="003A054C">
        <w:t>ukončení projektu RIS COMEX u OSS</w:t>
      </w:r>
      <w:r>
        <w:t xml:space="preserve"> </w:t>
      </w:r>
      <w:r w:rsidRPr="003A054C">
        <w:t>Státní</w:t>
      </w:r>
      <w:r>
        <w:t xml:space="preserve"> </w:t>
      </w:r>
      <w:r w:rsidRPr="003A054C">
        <w:t>plavební správa ve výši 190 tis. Kč</w:t>
      </w:r>
      <w:r>
        <w:t>,</w:t>
      </w:r>
    </w:p>
    <w:p w14:paraId="7D0FC1AD" w14:textId="28096B62" w:rsidR="004737BB" w:rsidRDefault="004737BB" w:rsidP="00D05A89">
      <w:pPr>
        <w:pStyle w:val="KOMtext"/>
        <w:keepLines w:val="0"/>
        <w:numPr>
          <w:ilvl w:val="0"/>
          <w:numId w:val="6"/>
        </w:numPr>
        <w:spacing w:line="240" w:lineRule="auto"/>
      </w:pPr>
      <w:r>
        <w:t xml:space="preserve">ukončení </w:t>
      </w:r>
      <w:r w:rsidRPr="006B6D61">
        <w:t>projektu</w:t>
      </w:r>
      <w:r>
        <w:rPr>
          <w:color w:val="FF0000"/>
        </w:rPr>
        <w:t xml:space="preserve"> </w:t>
      </w:r>
      <w:r>
        <w:t>OPZ u ústředního orgánu MD ve výši 1 006 tis. Kč.</w:t>
      </w:r>
    </w:p>
    <w:p w14:paraId="1EAAF9D0" w14:textId="77777777" w:rsidR="00A722A3" w:rsidRDefault="00A722A3" w:rsidP="00A722A3">
      <w:pPr>
        <w:pStyle w:val="KOMtext"/>
        <w:keepLines w:val="0"/>
        <w:spacing w:line="240" w:lineRule="auto"/>
      </w:pPr>
    </w:p>
    <w:p w14:paraId="13DFC1A6" w14:textId="77777777" w:rsidR="00A722A3" w:rsidRDefault="00A722A3" w:rsidP="00A722A3">
      <w:pPr>
        <w:pStyle w:val="KOMtext"/>
        <w:keepLines w:val="0"/>
        <w:spacing w:line="240" w:lineRule="auto"/>
      </w:pPr>
    </w:p>
    <w:p w14:paraId="5A9A4E9D" w14:textId="77777777" w:rsidR="00A722A3" w:rsidRDefault="00A722A3" w:rsidP="00A722A3">
      <w:pPr>
        <w:pStyle w:val="KOMtext"/>
        <w:keepLines w:val="0"/>
        <w:spacing w:line="240" w:lineRule="auto"/>
      </w:pPr>
    </w:p>
    <w:p w14:paraId="224AD40B" w14:textId="77777777" w:rsidR="00A722A3" w:rsidRDefault="00A722A3" w:rsidP="00A722A3">
      <w:pPr>
        <w:pStyle w:val="KOMtext"/>
        <w:keepLines w:val="0"/>
        <w:spacing w:line="240" w:lineRule="auto"/>
      </w:pPr>
    </w:p>
    <w:p w14:paraId="514967B4" w14:textId="01509565" w:rsidR="00AC0D89" w:rsidRPr="006A755F" w:rsidRDefault="00AC0D89" w:rsidP="008A0E44">
      <w:pPr>
        <w:pStyle w:val="KOMnadp4"/>
      </w:pPr>
      <w:r w:rsidRPr="006A755F">
        <w:lastRenderedPageBreak/>
        <w:t>Stav a čerpání nároků z nespotřebovaných výdajů dle jednotlivých OSS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1420"/>
        <w:gridCol w:w="1430"/>
        <w:gridCol w:w="1569"/>
        <w:gridCol w:w="1445"/>
      </w:tblGrid>
      <w:tr w:rsidR="00AC0D89" w:rsidRPr="006A755F" w14:paraId="1F7D5B45" w14:textId="77777777" w:rsidTr="003441A9">
        <w:tc>
          <w:tcPr>
            <w:tcW w:w="3198" w:type="dxa"/>
            <w:shd w:val="clear" w:color="auto" w:fill="D9D9D9" w:themeFill="background1" w:themeFillShade="D9"/>
            <w:vAlign w:val="center"/>
          </w:tcPr>
          <w:p w14:paraId="081C3911" w14:textId="77777777" w:rsidR="00AC0D89" w:rsidRPr="006A755F" w:rsidRDefault="00AC0D89" w:rsidP="003441A9">
            <w:pPr>
              <w:spacing w:after="0"/>
              <w:jc w:val="center"/>
              <w:rPr>
                <w:b/>
                <w:szCs w:val="20"/>
              </w:rPr>
            </w:pPr>
            <w:r w:rsidRPr="006A755F">
              <w:rPr>
                <w:b/>
                <w:szCs w:val="20"/>
              </w:rPr>
              <w:t>Organizační složka státu</w:t>
            </w:r>
          </w:p>
        </w:tc>
        <w:tc>
          <w:tcPr>
            <w:tcW w:w="1420" w:type="dxa"/>
            <w:shd w:val="clear" w:color="auto" w:fill="D9D9D9" w:themeFill="background1" w:themeFillShade="D9"/>
            <w:vAlign w:val="center"/>
          </w:tcPr>
          <w:p w14:paraId="3DC5EF08" w14:textId="77777777" w:rsidR="00AC0D89" w:rsidRPr="006A755F" w:rsidRDefault="00AC0D89" w:rsidP="003441A9">
            <w:pPr>
              <w:spacing w:after="0"/>
              <w:jc w:val="center"/>
              <w:rPr>
                <w:b/>
                <w:szCs w:val="20"/>
              </w:rPr>
            </w:pPr>
            <w:r w:rsidRPr="006A755F">
              <w:rPr>
                <w:b/>
                <w:szCs w:val="20"/>
              </w:rPr>
              <w:t>Stav nároků k </w:t>
            </w:r>
            <w:r>
              <w:rPr>
                <w:b/>
                <w:szCs w:val="20"/>
              </w:rPr>
              <w:t>1. 1. 2023</w:t>
            </w:r>
            <w:r w:rsidRPr="006A755F">
              <w:rPr>
                <w:b/>
                <w:szCs w:val="20"/>
              </w:rPr>
              <w:t xml:space="preserve"> v tis. Kč</w:t>
            </w:r>
          </w:p>
        </w:tc>
        <w:tc>
          <w:tcPr>
            <w:tcW w:w="1430" w:type="dxa"/>
            <w:shd w:val="clear" w:color="auto" w:fill="D9D9D9" w:themeFill="background1" w:themeFillShade="D9"/>
          </w:tcPr>
          <w:p w14:paraId="6D6FE609" w14:textId="77777777" w:rsidR="00AC0D89" w:rsidRDefault="00AC0D89" w:rsidP="003441A9">
            <w:pPr>
              <w:spacing w:after="0"/>
              <w:jc w:val="center"/>
              <w:rPr>
                <w:b/>
                <w:szCs w:val="20"/>
              </w:rPr>
            </w:pPr>
          </w:p>
          <w:p w14:paraId="78D8E931" w14:textId="77777777" w:rsidR="00AC0D89" w:rsidRDefault="00AC0D89" w:rsidP="003441A9">
            <w:pPr>
              <w:spacing w:after="0"/>
              <w:jc w:val="center"/>
              <w:rPr>
                <w:b/>
                <w:szCs w:val="20"/>
              </w:rPr>
            </w:pPr>
            <w:r>
              <w:rPr>
                <w:b/>
                <w:szCs w:val="20"/>
              </w:rPr>
              <w:t>Převod                     z MMR v roce 2023</w:t>
            </w:r>
          </w:p>
          <w:p w14:paraId="3476FBCE" w14:textId="77777777" w:rsidR="00AC0D89" w:rsidRPr="006A755F" w:rsidRDefault="00AC0D89" w:rsidP="003441A9">
            <w:pPr>
              <w:spacing w:after="0"/>
              <w:jc w:val="center"/>
              <w:rPr>
                <w:b/>
                <w:szCs w:val="20"/>
              </w:rPr>
            </w:pPr>
            <w:r>
              <w:rPr>
                <w:b/>
                <w:szCs w:val="20"/>
              </w:rPr>
              <w:t>v tis. Kč</w:t>
            </w:r>
          </w:p>
        </w:tc>
        <w:tc>
          <w:tcPr>
            <w:tcW w:w="1569" w:type="dxa"/>
            <w:shd w:val="clear" w:color="auto" w:fill="D9D9D9" w:themeFill="background1" w:themeFillShade="D9"/>
            <w:vAlign w:val="center"/>
          </w:tcPr>
          <w:p w14:paraId="53A6E32E" w14:textId="77777777" w:rsidR="00AC0D89" w:rsidRPr="006A755F" w:rsidRDefault="00AC0D89" w:rsidP="003441A9">
            <w:pPr>
              <w:spacing w:after="0"/>
              <w:jc w:val="center"/>
              <w:rPr>
                <w:b/>
                <w:szCs w:val="20"/>
              </w:rPr>
            </w:pPr>
            <w:r w:rsidRPr="006A755F">
              <w:rPr>
                <w:b/>
                <w:szCs w:val="20"/>
              </w:rPr>
              <w:t>Čerpání nároků k </w:t>
            </w:r>
            <w:r>
              <w:rPr>
                <w:b/>
                <w:szCs w:val="20"/>
              </w:rPr>
              <w:t>31. 12. 2023</w:t>
            </w:r>
            <w:r w:rsidRPr="006A755F">
              <w:rPr>
                <w:b/>
                <w:szCs w:val="20"/>
              </w:rPr>
              <w:t xml:space="preserve"> v tis. Kč</w:t>
            </w:r>
          </w:p>
        </w:tc>
        <w:tc>
          <w:tcPr>
            <w:tcW w:w="1445" w:type="dxa"/>
            <w:shd w:val="clear" w:color="auto" w:fill="D9D9D9" w:themeFill="background1" w:themeFillShade="D9"/>
            <w:vAlign w:val="center"/>
          </w:tcPr>
          <w:p w14:paraId="44663147" w14:textId="77777777" w:rsidR="00AC0D89" w:rsidRPr="006A755F" w:rsidRDefault="00AC0D89" w:rsidP="003441A9">
            <w:pPr>
              <w:spacing w:after="0"/>
              <w:jc w:val="center"/>
              <w:rPr>
                <w:b/>
                <w:szCs w:val="20"/>
              </w:rPr>
            </w:pPr>
            <w:r w:rsidRPr="006A755F">
              <w:rPr>
                <w:b/>
                <w:szCs w:val="20"/>
              </w:rPr>
              <w:t>Stav nároků k </w:t>
            </w:r>
            <w:r>
              <w:rPr>
                <w:b/>
                <w:szCs w:val="20"/>
              </w:rPr>
              <w:t>1. 1. 2024</w:t>
            </w:r>
            <w:r w:rsidRPr="006A755F">
              <w:rPr>
                <w:b/>
                <w:szCs w:val="20"/>
              </w:rPr>
              <w:t xml:space="preserve"> v tis. Kč</w:t>
            </w:r>
          </w:p>
        </w:tc>
      </w:tr>
      <w:tr w:rsidR="00AC0D89" w:rsidRPr="006A755F" w14:paraId="25DB945B" w14:textId="77777777" w:rsidTr="003441A9">
        <w:tc>
          <w:tcPr>
            <w:tcW w:w="3198" w:type="dxa"/>
            <w:shd w:val="clear" w:color="auto" w:fill="auto"/>
          </w:tcPr>
          <w:p w14:paraId="27231DD1" w14:textId="77777777" w:rsidR="00AC0D89" w:rsidRPr="006A755F" w:rsidRDefault="00AC0D89" w:rsidP="003441A9">
            <w:pPr>
              <w:spacing w:before="81" w:after="108"/>
              <w:rPr>
                <w:b/>
                <w:szCs w:val="20"/>
              </w:rPr>
            </w:pPr>
            <w:r w:rsidRPr="006A755F">
              <w:rPr>
                <w:b/>
                <w:szCs w:val="20"/>
              </w:rPr>
              <w:t>Ministerstvo dopravy – ústřední orgán</w:t>
            </w:r>
          </w:p>
        </w:tc>
        <w:tc>
          <w:tcPr>
            <w:tcW w:w="1420" w:type="dxa"/>
            <w:shd w:val="clear" w:color="auto" w:fill="auto"/>
            <w:vAlign w:val="center"/>
          </w:tcPr>
          <w:p w14:paraId="093B93CD" w14:textId="77777777" w:rsidR="00AC0D89" w:rsidRPr="006B6D61" w:rsidRDefault="00AC0D89" w:rsidP="003441A9">
            <w:pPr>
              <w:spacing w:before="81" w:after="108"/>
              <w:jc w:val="right"/>
              <w:rPr>
                <w:szCs w:val="20"/>
              </w:rPr>
            </w:pPr>
            <w:r w:rsidRPr="006B6D61">
              <w:rPr>
                <w:szCs w:val="20"/>
              </w:rPr>
              <w:t>18 844 878</w:t>
            </w:r>
          </w:p>
        </w:tc>
        <w:tc>
          <w:tcPr>
            <w:tcW w:w="1430" w:type="dxa"/>
            <w:vAlign w:val="center"/>
          </w:tcPr>
          <w:p w14:paraId="4DA1CDC7"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53602EDF" w14:textId="77777777" w:rsidR="00AC0D89" w:rsidRPr="006B6D61" w:rsidRDefault="00AC0D89" w:rsidP="003441A9">
            <w:pPr>
              <w:spacing w:before="81" w:after="108"/>
              <w:jc w:val="right"/>
              <w:rPr>
                <w:szCs w:val="20"/>
              </w:rPr>
            </w:pPr>
            <w:r w:rsidRPr="006B6D61">
              <w:rPr>
                <w:szCs w:val="20"/>
              </w:rPr>
              <w:t>8 345 521</w:t>
            </w:r>
          </w:p>
        </w:tc>
        <w:tc>
          <w:tcPr>
            <w:tcW w:w="1445" w:type="dxa"/>
            <w:shd w:val="clear" w:color="auto" w:fill="auto"/>
            <w:vAlign w:val="center"/>
          </w:tcPr>
          <w:p w14:paraId="2BF30A36" w14:textId="77777777" w:rsidR="00AC0D89" w:rsidRPr="006B6D61" w:rsidRDefault="00AC0D89" w:rsidP="003441A9">
            <w:pPr>
              <w:spacing w:before="81" w:after="108"/>
              <w:jc w:val="right"/>
              <w:rPr>
                <w:szCs w:val="20"/>
              </w:rPr>
            </w:pPr>
            <w:r w:rsidRPr="006B6D61">
              <w:rPr>
                <w:szCs w:val="20"/>
              </w:rPr>
              <w:t>20 241 652</w:t>
            </w:r>
          </w:p>
        </w:tc>
      </w:tr>
      <w:tr w:rsidR="00AC0D89" w:rsidRPr="006A755F" w14:paraId="6621D0BA" w14:textId="77777777" w:rsidTr="003441A9">
        <w:tc>
          <w:tcPr>
            <w:tcW w:w="3198" w:type="dxa"/>
            <w:shd w:val="clear" w:color="auto" w:fill="auto"/>
          </w:tcPr>
          <w:p w14:paraId="73D73F9F" w14:textId="77777777" w:rsidR="00AC0D89" w:rsidRPr="006A755F" w:rsidRDefault="00AC0D89" w:rsidP="003441A9">
            <w:pPr>
              <w:spacing w:before="81" w:after="108"/>
              <w:rPr>
                <w:b/>
                <w:szCs w:val="20"/>
              </w:rPr>
            </w:pPr>
            <w:r w:rsidRPr="006A755F">
              <w:rPr>
                <w:b/>
                <w:szCs w:val="20"/>
              </w:rPr>
              <w:t>Státní plavební správa</w:t>
            </w:r>
          </w:p>
        </w:tc>
        <w:tc>
          <w:tcPr>
            <w:tcW w:w="1420" w:type="dxa"/>
            <w:shd w:val="clear" w:color="auto" w:fill="auto"/>
            <w:vAlign w:val="center"/>
          </w:tcPr>
          <w:p w14:paraId="23B0AB6D" w14:textId="77777777" w:rsidR="00AC0D89" w:rsidRPr="006B6D61" w:rsidRDefault="00AC0D89" w:rsidP="003441A9">
            <w:pPr>
              <w:spacing w:before="81" w:after="108"/>
              <w:jc w:val="right"/>
              <w:rPr>
                <w:szCs w:val="20"/>
              </w:rPr>
            </w:pPr>
            <w:r w:rsidRPr="006B6D61">
              <w:rPr>
                <w:szCs w:val="20"/>
              </w:rPr>
              <w:t>16 865</w:t>
            </w:r>
          </w:p>
        </w:tc>
        <w:tc>
          <w:tcPr>
            <w:tcW w:w="1430" w:type="dxa"/>
            <w:vAlign w:val="center"/>
          </w:tcPr>
          <w:p w14:paraId="4BAD4765"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5198BC84" w14:textId="77777777" w:rsidR="00AC0D89" w:rsidRPr="006B6D61" w:rsidRDefault="00AC0D89" w:rsidP="003441A9">
            <w:pPr>
              <w:spacing w:before="81" w:after="108"/>
              <w:jc w:val="right"/>
              <w:rPr>
                <w:szCs w:val="20"/>
              </w:rPr>
            </w:pPr>
            <w:r w:rsidRPr="006B6D61">
              <w:rPr>
                <w:szCs w:val="20"/>
              </w:rPr>
              <w:t>10 293</w:t>
            </w:r>
          </w:p>
        </w:tc>
        <w:tc>
          <w:tcPr>
            <w:tcW w:w="1445" w:type="dxa"/>
            <w:shd w:val="clear" w:color="auto" w:fill="auto"/>
            <w:vAlign w:val="center"/>
          </w:tcPr>
          <w:p w14:paraId="6B84F116" w14:textId="77777777" w:rsidR="00AC0D89" w:rsidRPr="006B6D61" w:rsidRDefault="00AC0D89" w:rsidP="003441A9">
            <w:pPr>
              <w:spacing w:before="81" w:after="108"/>
              <w:jc w:val="right"/>
              <w:rPr>
                <w:szCs w:val="20"/>
              </w:rPr>
            </w:pPr>
            <w:r w:rsidRPr="006B6D61">
              <w:rPr>
                <w:szCs w:val="20"/>
              </w:rPr>
              <w:t>12 902</w:t>
            </w:r>
          </w:p>
        </w:tc>
      </w:tr>
      <w:tr w:rsidR="00AC0D89" w:rsidRPr="003E64C5" w14:paraId="1137927E" w14:textId="77777777" w:rsidTr="003441A9">
        <w:tc>
          <w:tcPr>
            <w:tcW w:w="3198" w:type="dxa"/>
            <w:shd w:val="clear" w:color="auto" w:fill="auto"/>
          </w:tcPr>
          <w:p w14:paraId="3A51539A" w14:textId="77777777" w:rsidR="00AC0D89" w:rsidRPr="006A755F" w:rsidRDefault="00AC0D89" w:rsidP="003441A9">
            <w:pPr>
              <w:spacing w:before="81" w:after="108"/>
              <w:rPr>
                <w:b/>
                <w:szCs w:val="20"/>
              </w:rPr>
            </w:pPr>
            <w:r w:rsidRPr="006A755F">
              <w:rPr>
                <w:b/>
                <w:szCs w:val="20"/>
              </w:rPr>
              <w:t>Úřad pro civilní letectví</w:t>
            </w:r>
          </w:p>
        </w:tc>
        <w:tc>
          <w:tcPr>
            <w:tcW w:w="1420" w:type="dxa"/>
            <w:shd w:val="clear" w:color="auto" w:fill="auto"/>
            <w:vAlign w:val="center"/>
          </w:tcPr>
          <w:p w14:paraId="5D01013A" w14:textId="77777777" w:rsidR="00AC0D89" w:rsidRPr="006B6D61" w:rsidRDefault="00AC0D89" w:rsidP="003441A9">
            <w:pPr>
              <w:spacing w:before="81" w:after="108"/>
              <w:jc w:val="right"/>
              <w:rPr>
                <w:szCs w:val="20"/>
              </w:rPr>
            </w:pPr>
            <w:r w:rsidRPr="006B6D61">
              <w:rPr>
                <w:szCs w:val="20"/>
              </w:rPr>
              <w:t>63 337</w:t>
            </w:r>
          </w:p>
        </w:tc>
        <w:tc>
          <w:tcPr>
            <w:tcW w:w="1430" w:type="dxa"/>
            <w:vAlign w:val="center"/>
          </w:tcPr>
          <w:p w14:paraId="0A98F673"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29334E3B" w14:textId="77777777" w:rsidR="00AC0D89" w:rsidRPr="006B6D61" w:rsidRDefault="00AC0D89" w:rsidP="003441A9">
            <w:pPr>
              <w:spacing w:before="81" w:after="108"/>
              <w:jc w:val="right"/>
              <w:rPr>
                <w:szCs w:val="20"/>
              </w:rPr>
            </w:pPr>
            <w:r w:rsidRPr="006B6D61">
              <w:rPr>
                <w:szCs w:val="20"/>
              </w:rPr>
              <w:t>31 361</w:t>
            </w:r>
          </w:p>
        </w:tc>
        <w:tc>
          <w:tcPr>
            <w:tcW w:w="1445" w:type="dxa"/>
            <w:shd w:val="clear" w:color="auto" w:fill="auto"/>
            <w:vAlign w:val="center"/>
          </w:tcPr>
          <w:p w14:paraId="304CE69B" w14:textId="77777777" w:rsidR="00AC0D89" w:rsidRPr="006B6D61" w:rsidRDefault="00AC0D89" w:rsidP="003441A9">
            <w:pPr>
              <w:spacing w:before="81" w:after="108"/>
              <w:jc w:val="right"/>
              <w:rPr>
                <w:szCs w:val="20"/>
              </w:rPr>
            </w:pPr>
            <w:r w:rsidRPr="006B6D61">
              <w:rPr>
                <w:szCs w:val="20"/>
              </w:rPr>
              <w:t>52 621</w:t>
            </w:r>
          </w:p>
        </w:tc>
      </w:tr>
      <w:tr w:rsidR="00AC0D89" w:rsidRPr="000A28DC" w14:paraId="17CDDDAE" w14:textId="77777777" w:rsidTr="003441A9">
        <w:tc>
          <w:tcPr>
            <w:tcW w:w="3198" w:type="dxa"/>
            <w:shd w:val="clear" w:color="auto" w:fill="auto"/>
          </w:tcPr>
          <w:p w14:paraId="1BFB9882" w14:textId="77777777" w:rsidR="00AC0D89" w:rsidRPr="006A755F" w:rsidRDefault="00AC0D89" w:rsidP="003441A9">
            <w:pPr>
              <w:spacing w:before="81" w:after="108"/>
              <w:rPr>
                <w:b/>
                <w:szCs w:val="20"/>
              </w:rPr>
            </w:pPr>
            <w:r w:rsidRPr="006A755F">
              <w:rPr>
                <w:b/>
                <w:szCs w:val="20"/>
              </w:rPr>
              <w:t>Drážní úřad</w:t>
            </w:r>
          </w:p>
        </w:tc>
        <w:tc>
          <w:tcPr>
            <w:tcW w:w="1420" w:type="dxa"/>
            <w:shd w:val="clear" w:color="auto" w:fill="auto"/>
            <w:vAlign w:val="center"/>
          </w:tcPr>
          <w:p w14:paraId="1E167790" w14:textId="77777777" w:rsidR="00AC0D89" w:rsidRPr="006B6D61" w:rsidRDefault="00AC0D89" w:rsidP="003441A9">
            <w:pPr>
              <w:spacing w:before="81" w:after="108"/>
              <w:jc w:val="right"/>
              <w:rPr>
                <w:szCs w:val="20"/>
              </w:rPr>
            </w:pPr>
            <w:r w:rsidRPr="006B6D61">
              <w:rPr>
                <w:szCs w:val="20"/>
              </w:rPr>
              <w:t>5 771</w:t>
            </w:r>
          </w:p>
        </w:tc>
        <w:tc>
          <w:tcPr>
            <w:tcW w:w="1430" w:type="dxa"/>
            <w:vAlign w:val="center"/>
          </w:tcPr>
          <w:p w14:paraId="5EF59BF6"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0F6D259B" w14:textId="77777777" w:rsidR="00AC0D89" w:rsidRPr="006B6D61" w:rsidRDefault="00AC0D89" w:rsidP="003441A9">
            <w:pPr>
              <w:spacing w:before="81" w:after="108"/>
              <w:jc w:val="right"/>
              <w:rPr>
                <w:szCs w:val="20"/>
              </w:rPr>
            </w:pPr>
            <w:r w:rsidRPr="006B6D61">
              <w:rPr>
                <w:szCs w:val="20"/>
              </w:rPr>
              <w:t>5 760</w:t>
            </w:r>
          </w:p>
        </w:tc>
        <w:tc>
          <w:tcPr>
            <w:tcW w:w="1445" w:type="dxa"/>
            <w:shd w:val="clear" w:color="auto" w:fill="auto"/>
            <w:vAlign w:val="center"/>
          </w:tcPr>
          <w:p w14:paraId="69485ABC" w14:textId="77777777" w:rsidR="00AC0D89" w:rsidRPr="006B6D61" w:rsidRDefault="00AC0D89" w:rsidP="003441A9">
            <w:pPr>
              <w:spacing w:before="81" w:after="108"/>
              <w:jc w:val="right"/>
              <w:rPr>
                <w:szCs w:val="20"/>
              </w:rPr>
            </w:pPr>
            <w:r w:rsidRPr="006B6D61">
              <w:rPr>
                <w:szCs w:val="20"/>
              </w:rPr>
              <w:t>11 153</w:t>
            </w:r>
          </w:p>
        </w:tc>
      </w:tr>
      <w:tr w:rsidR="00AC0D89" w:rsidRPr="006A755F" w14:paraId="1251810D" w14:textId="77777777" w:rsidTr="003441A9">
        <w:trPr>
          <w:trHeight w:val="441"/>
        </w:trPr>
        <w:tc>
          <w:tcPr>
            <w:tcW w:w="3198" w:type="dxa"/>
            <w:shd w:val="clear" w:color="auto" w:fill="auto"/>
          </w:tcPr>
          <w:p w14:paraId="4FBE0798" w14:textId="77777777" w:rsidR="00AC0D89" w:rsidRPr="006A755F" w:rsidRDefault="00AC0D89" w:rsidP="003441A9">
            <w:pPr>
              <w:spacing w:before="81" w:after="108"/>
              <w:rPr>
                <w:b/>
                <w:szCs w:val="20"/>
              </w:rPr>
            </w:pPr>
            <w:r w:rsidRPr="006A755F">
              <w:rPr>
                <w:b/>
                <w:szCs w:val="20"/>
              </w:rPr>
              <w:t>Ředitelství vodních cest ČR</w:t>
            </w:r>
          </w:p>
        </w:tc>
        <w:tc>
          <w:tcPr>
            <w:tcW w:w="1420" w:type="dxa"/>
            <w:shd w:val="clear" w:color="auto" w:fill="auto"/>
            <w:vAlign w:val="center"/>
          </w:tcPr>
          <w:p w14:paraId="48363294" w14:textId="77777777" w:rsidR="00AC0D89" w:rsidRPr="006B6D61" w:rsidRDefault="00AC0D89" w:rsidP="003441A9">
            <w:pPr>
              <w:spacing w:before="81" w:after="108"/>
              <w:jc w:val="right"/>
              <w:rPr>
                <w:szCs w:val="20"/>
              </w:rPr>
            </w:pPr>
            <w:r w:rsidRPr="006B6D61">
              <w:rPr>
                <w:szCs w:val="20"/>
              </w:rPr>
              <w:t>14 636</w:t>
            </w:r>
          </w:p>
        </w:tc>
        <w:tc>
          <w:tcPr>
            <w:tcW w:w="1430" w:type="dxa"/>
            <w:vAlign w:val="center"/>
          </w:tcPr>
          <w:p w14:paraId="623F21DE"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2B033424" w14:textId="77777777" w:rsidR="00AC0D89" w:rsidRPr="006B6D61" w:rsidRDefault="00AC0D89" w:rsidP="003441A9">
            <w:pPr>
              <w:spacing w:before="81" w:after="108"/>
              <w:jc w:val="right"/>
              <w:rPr>
                <w:szCs w:val="20"/>
              </w:rPr>
            </w:pPr>
            <w:r w:rsidRPr="006B6D61">
              <w:rPr>
                <w:szCs w:val="20"/>
              </w:rPr>
              <w:t>11 067</w:t>
            </w:r>
          </w:p>
        </w:tc>
        <w:tc>
          <w:tcPr>
            <w:tcW w:w="1445" w:type="dxa"/>
            <w:shd w:val="clear" w:color="auto" w:fill="auto"/>
            <w:vAlign w:val="center"/>
          </w:tcPr>
          <w:p w14:paraId="34F41189" w14:textId="77777777" w:rsidR="00AC0D89" w:rsidRPr="006B6D61" w:rsidRDefault="00AC0D89" w:rsidP="003441A9">
            <w:pPr>
              <w:spacing w:before="81" w:after="108"/>
              <w:jc w:val="right"/>
              <w:rPr>
                <w:szCs w:val="20"/>
              </w:rPr>
            </w:pPr>
            <w:r w:rsidRPr="006B6D61">
              <w:rPr>
                <w:szCs w:val="20"/>
              </w:rPr>
              <w:t>5 651</w:t>
            </w:r>
          </w:p>
        </w:tc>
      </w:tr>
      <w:tr w:rsidR="00AC0D89" w:rsidRPr="006A755F" w14:paraId="1B0E9958" w14:textId="77777777" w:rsidTr="003441A9">
        <w:tc>
          <w:tcPr>
            <w:tcW w:w="3198" w:type="dxa"/>
            <w:shd w:val="clear" w:color="auto" w:fill="auto"/>
          </w:tcPr>
          <w:p w14:paraId="5BD07FC0" w14:textId="77777777" w:rsidR="00AC0D89" w:rsidRPr="006A755F" w:rsidRDefault="00AC0D89" w:rsidP="003441A9">
            <w:pPr>
              <w:spacing w:before="81" w:after="108"/>
              <w:rPr>
                <w:b/>
                <w:szCs w:val="20"/>
              </w:rPr>
            </w:pPr>
            <w:r w:rsidRPr="006A755F">
              <w:rPr>
                <w:b/>
                <w:szCs w:val="20"/>
              </w:rPr>
              <w:t>Ústav pro odborné zjišťování příčin leteckých nehod</w:t>
            </w:r>
          </w:p>
        </w:tc>
        <w:tc>
          <w:tcPr>
            <w:tcW w:w="1420" w:type="dxa"/>
            <w:shd w:val="clear" w:color="auto" w:fill="auto"/>
            <w:vAlign w:val="center"/>
          </w:tcPr>
          <w:p w14:paraId="68C1D325" w14:textId="77777777" w:rsidR="00AC0D89" w:rsidRPr="006B6D61" w:rsidRDefault="00AC0D89" w:rsidP="003441A9">
            <w:pPr>
              <w:spacing w:before="81" w:after="108"/>
              <w:jc w:val="right"/>
              <w:rPr>
                <w:szCs w:val="20"/>
              </w:rPr>
            </w:pPr>
            <w:r w:rsidRPr="006B6D61">
              <w:rPr>
                <w:szCs w:val="20"/>
              </w:rPr>
              <w:t>7 696</w:t>
            </w:r>
          </w:p>
        </w:tc>
        <w:tc>
          <w:tcPr>
            <w:tcW w:w="1430" w:type="dxa"/>
            <w:vAlign w:val="center"/>
          </w:tcPr>
          <w:p w14:paraId="6ECE2FF2"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77123A44" w14:textId="77777777" w:rsidR="00AC0D89" w:rsidRPr="006B6D61" w:rsidRDefault="00AC0D89" w:rsidP="003441A9">
            <w:pPr>
              <w:spacing w:before="81" w:after="108"/>
              <w:jc w:val="right"/>
              <w:rPr>
                <w:szCs w:val="20"/>
              </w:rPr>
            </w:pPr>
            <w:r w:rsidRPr="006B6D61">
              <w:rPr>
                <w:szCs w:val="20"/>
              </w:rPr>
              <w:t>3 001</w:t>
            </w:r>
          </w:p>
        </w:tc>
        <w:tc>
          <w:tcPr>
            <w:tcW w:w="1445" w:type="dxa"/>
            <w:shd w:val="clear" w:color="auto" w:fill="auto"/>
            <w:vAlign w:val="center"/>
          </w:tcPr>
          <w:p w14:paraId="11523D84" w14:textId="396B268C" w:rsidR="00AC0D89" w:rsidRPr="006B6D61" w:rsidRDefault="00AC0D89" w:rsidP="003441A9">
            <w:pPr>
              <w:spacing w:before="81" w:after="108"/>
              <w:ind w:left="436"/>
              <w:jc w:val="right"/>
              <w:rPr>
                <w:szCs w:val="20"/>
              </w:rPr>
            </w:pPr>
            <w:r w:rsidRPr="006B6D61">
              <w:rPr>
                <w:szCs w:val="20"/>
              </w:rPr>
              <w:t>9 918</w:t>
            </w:r>
          </w:p>
        </w:tc>
      </w:tr>
      <w:tr w:rsidR="00AC0D89" w:rsidRPr="006A755F" w14:paraId="23016021" w14:textId="77777777" w:rsidTr="003441A9">
        <w:tc>
          <w:tcPr>
            <w:tcW w:w="3198" w:type="dxa"/>
            <w:shd w:val="clear" w:color="auto" w:fill="auto"/>
          </w:tcPr>
          <w:p w14:paraId="1A1D74C7" w14:textId="77777777" w:rsidR="00AC0D89" w:rsidRPr="006A755F" w:rsidRDefault="00AC0D89" w:rsidP="003441A9">
            <w:pPr>
              <w:spacing w:before="81" w:after="108"/>
              <w:rPr>
                <w:b/>
                <w:szCs w:val="20"/>
              </w:rPr>
            </w:pPr>
            <w:r w:rsidRPr="006A755F">
              <w:rPr>
                <w:b/>
                <w:szCs w:val="20"/>
              </w:rPr>
              <w:t>Drážní inspekce</w:t>
            </w:r>
          </w:p>
        </w:tc>
        <w:tc>
          <w:tcPr>
            <w:tcW w:w="1420" w:type="dxa"/>
            <w:shd w:val="clear" w:color="auto" w:fill="auto"/>
            <w:vAlign w:val="center"/>
          </w:tcPr>
          <w:p w14:paraId="7715A56B" w14:textId="77777777" w:rsidR="00AC0D89" w:rsidRPr="006B6D61" w:rsidRDefault="00AC0D89" w:rsidP="003441A9">
            <w:pPr>
              <w:spacing w:before="81" w:after="108"/>
              <w:jc w:val="right"/>
              <w:rPr>
                <w:szCs w:val="20"/>
              </w:rPr>
            </w:pPr>
            <w:r w:rsidRPr="006B6D61">
              <w:rPr>
                <w:szCs w:val="20"/>
              </w:rPr>
              <w:t>24 395</w:t>
            </w:r>
          </w:p>
        </w:tc>
        <w:tc>
          <w:tcPr>
            <w:tcW w:w="1430" w:type="dxa"/>
            <w:vAlign w:val="center"/>
          </w:tcPr>
          <w:p w14:paraId="147803BE" w14:textId="77777777" w:rsidR="00AC0D89" w:rsidRPr="006B6D61" w:rsidRDefault="00AC0D89" w:rsidP="003441A9">
            <w:pPr>
              <w:spacing w:before="81" w:after="108"/>
              <w:jc w:val="right"/>
              <w:rPr>
                <w:szCs w:val="20"/>
              </w:rPr>
            </w:pPr>
            <w:r w:rsidRPr="006B6D61">
              <w:rPr>
                <w:szCs w:val="20"/>
              </w:rPr>
              <w:t>x</w:t>
            </w:r>
          </w:p>
        </w:tc>
        <w:tc>
          <w:tcPr>
            <w:tcW w:w="1569" w:type="dxa"/>
            <w:shd w:val="clear" w:color="auto" w:fill="auto"/>
            <w:vAlign w:val="center"/>
          </w:tcPr>
          <w:p w14:paraId="5B344BE4" w14:textId="77777777" w:rsidR="00AC0D89" w:rsidRPr="006B6D61" w:rsidRDefault="00AC0D89" w:rsidP="003441A9">
            <w:pPr>
              <w:spacing w:before="81" w:after="108"/>
              <w:jc w:val="right"/>
              <w:rPr>
                <w:szCs w:val="20"/>
              </w:rPr>
            </w:pPr>
            <w:r w:rsidRPr="006B6D61">
              <w:rPr>
                <w:szCs w:val="20"/>
              </w:rPr>
              <w:t>6 316</w:t>
            </w:r>
          </w:p>
        </w:tc>
        <w:tc>
          <w:tcPr>
            <w:tcW w:w="1445" w:type="dxa"/>
            <w:shd w:val="clear" w:color="auto" w:fill="auto"/>
            <w:vAlign w:val="center"/>
          </w:tcPr>
          <w:p w14:paraId="005048B1" w14:textId="77777777" w:rsidR="00AC0D89" w:rsidRPr="006B6D61" w:rsidRDefault="00AC0D89" w:rsidP="003441A9">
            <w:pPr>
              <w:spacing w:before="81" w:after="108"/>
              <w:jc w:val="right"/>
              <w:rPr>
                <w:szCs w:val="20"/>
              </w:rPr>
            </w:pPr>
            <w:r w:rsidRPr="006B6D61">
              <w:rPr>
                <w:szCs w:val="20"/>
              </w:rPr>
              <w:t>19 540</w:t>
            </w:r>
          </w:p>
        </w:tc>
      </w:tr>
      <w:tr w:rsidR="00AC0D89" w:rsidRPr="006A755F" w14:paraId="7BA34820" w14:textId="77777777" w:rsidTr="003441A9">
        <w:tc>
          <w:tcPr>
            <w:tcW w:w="3198" w:type="dxa"/>
            <w:shd w:val="clear" w:color="auto" w:fill="auto"/>
          </w:tcPr>
          <w:p w14:paraId="06D1A3D1" w14:textId="77777777" w:rsidR="00AC0D89" w:rsidRPr="006A755F" w:rsidRDefault="00AC0D89" w:rsidP="003441A9">
            <w:pPr>
              <w:spacing w:before="81" w:after="108"/>
              <w:rPr>
                <w:b/>
                <w:szCs w:val="20"/>
              </w:rPr>
            </w:pPr>
            <w:r w:rsidRPr="0028032E">
              <w:rPr>
                <w:b/>
                <w:szCs w:val="20"/>
              </w:rPr>
              <w:t>Dopravní a energetický stavební úřad</w:t>
            </w:r>
          </w:p>
        </w:tc>
        <w:tc>
          <w:tcPr>
            <w:tcW w:w="1420" w:type="dxa"/>
            <w:shd w:val="clear" w:color="auto" w:fill="auto"/>
            <w:vAlign w:val="center"/>
          </w:tcPr>
          <w:p w14:paraId="338631EA" w14:textId="77777777" w:rsidR="00AC0D89" w:rsidRPr="006B6D61" w:rsidRDefault="00AC0D89" w:rsidP="003441A9">
            <w:pPr>
              <w:spacing w:before="81" w:after="108"/>
              <w:jc w:val="right"/>
              <w:rPr>
                <w:szCs w:val="20"/>
              </w:rPr>
            </w:pPr>
            <w:r w:rsidRPr="006B6D61">
              <w:rPr>
                <w:szCs w:val="20"/>
              </w:rPr>
              <w:t>0</w:t>
            </w:r>
          </w:p>
        </w:tc>
        <w:tc>
          <w:tcPr>
            <w:tcW w:w="1430" w:type="dxa"/>
            <w:vAlign w:val="center"/>
          </w:tcPr>
          <w:p w14:paraId="3E359F32" w14:textId="77777777" w:rsidR="00AC0D89" w:rsidRPr="006B6D61" w:rsidRDefault="00AC0D89" w:rsidP="003441A9">
            <w:pPr>
              <w:spacing w:before="81" w:after="108"/>
              <w:jc w:val="right"/>
              <w:rPr>
                <w:szCs w:val="20"/>
              </w:rPr>
            </w:pPr>
            <w:r w:rsidRPr="006B6D61">
              <w:rPr>
                <w:szCs w:val="20"/>
              </w:rPr>
              <w:t>114 821</w:t>
            </w:r>
          </w:p>
        </w:tc>
        <w:tc>
          <w:tcPr>
            <w:tcW w:w="1569" w:type="dxa"/>
            <w:shd w:val="clear" w:color="auto" w:fill="auto"/>
            <w:vAlign w:val="center"/>
          </w:tcPr>
          <w:p w14:paraId="2A291C0E" w14:textId="77777777" w:rsidR="00AC0D89" w:rsidRPr="006B6D61" w:rsidRDefault="00AC0D89" w:rsidP="003441A9">
            <w:pPr>
              <w:spacing w:before="81" w:after="108"/>
              <w:jc w:val="right"/>
              <w:rPr>
                <w:szCs w:val="20"/>
              </w:rPr>
            </w:pPr>
            <w:r w:rsidRPr="006B6D61">
              <w:rPr>
                <w:szCs w:val="20"/>
              </w:rPr>
              <w:t>8 563</w:t>
            </w:r>
          </w:p>
        </w:tc>
        <w:tc>
          <w:tcPr>
            <w:tcW w:w="1445" w:type="dxa"/>
            <w:shd w:val="clear" w:color="auto" w:fill="auto"/>
            <w:vAlign w:val="center"/>
          </w:tcPr>
          <w:p w14:paraId="0626053A" w14:textId="77777777" w:rsidR="00AC0D89" w:rsidRPr="006B6D61" w:rsidRDefault="00AC0D89" w:rsidP="003441A9">
            <w:pPr>
              <w:spacing w:before="81" w:after="108"/>
              <w:jc w:val="right"/>
              <w:rPr>
                <w:szCs w:val="20"/>
              </w:rPr>
            </w:pPr>
            <w:r w:rsidRPr="006B6D61">
              <w:rPr>
                <w:szCs w:val="20"/>
              </w:rPr>
              <w:t>130 328</w:t>
            </w:r>
          </w:p>
        </w:tc>
      </w:tr>
      <w:tr w:rsidR="00AC0D89" w:rsidRPr="006A755F" w14:paraId="61E9ABBE" w14:textId="77777777" w:rsidTr="003441A9">
        <w:trPr>
          <w:trHeight w:val="495"/>
        </w:trPr>
        <w:tc>
          <w:tcPr>
            <w:tcW w:w="3198" w:type="dxa"/>
            <w:shd w:val="clear" w:color="auto" w:fill="D9D9D9" w:themeFill="background1" w:themeFillShade="D9"/>
          </w:tcPr>
          <w:p w14:paraId="4212ED75" w14:textId="77777777" w:rsidR="00AC0D89" w:rsidRPr="006A755F" w:rsidRDefault="00AC0D89" w:rsidP="003441A9">
            <w:pPr>
              <w:spacing w:before="81" w:after="108"/>
              <w:rPr>
                <w:b/>
                <w:szCs w:val="20"/>
              </w:rPr>
            </w:pPr>
            <w:r w:rsidRPr="006A755F">
              <w:rPr>
                <w:b/>
                <w:szCs w:val="20"/>
              </w:rPr>
              <w:t>Celkem</w:t>
            </w:r>
          </w:p>
        </w:tc>
        <w:tc>
          <w:tcPr>
            <w:tcW w:w="1420" w:type="dxa"/>
            <w:shd w:val="clear" w:color="auto" w:fill="D9D9D9" w:themeFill="background1" w:themeFillShade="D9"/>
            <w:vAlign w:val="center"/>
          </w:tcPr>
          <w:p w14:paraId="6B2C88D4" w14:textId="77777777" w:rsidR="00AC0D89" w:rsidRPr="006B6D61" w:rsidRDefault="00AC0D89" w:rsidP="003441A9">
            <w:pPr>
              <w:spacing w:before="81" w:after="108"/>
              <w:jc w:val="right"/>
              <w:rPr>
                <w:b/>
                <w:szCs w:val="20"/>
              </w:rPr>
            </w:pPr>
            <w:r w:rsidRPr="006B6D61">
              <w:rPr>
                <w:szCs w:val="20"/>
              </w:rPr>
              <w:t xml:space="preserve"> </w:t>
            </w:r>
            <w:r w:rsidRPr="006B6D61">
              <w:rPr>
                <w:b/>
                <w:szCs w:val="20"/>
              </w:rPr>
              <w:t>18 977 578</w:t>
            </w:r>
          </w:p>
        </w:tc>
        <w:tc>
          <w:tcPr>
            <w:tcW w:w="1430" w:type="dxa"/>
            <w:shd w:val="clear" w:color="auto" w:fill="D9D9D9" w:themeFill="background1" w:themeFillShade="D9"/>
          </w:tcPr>
          <w:p w14:paraId="268A195D" w14:textId="77777777" w:rsidR="00AC0D89" w:rsidRPr="006B6D61" w:rsidRDefault="00AC0D89" w:rsidP="003441A9">
            <w:pPr>
              <w:spacing w:before="81" w:after="108"/>
              <w:jc w:val="right"/>
              <w:rPr>
                <w:b/>
                <w:szCs w:val="20"/>
              </w:rPr>
            </w:pPr>
            <w:r w:rsidRPr="006B6D61">
              <w:rPr>
                <w:b/>
                <w:szCs w:val="20"/>
              </w:rPr>
              <w:t>114 821</w:t>
            </w:r>
          </w:p>
        </w:tc>
        <w:tc>
          <w:tcPr>
            <w:tcW w:w="1569" w:type="dxa"/>
            <w:shd w:val="clear" w:color="auto" w:fill="D9D9D9" w:themeFill="background1" w:themeFillShade="D9"/>
            <w:vAlign w:val="center"/>
          </w:tcPr>
          <w:p w14:paraId="1AFBD170" w14:textId="77777777" w:rsidR="00AC0D89" w:rsidRPr="006B6D61" w:rsidRDefault="00AC0D89" w:rsidP="003441A9">
            <w:pPr>
              <w:spacing w:before="81" w:after="108"/>
              <w:jc w:val="right"/>
              <w:rPr>
                <w:b/>
                <w:szCs w:val="20"/>
              </w:rPr>
            </w:pPr>
            <w:r w:rsidRPr="006B6D61">
              <w:rPr>
                <w:b/>
                <w:szCs w:val="20"/>
              </w:rPr>
              <w:t>8 421 882</w:t>
            </w:r>
          </w:p>
        </w:tc>
        <w:tc>
          <w:tcPr>
            <w:tcW w:w="1445" w:type="dxa"/>
            <w:shd w:val="clear" w:color="auto" w:fill="D9D9D9" w:themeFill="background1" w:themeFillShade="D9"/>
            <w:vAlign w:val="center"/>
          </w:tcPr>
          <w:p w14:paraId="499E888F" w14:textId="77777777" w:rsidR="00AC0D89" w:rsidRPr="006B6D61" w:rsidRDefault="00AC0D89" w:rsidP="003441A9">
            <w:pPr>
              <w:spacing w:before="81" w:after="108"/>
              <w:jc w:val="right"/>
              <w:rPr>
                <w:b/>
                <w:szCs w:val="20"/>
              </w:rPr>
            </w:pPr>
            <w:r w:rsidRPr="006B6D61">
              <w:rPr>
                <w:szCs w:val="20"/>
              </w:rPr>
              <w:t xml:space="preserve"> </w:t>
            </w:r>
            <w:r w:rsidRPr="006B6D61">
              <w:rPr>
                <w:b/>
                <w:szCs w:val="20"/>
              </w:rPr>
              <w:t>20 483 764</w:t>
            </w:r>
          </w:p>
        </w:tc>
      </w:tr>
    </w:tbl>
    <w:p w14:paraId="1795D096" w14:textId="77777777" w:rsidR="008E35E7" w:rsidRDefault="008E35E7" w:rsidP="008E35E7">
      <w:pPr>
        <w:pStyle w:val="KOMnadp4"/>
        <w:keepNext w:val="0"/>
      </w:pPr>
    </w:p>
    <w:p w14:paraId="6199A9EA" w14:textId="0753093B" w:rsidR="00E43ED1" w:rsidRPr="006B6D61" w:rsidRDefault="00E43ED1" w:rsidP="008E35E7">
      <w:pPr>
        <w:pStyle w:val="KOMnadp4"/>
        <w:keepNext w:val="0"/>
      </w:pPr>
      <w:r w:rsidRPr="006B6D61">
        <w:t>Stav a čerpání nároků z nespotřebovaných výdajů dle jednotlivých OSS</w:t>
      </w:r>
    </w:p>
    <w:p w14:paraId="5F1CFA27" w14:textId="3944ACAE" w:rsidR="008E35E7" w:rsidRDefault="00BA3B33" w:rsidP="008E35E7">
      <w:pPr>
        <w:pStyle w:val="KOMGrafy"/>
        <w:keepNext w:val="0"/>
        <w:rPr>
          <w:noProof/>
        </w:rPr>
      </w:pPr>
      <w:bookmarkStart w:id="1190" w:name="_Toc160457148"/>
      <w:r w:rsidRPr="006B6D61">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31</w:t>
      </w:r>
      <w:r w:rsidRPr="006B6D61">
        <w:rPr>
          <w:noProof/>
        </w:rPr>
        <w:fldChar w:fldCharType="end"/>
      </w:r>
      <w:r w:rsidRPr="006B6D61">
        <w:t>: Stav čerpání nároků z nespotřebovaných výdajů dle jednotlivých OSS (v tis. Kč)</w:t>
      </w:r>
      <w:bookmarkEnd w:id="1190"/>
      <w:r w:rsidR="008E35E7" w:rsidRPr="008E35E7">
        <w:rPr>
          <w:noProof/>
        </w:rPr>
        <w:t xml:space="preserve"> </w:t>
      </w:r>
    </w:p>
    <w:p w14:paraId="27CCB0C2" w14:textId="0F11FA58" w:rsidR="00BA3B33" w:rsidRPr="006B6D61" w:rsidRDefault="008E35E7" w:rsidP="00EF7043">
      <w:pPr>
        <w:pStyle w:val="KOMtext"/>
      </w:pPr>
      <w:r w:rsidRPr="002F1BE7">
        <w:rPr>
          <w:noProof/>
        </w:rPr>
        <mc:AlternateContent>
          <mc:Choice Requires="wps">
            <w:drawing>
              <wp:anchor distT="0" distB="0" distL="114300" distR="114300" simplePos="0" relativeHeight="251658242" behindDoc="0" locked="0" layoutInCell="1" allowOverlap="1" wp14:anchorId="4050B0FA" wp14:editId="720C4611">
                <wp:simplePos x="0" y="0"/>
                <wp:positionH relativeFrom="column">
                  <wp:posOffset>528320</wp:posOffset>
                </wp:positionH>
                <wp:positionV relativeFrom="paragraph">
                  <wp:posOffset>730250</wp:posOffset>
                </wp:positionV>
                <wp:extent cx="5029200" cy="9525"/>
                <wp:effectExtent l="19050" t="19050" r="0" b="28575"/>
                <wp:wrapNone/>
                <wp:docPr id="46" name="Přímá spojnice 46"/>
                <wp:cNvGraphicFramePr/>
                <a:graphic xmlns:a="http://schemas.openxmlformats.org/drawingml/2006/main">
                  <a:graphicData uri="http://schemas.microsoft.com/office/word/2010/wordprocessingShape">
                    <wps:wsp>
                      <wps:cNvCnPr/>
                      <wps:spPr>
                        <a:xfrm>
                          <a:off x="0" y="0"/>
                          <a:ext cx="5029200" cy="9525"/>
                        </a:xfrm>
                        <a:prstGeom prst="line">
                          <a:avLst/>
                        </a:prstGeom>
                        <a:ln w="28575" cap="flat" cmpd="sng" algn="ctr">
                          <a:solidFill>
                            <a:schemeClr val="tx1">
                              <a:lumMod val="85000"/>
                              <a:lumOff val="1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xmlns:oel="http://schemas.microsoft.com/office/2019/extlst">
            <w:pict>
              <v:line w14:anchorId="0289BE28" id="Přímá spojnice 46" o:spid="_x0000_s1026" style="position:absolute;z-index:251658242;visibility:visible;mso-wrap-style:square;mso-wrap-distance-left:9pt;mso-wrap-distance-top:0;mso-wrap-distance-right:9pt;mso-wrap-distance-bottom:0;mso-position-horizontal:absolute;mso-position-horizontal-relative:text;mso-position-vertical:absolute;mso-position-vertical-relative:text" from="41.6pt,57.5pt" to="437.6pt,5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" strokecolor="#272727 [2749]" strokeweight="2.25pt">
                <v:stroke dashstyle="dash"/>
              </v:line>
            </w:pict>
          </mc:Fallback>
        </mc:AlternateContent>
      </w:r>
      <w:r w:rsidRPr="002F1BE7">
        <w:rPr>
          <w:noProof/>
        </w:rPr>
        <w:drawing>
          <wp:inline distT="0" distB="0" distL="0" distR="0" wp14:anchorId="413AADBD" wp14:editId="40AE4AF5">
            <wp:extent cx="5760000" cy="2160000"/>
            <wp:effectExtent l="0" t="0" r="12700" b="12065"/>
            <wp:docPr id="45"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14:paraId="7467C8CC" w14:textId="5DB9A78F" w:rsidR="00E43ED1" w:rsidRPr="0077128B" w:rsidRDefault="00E43ED1" w:rsidP="008A0E44">
      <w:pPr>
        <w:pStyle w:val="KOMnadp4"/>
        <w:rPr>
          <w:lang w:eastAsia="cs-CZ"/>
        </w:rPr>
      </w:pPr>
      <w:r w:rsidRPr="0077128B">
        <w:rPr>
          <w:lang w:eastAsia="cs-CZ"/>
        </w:rPr>
        <w:lastRenderedPageBreak/>
        <w:t>Čerpání nároků v kapitole 327 Ministerstvo dopravy v roce 202</w:t>
      </w:r>
      <w:r w:rsidR="005D180B" w:rsidRPr="0077128B">
        <w:rPr>
          <w:lang w:eastAsia="cs-CZ"/>
        </w:rPr>
        <w:t>3</w:t>
      </w:r>
      <w:r w:rsidRPr="0077128B">
        <w:rPr>
          <w:lang w:eastAsia="cs-CZ"/>
        </w:rPr>
        <w:t xml:space="preserve"> dle specifických ukazatelů výdajů</w:t>
      </w:r>
    </w:p>
    <w:tbl>
      <w:tblPr>
        <w:tblW w:w="8193"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91"/>
        <w:gridCol w:w="2302"/>
      </w:tblGrid>
      <w:tr w:rsidR="000E38E9" w:rsidRPr="006A755F" w14:paraId="5411B877" w14:textId="77777777" w:rsidTr="007F4A51">
        <w:trPr>
          <w:tblHeader/>
        </w:trPr>
        <w:tc>
          <w:tcPr>
            <w:tcW w:w="5891" w:type="dxa"/>
            <w:shd w:val="clear" w:color="auto" w:fill="D9D9D9" w:themeFill="background1" w:themeFillShade="D9"/>
            <w:vAlign w:val="center"/>
          </w:tcPr>
          <w:p w14:paraId="6D606E25" w14:textId="77777777" w:rsidR="000E38E9" w:rsidRPr="006A755F" w:rsidRDefault="000E38E9" w:rsidP="007F4A51">
            <w:pPr>
              <w:spacing w:after="0"/>
              <w:jc w:val="center"/>
              <w:rPr>
                <w:b/>
                <w:sz w:val="23"/>
                <w:szCs w:val="23"/>
              </w:rPr>
            </w:pPr>
            <w:r w:rsidRPr="006A755F">
              <w:rPr>
                <w:b/>
                <w:sz w:val="23"/>
                <w:szCs w:val="23"/>
              </w:rPr>
              <w:t>Název ukazatele</w:t>
            </w:r>
          </w:p>
        </w:tc>
        <w:tc>
          <w:tcPr>
            <w:tcW w:w="2302" w:type="dxa"/>
            <w:shd w:val="clear" w:color="auto" w:fill="D9D9D9" w:themeFill="background1" w:themeFillShade="D9"/>
            <w:vAlign w:val="center"/>
          </w:tcPr>
          <w:p w14:paraId="276E7881" w14:textId="77777777" w:rsidR="000E38E9" w:rsidRPr="006A755F" w:rsidRDefault="000E38E9" w:rsidP="007F4A51">
            <w:pPr>
              <w:spacing w:after="0"/>
              <w:jc w:val="center"/>
              <w:rPr>
                <w:b/>
                <w:color w:val="FF0000"/>
                <w:sz w:val="23"/>
                <w:szCs w:val="23"/>
              </w:rPr>
            </w:pPr>
            <w:r w:rsidRPr="006A755F">
              <w:rPr>
                <w:b/>
                <w:sz w:val="23"/>
                <w:szCs w:val="23"/>
              </w:rPr>
              <w:t>Čerpání nároků k </w:t>
            </w:r>
            <w:r w:rsidRPr="006A755F">
              <w:rPr>
                <w:b/>
                <w:sz w:val="23"/>
                <w:szCs w:val="23"/>
              </w:rPr>
              <w:br/>
            </w:r>
            <w:r>
              <w:rPr>
                <w:b/>
                <w:sz w:val="23"/>
                <w:szCs w:val="23"/>
              </w:rPr>
              <w:t>31. 12. 2023</w:t>
            </w:r>
          </w:p>
        </w:tc>
      </w:tr>
      <w:tr w:rsidR="000E38E9" w:rsidRPr="006A755F" w14:paraId="217B3698" w14:textId="77777777" w:rsidTr="007F4A51">
        <w:trPr>
          <w:tblHeader/>
        </w:trPr>
        <w:tc>
          <w:tcPr>
            <w:tcW w:w="5891" w:type="dxa"/>
          </w:tcPr>
          <w:p w14:paraId="46DE91A2" w14:textId="77777777" w:rsidR="000E38E9" w:rsidRPr="006A755F" w:rsidRDefault="000E38E9" w:rsidP="007F4A51">
            <w:pPr>
              <w:spacing w:after="108"/>
              <w:rPr>
                <w:b/>
                <w:color w:val="2F5496" w:themeColor="accent5" w:themeShade="BF"/>
              </w:rPr>
            </w:pPr>
            <w:r w:rsidRPr="006A755F">
              <w:rPr>
                <w:b/>
                <w:color w:val="2F5496" w:themeColor="accent5" w:themeShade="BF"/>
              </w:rPr>
              <w:t>Drážní a kombinovaná doprava</w:t>
            </w:r>
          </w:p>
        </w:tc>
        <w:tc>
          <w:tcPr>
            <w:tcW w:w="2302" w:type="dxa"/>
            <w:vAlign w:val="center"/>
          </w:tcPr>
          <w:p w14:paraId="6385DCF9" w14:textId="77777777" w:rsidR="000E38E9" w:rsidRPr="006A755F" w:rsidRDefault="000E38E9" w:rsidP="007F4A51">
            <w:pPr>
              <w:spacing w:after="108"/>
              <w:ind w:left="-73"/>
              <w:jc w:val="right"/>
              <w:rPr>
                <w:b/>
                <w:color w:val="2F5496" w:themeColor="accent5" w:themeShade="BF"/>
              </w:rPr>
            </w:pPr>
            <w:r>
              <w:rPr>
                <w:b/>
                <w:color w:val="2F5496" w:themeColor="accent5" w:themeShade="BF"/>
              </w:rPr>
              <w:t>3 839 476</w:t>
            </w:r>
            <w:r w:rsidRPr="006A755F">
              <w:rPr>
                <w:b/>
                <w:color w:val="2F5496" w:themeColor="accent5" w:themeShade="BF"/>
              </w:rPr>
              <w:t xml:space="preserve"> tis. Kč</w:t>
            </w:r>
          </w:p>
        </w:tc>
      </w:tr>
      <w:tr w:rsidR="000E38E9" w:rsidRPr="006A755F" w14:paraId="251F127B" w14:textId="77777777" w:rsidTr="007F4A51">
        <w:trPr>
          <w:tblHeader/>
        </w:trPr>
        <w:tc>
          <w:tcPr>
            <w:tcW w:w="5891" w:type="dxa"/>
          </w:tcPr>
          <w:p w14:paraId="0EEA1B8C" w14:textId="77777777" w:rsidR="000E38E9" w:rsidRPr="006A755F" w:rsidRDefault="000E38E9" w:rsidP="007F4A51">
            <w:pPr>
              <w:spacing w:after="108"/>
              <w:rPr>
                <w:b/>
                <w:color w:val="2F5496" w:themeColor="accent5" w:themeShade="BF"/>
              </w:rPr>
            </w:pPr>
            <w:r w:rsidRPr="006A755F">
              <w:rPr>
                <w:b/>
                <w:color w:val="2F5496" w:themeColor="accent5" w:themeShade="BF"/>
              </w:rPr>
              <w:t>Pozemní komunikace</w:t>
            </w:r>
          </w:p>
        </w:tc>
        <w:tc>
          <w:tcPr>
            <w:tcW w:w="2302" w:type="dxa"/>
            <w:vAlign w:val="center"/>
          </w:tcPr>
          <w:p w14:paraId="462F716C" w14:textId="77777777" w:rsidR="000E38E9" w:rsidRPr="006A755F" w:rsidRDefault="000E38E9" w:rsidP="007F4A51">
            <w:pPr>
              <w:spacing w:after="108"/>
              <w:jc w:val="right"/>
              <w:rPr>
                <w:b/>
                <w:color w:val="2F5496" w:themeColor="accent5" w:themeShade="BF"/>
              </w:rPr>
            </w:pPr>
            <w:r w:rsidRPr="006A755F">
              <w:rPr>
                <w:b/>
                <w:color w:val="2F5496" w:themeColor="accent5" w:themeShade="BF"/>
              </w:rPr>
              <w:t>0 tis. Kč</w:t>
            </w:r>
          </w:p>
        </w:tc>
      </w:tr>
      <w:tr w:rsidR="000E38E9" w:rsidRPr="006A755F" w14:paraId="5061783D" w14:textId="77777777" w:rsidTr="007F4A51">
        <w:trPr>
          <w:tblHeader/>
        </w:trPr>
        <w:tc>
          <w:tcPr>
            <w:tcW w:w="5891" w:type="dxa"/>
          </w:tcPr>
          <w:p w14:paraId="3414AEC8" w14:textId="77777777" w:rsidR="000E38E9" w:rsidRPr="006A755F" w:rsidRDefault="000E38E9" w:rsidP="007F4A51">
            <w:pPr>
              <w:spacing w:after="108"/>
              <w:rPr>
                <w:b/>
                <w:color w:val="2F5496" w:themeColor="accent5" w:themeShade="BF"/>
              </w:rPr>
            </w:pPr>
            <w:r w:rsidRPr="006A755F">
              <w:rPr>
                <w:b/>
                <w:color w:val="2F5496" w:themeColor="accent5" w:themeShade="BF"/>
              </w:rPr>
              <w:t>Dotace pro SFDI</w:t>
            </w:r>
          </w:p>
        </w:tc>
        <w:tc>
          <w:tcPr>
            <w:tcW w:w="2302" w:type="dxa"/>
            <w:vAlign w:val="center"/>
          </w:tcPr>
          <w:p w14:paraId="18820E0B" w14:textId="77777777" w:rsidR="000E38E9" w:rsidRPr="006A755F" w:rsidRDefault="000E38E9" w:rsidP="007F4A51">
            <w:pPr>
              <w:spacing w:after="108"/>
              <w:jc w:val="right"/>
              <w:rPr>
                <w:b/>
                <w:color w:val="2F5496" w:themeColor="accent5" w:themeShade="BF"/>
              </w:rPr>
            </w:pPr>
            <w:r>
              <w:rPr>
                <w:b/>
                <w:color w:val="2F5496" w:themeColor="accent5" w:themeShade="BF"/>
              </w:rPr>
              <w:t>3 678 749</w:t>
            </w:r>
            <w:r w:rsidRPr="006A755F">
              <w:rPr>
                <w:b/>
                <w:color w:val="2F5496" w:themeColor="accent5" w:themeShade="BF"/>
              </w:rPr>
              <w:t xml:space="preserve"> tis. Kč</w:t>
            </w:r>
          </w:p>
        </w:tc>
      </w:tr>
      <w:tr w:rsidR="000E38E9" w:rsidRPr="006A755F" w14:paraId="15C698B1" w14:textId="77777777" w:rsidTr="007F4A51">
        <w:trPr>
          <w:tblHeader/>
        </w:trPr>
        <w:tc>
          <w:tcPr>
            <w:tcW w:w="5891" w:type="dxa"/>
          </w:tcPr>
          <w:p w14:paraId="464E977F" w14:textId="77777777" w:rsidR="000E38E9" w:rsidRPr="006A755F" w:rsidRDefault="000E38E9" w:rsidP="007F4A51">
            <w:pPr>
              <w:spacing w:after="108"/>
              <w:rPr>
                <w:sz w:val="20"/>
                <w:szCs w:val="20"/>
              </w:rPr>
            </w:pPr>
            <w:r w:rsidRPr="006A755F">
              <w:rPr>
                <w:sz w:val="20"/>
                <w:szCs w:val="20"/>
              </w:rPr>
              <w:t xml:space="preserve">v tom: dotace pro spol. </w:t>
            </w:r>
            <w:proofErr w:type="spellStart"/>
            <w:r w:rsidRPr="006A755F">
              <w:rPr>
                <w:sz w:val="20"/>
                <w:szCs w:val="20"/>
              </w:rPr>
              <w:t>progr</w:t>
            </w:r>
            <w:proofErr w:type="spellEnd"/>
            <w:r w:rsidRPr="006A755F">
              <w:rPr>
                <w:sz w:val="20"/>
                <w:szCs w:val="20"/>
              </w:rPr>
              <w:t>. EU a ČR</w:t>
            </w:r>
          </w:p>
        </w:tc>
        <w:tc>
          <w:tcPr>
            <w:tcW w:w="2302" w:type="dxa"/>
            <w:vAlign w:val="center"/>
          </w:tcPr>
          <w:p w14:paraId="5016CD16" w14:textId="77777777" w:rsidR="000E38E9" w:rsidRPr="006A755F" w:rsidRDefault="000E38E9" w:rsidP="007F4A51">
            <w:pPr>
              <w:spacing w:after="108"/>
              <w:jc w:val="right"/>
              <w:rPr>
                <w:color w:val="FF0000"/>
              </w:rPr>
            </w:pPr>
            <w:r>
              <w:t xml:space="preserve">3 248 800 </w:t>
            </w:r>
            <w:r w:rsidRPr="006A755F">
              <w:t>tis. Kč</w:t>
            </w:r>
          </w:p>
        </w:tc>
      </w:tr>
      <w:tr w:rsidR="000E38E9" w:rsidRPr="006A755F" w14:paraId="46420D35" w14:textId="77777777" w:rsidTr="007F4A51">
        <w:trPr>
          <w:tblHeader/>
        </w:trPr>
        <w:tc>
          <w:tcPr>
            <w:tcW w:w="5891" w:type="dxa"/>
          </w:tcPr>
          <w:p w14:paraId="7EDC6DA7" w14:textId="77777777" w:rsidR="000E38E9" w:rsidRPr="006A755F" w:rsidRDefault="000E38E9" w:rsidP="007F4A51">
            <w:pPr>
              <w:spacing w:after="108"/>
              <w:rPr>
                <w:sz w:val="20"/>
                <w:szCs w:val="20"/>
              </w:rPr>
            </w:pPr>
            <w:r w:rsidRPr="006A755F">
              <w:rPr>
                <w:sz w:val="20"/>
                <w:szCs w:val="20"/>
              </w:rPr>
              <w:tab/>
            </w:r>
            <w:r w:rsidRPr="006A755F">
              <w:rPr>
                <w:sz w:val="20"/>
                <w:szCs w:val="20"/>
              </w:rPr>
              <w:tab/>
              <w:t>ostatní dotace pro SFDI</w:t>
            </w:r>
          </w:p>
        </w:tc>
        <w:tc>
          <w:tcPr>
            <w:tcW w:w="2302" w:type="dxa"/>
            <w:vAlign w:val="center"/>
          </w:tcPr>
          <w:p w14:paraId="69679813" w14:textId="77777777" w:rsidR="000E38E9" w:rsidRPr="006A755F" w:rsidRDefault="000E38E9" w:rsidP="007F4A51">
            <w:pPr>
              <w:spacing w:after="108"/>
              <w:jc w:val="right"/>
              <w:rPr>
                <w:color w:val="FF0000"/>
              </w:rPr>
            </w:pPr>
            <w:r>
              <w:t>429 949</w:t>
            </w:r>
            <w:r w:rsidRPr="006A755F">
              <w:t xml:space="preserve"> tis. Kč</w:t>
            </w:r>
          </w:p>
        </w:tc>
      </w:tr>
      <w:tr w:rsidR="000E38E9" w:rsidRPr="006A755F" w14:paraId="04955EAA" w14:textId="77777777" w:rsidTr="007F4A51">
        <w:trPr>
          <w:trHeight w:val="311"/>
          <w:tblHeader/>
        </w:trPr>
        <w:tc>
          <w:tcPr>
            <w:tcW w:w="5891" w:type="dxa"/>
          </w:tcPr>
          <w:p w14:paraId="6F019134" w14:textId="77777777" w:rsidR="000E38E9" w:rsidRPr="006A755F" w:rsidRDefault="000E38E9" w:rsidP="007F4A51">
            <w:pPr>
              <w:spacing w:after="108"/>
              <w:rPr>
                <w:b/>
                <w:color w:val="2F5496" w:themeColor="accent5" w:themeShade="BF"/>
              </w:rPr>
            </w:pPr>
            <w:r w:rsidRPr="006A755F">
              <w:rPr>
                <w:b/>
                <w:color w:val="2F5496" w:themeColor="accent5" w:themeShade="BF"/>
              </w:rPr>
              <w:t>Výdaje spojené s výkonem předsednictví ČR v Radě EU</w:t>
            </w:r>
          </w:p>
        </w:tc>
        <w:tc>
          <w:tcPr>
            <w:tcW w:w="2302" w:type="dxa"/>
            <w:vAlign w:val="center"/>
          </w:tcPr>
          <w:p w14:paraId="2A2C67C3" w14:textId="77777777" w:rsidR="000E38E9" w:rsidRPr="006A755F" w:rsidRDefault="000E38E9" w:rsidP="007F4A51">
            <w:pPr>
              <w:spacing w:after="108"/>
              <w:jc w:val="right"/>
              <w:rPr>
                <w:b/>
                <w:color w:val="2F5496" w:themeColor="accent5" w:themeShade="BF"/>
              </w:rPr>
            </w:pPr>
            <w:r>
              <w:rPr>
                <w:b/>
                <w:color w:val="2F5496" w:themeColor="accent5" w:themeShade="BF"/>
              </w:rPr>
              <w:t>175</w:t>
            </w:r>
            <w:r w:rsidRPr="006A755F">
              <w:rPr>
                <w:b/>
                <w:color w:val="2F5496" w:themeColor="accent5" w:themeShade="BF"/>
              </w:rPr>
              <w:t xml:space="preserve"> tis. Kč</w:t>
            </w:r>
          </w:p>
        </w:tc>
      </w:tr>
      <w:tr w:rsidR="000E38E9" w:rsidRPr="006A755F" w14:paraId="2048EC21" w14:textId="77777777" w:rsidTr="007F4A51">
        <w:trPr>
          <w:trHeight w:val="311"/>
          <w:tblHeader/>
        </w:trPr>
        <w:tc>
          <w:tcPr>
            <w:tcW w:w="5891" w:type="dxa"/>
          </w:tcPr>
          <w:p w14:paraId="715D436C" w14:textId="77777777" w:rsidR="000E38E9" w:rsidRPr="006A755F" w:rsidRDefault="000E38E9" w:rsidP="007F4A51">
            <w:pPr>
              <w:spacing w:after="108"/>
              <w:rPr>
                <w:b/>
                <w:color w:val="2F5496" w:themeColor="accent5" w:themeShade="BF"/>
              </w:rPr>
            </w:pPr>
            <w:r w:rsidRPr="006A755F">
              <w:rPr>
                <w:b/>
                <w:color w:val="2F5496" w:themeColor="accent5" w:themeShade="BF"/>
              </w:rPr>
              <w:t>Ostatní výdaje spojené s dopravní politikou státu</w:t>
            </w:r>
          </w:p>
        </w:tc>
        <w:tc>
          <w:tcPr>
            <w:tcW w:w="2302" w:type="dxa"/>
            <w:vAlign w:val="center"/>
          </w:tcPr>
          <w:p w14:paraId="21F071C2" w14:textId="77777777" w:rsidR="000E38E9" w:rsidRPr="006A755F" w:rsidRDefault="000E38E9" w:rsidP="007F4A51">
            <w:pPr>
              <w:spacing w:after="108"/>
              <w:jc w:val="right"/>
              <w:rPr>
                <w:b/>
                <w:color w:val="2F5496" w:themeColor="accent5" w:themeShade="BF"/>
              </w:rPr>
            </w:pPr>
            <w:r>
              <w:rPr>
                <w:b/>
                <w:color w:val="2F5496" w:themeColor="accent5" w:themeShade="BF"/>
              </w:rPr>
              <w:t>903 482</w:t>
            </w:r>
            <w:r w:rsidRPr="006A755F">
              <w:rPr>
                <w:b/>
                <w:color w:val="2F5496" w:themeColor="accent5" w:themeShade="BF"/>
              </w:rPr>
              <w:t xml:space="preserve"> tis. Kč</w:t>
            </w:r>
          </w:p>
        </w:tc>
      </w:tr>
      <w:tr w:rsidR="000E38E9" w:rsidRPr="006A755F" w14:paraId="7FAD3E7E" w14:textId="77777777" w:rsidTr="007F4A51">
        <w:trPr>
          <w:tblHeader/>
        </w:trPr>
        <w:tc>
          <w:tcPr>
            <w:tcW w:w="5891" w:type="dxa"/>
            <w:shd w:val="clear" w:color="auto" w:fill="D9D9D9" w:themeFill="background1" w:themeFillShade="D9"/>
          </w:tcPr>
          <w:p w14:paraId="289780DC" w14:textId="77777777" w:rsidR="000E38E9" w:rsidRPr="006A755F" w:rsidRDefault="000E38E9" w:rsidP="007F4A51">
            <w:pPr>
              <w:spacing w:after="108"/>
              <w:rPr>
                <w:b/>
              </w:rPr>
            </w:pPr>
            <w:r w:rsidRPr="006A755F">
              <w:rPr>
                <w:b/>
              </w:rPr>
              <w:t>Výdaje kapitoly MD 327 celkem</w:t>
            </w:r>
          </w:p>
        </w:tc>
        <w:tc>
          <w:tcPr>
            <w:tcW w:w="2302" w:type="dxa"/>
            <w:shd w:val="clear" w:color="auto" w:fill="D9D9D9" w:themeFill="background1" w:themeFillShade="D9"/>
            <w:vAlign w:val="center"/>
          </w:tcPr>
          <w:p w14:paraId="57374DB7" w14:textId="77777777" w:rsidR="000E38E9" w:rsidRPr="006A755F" w:rsidRDefault="000E38E9" w:rsidP="007F4A51">
            <w:pPr>
              <w:spacing w:after="108"/>
              <w:jc w:val="right"/>
              <w:rPr>
                <w:b/>
                <w:color w:val="FF0000"/>
              </w:rPr>
            </w:pPr>
            <w:r>
              <w:rPr>
                <w:b/>
                <w:szCs w:val="20"/>
              </w:rPr>
              <w:t>8 421 882</w:t>
            </w:r>
            <w:r w:rsidRPr="006A755F">
              <w:rPr>
                <w:b/>
              </w:rPr>
              <w:t xml:space="preserve"> tis. Kč</w:t>
            </w:r>
          </w:p>
        </w:tc>
      </w:tr>
    </w:tbl>
    <w:p w14:paraId="5C05A631" w14:textId="4A44C961" w:rsidR="00BA3B33" w:rsidRPr="006B6D61" w:rsidRDefault="00BA3B33" w:rsidP="00BA3B33">
      <w:pPr>
        <w:pStyle w:val="KOMGrafy"/>
      </w:pPr>
      <w:bookmarkStart w:id="1191" w:name="_Toc160457149"/>
      <w:r w:rsidRPr="006B6D61">
        <w:t xml:space="preserve">Graf č. </w:t>
      </w:r>
      <w:r w:rsidRPr="006B6D61">
        <w:rPr>
          <w:noProof/>
        </w:rPr>
        <w:fldChar w:fldCharType="begin"/>
      </w:r>
      <w:r w:rsidRPr="006B6D61">
        <w:rPr>
          <w:noProof/>
        </w:rPr>
        <w:instrText xml:space="preserve"> SEQ Graf_č. \* ARABIC </w:instrText>
      </w:r>
      <w:r w:rsidRPr="006B6D61">
        <w:rPr>
          <w:noProof/>
        </w:rPr>
        <w:fldChar w:fldCharType="separate"/>
      </w:r>
      <w:r w:rsidR="00013820">
        <w:rPr>
          <w:noProof/>
        </w:rPr>
        <w:t>32</w:t>
      </w:r>
      <w:r w:rsidRPr="006B6D61">
        <w:rPr>
          <w:noProof/>
        </w:rPr>
        <w:fldChar w:fldCharType="end"/>
      </w:r>
      <w:r w:rsidRPr="006B6D61">
        <w:t>: Čerpání nároků dle specifických ukazatelů</w:t>
      </w:r>
      <w:bookmarkEnd w:id="1191"/>
    </w:p>
    <w:p w14:paraId="4A5764BB" w14:textId="63F5E601" w:rsidR="00BA3B33" w:rsidRPr="0077128B" w:rsidRDefault="00BA3B33" w:rsidP="00BA4E5A">
      <w:pPr>
        <w:pStyle w:val="KOMtext"/>
        <w:rPr>
          <w:color w:val="FF0000"/>
        </w:rPr>
      </w:pPr>
      <w:r w:rsidRPr="0077128B">
        <w:rPr>
          <w:noProof/>
          <w:color w:val="FF0000"/>
        </w:rPr>
        <w:drawing>
          <wp:inline distT="0" distB="0" distL="0" distR="0" wp14:anchorId="6B859A30" wp14:editId="44590D9A">
            <wp:extent cx="5267325" cy="1619885"/>
            <wp:effectExtent l="0" t="0" r="0" b="0"/>
            <wp:docPr id="47" name="objekt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14:paraId="6C610029" w14:textId="17557AAC" w:rsidR="00B50B04" w:rsidRPr="006B6D61" w:rsidRDefault="00E43ED1" w:rsidP="008E35E7">
      <w:pPr>
        <w:pStyle w:val="KOMnadp5"/>
        <w:numPr>
          <w:ilvl w:val="0"/>
          <w:numId w:val="0"/>
        </w:numPr>
        <w:rPr>
          <w:color w:val="auto"/>
        </w:rPr>
      </w:pPr>
      <w:r w:rsidRPr="006B6D61">
        <w:rPr>
          <w:color w:val="auto"/>
        </w:rPr>
        <w:t>Konečný rozpočet výdajů 202</w:t>
      </w:r>
      <w:r w:rsidR="00B50B04" w:rsidRPr="006B6D61">
        <w:rPr>
          <w:color w:val="auto"/>
        </w:rPr>
        <w:t>3</w:t>
      </w:r>
    </w:p>
    <w:p w14:paraId="493E3575" w14:textId="09D7F706" w:rsidR="00B50B04" w:rsidRPr="006B6D61" w:rsidRDefault="00B50B04" w:rsidP="00B50B04">
      <w:pPr>
        <w:pStyle w:val="KOMtext"/>
      </w:pPr>
      <w:r w:rsidRPr="006B6D61">
        <w:t xml:space="preserve">Čerpání nároků z nespotřebovaných výdajů minulých let představuje povolené překročení rozpočtu. Konečný rozpočet kapitoly 327 Ministerstvo dopravy byl k 31. 12. 2023 ve výši </w:t>
      </w:r>
      <w:r w:rsidRPr="006B6D61">
        <w:br/>
        <w:t>122 303 327 tis. Kč, přičemž se do něj promítly:</w:t>
      </w:r>
    </w:p>
    <w:p w14:paraId="36B2332A" w14:textId="77777777" w:rsidR="00B50B04" w:rsidRPr="00B50B04" w:rsidRDefault="00B50B04" w:rsidP="006B6D61">
      <w:pPr>
        <w:pStyle w:val="KOModrky"/>
        <w:numPr>
          <w:ilvl w:val="0"/>
          <w:numId w:val="5"/>
        </w:numPr>
      </w:pPr>
      <w:r w:rsidRPr="006B6D61">
        <w:t xml:space="preserve">provedená rozpočtová opatření, na </w:t>
      </w:r>
      <w:proofErr w:type="gramStart"/>
      <w:r w:rsidRPr="006B6D61">
        <w:t>základě</w:t>
      </w:r>
      <w:proofErr w:type="gramEnd"/>
      <w:r w:rsidRPr="006B6D61">
        <w:t xml:space="preserve"> kterých byl schválený rozpočet pro rok 2023 ve výši 112 700 867 tis. Kč upraven na částku 112 749 544 tis. Kč,</w:t>
      </w:r>
    </w:p>
    <w:p w14:paraId="6D61AB92" w14:textId="77777777" w:rsidR="00B50B04" w:rsidRPr="00B50B04" w:rsidRDefault="00B50B04" w:rsidP="006B6D61">
      <w:pPr>
        <w:pStyle w:val="KOModrky"/>
        <w:numPr>
          <w:ilvl w:val="0"/>
          <w:numId w:val="5"/>
        </w:numPr>
      </w:pPr>
      <w:r w:rsidRPr="006B6D61">
        <w:t>povolené překročení rozpočtu výdajů v důsledku zapojení nároků z nespotřebovaných výdajů minulých let ve výši 9 573 618 tis. Kč</w:t>
      </w:r>
      <w:r w:rsidRPr="00B50B04">
        <w:t>,</w:t>
      </w:r>
    </w:p>
    <w:p w14:paraId="56FFEDA8" w14:textId="77777777" w:rsidR="00B50B04" w:rsidRPr="006B6D61" w:rsidRDefault="00B50B04" w:rsidP="006B6D61">
      <w:pPr>
        <w:pStyle w:val="KOModrky"/>
        <w:numPr>
          <w:ilvl w:val="0"/>
          <w:numId w:val="5"/>
        </w:numPr>
      </w:pPr>
      <w:r w:rsidRPr="006B6D61">
        <w:t>povolené překročení rozpočtu výdajů o zapojení prostředků rezervního fondu ústředního orgánu Ministerstva dopravy ve výši 4 446 tis. Kč,</w:t>
      </w:r>
    </w:p>
    <w:p w14:paraId="334D3C58" w14:textId="77777777" w:rsidR="00B50B04" w:rsidRPr="006B6D61" w:rsidRDefault="00B50B04" w:rsidP="006B6D61">
      <w:pPr>
        <w:pStyle w:val="KOModrky"/>
        <w:numPr>
          <w:ilvl w:val="0"/>
          <w:numId w:val="5"/>
        </w:numPr>
      </w:pPr>
      <w:r w:rsidRPr="006B6D61">
        <w:t>vázání prostředků státního rozpočtu za neobsazená místa ve výši 24 280 tis. Kč.</w:t>
      </w:r>
    </w:p>
    <w:p w14:paraId="0579384C" w14:textId="4FF578D3" w:rsidR="00E43ED1" w:rsidRPr="0077128B" w:rsidRDefault="00E43ED1" w:rsidP="006B6D61">
      <w:pPr>
        <w:pStyle w:val="KOMnadp5"/>
        <w:numPr>
          <w:ilvl w:val="0"/>
          <w:numId w:val="0"/>
        </w:numPr>
        <w:rPr>
          <w:color w:val="FF0000"/>
        </w:rPr>
      </w:pPr>
    </w:p>
    <w:p w14:paraId="3C612FF4" w14:textId="193D5C50" w:rsidR="00CC11AB" w:rsidRPr="006B6D61" w:rsidRDefault="00CC11AB" w:rsidP="006B6D61">
      <w:pPr>
        <w:pStyle w:val="KOMnadp5"/>
        <w:numPr>
          <w:ilvl w:val="0"/>
          <w:numId w:val="0"/>
        </w:numPr>
        <w:ind w:left="567"/>
        <w:rPr>
          <w:color w:val="auto"/>
        </w:rPr>
      </w:pPr>
      <w:bookmarkStart w:id="1192" w:name="_Toc128397741"/>
      <w:bookmarkStart w:id="1193" w:name="_Toc128397874"/>
      <w:bookmarkStart w:id="1194" w:name="_Toc128398095"/>
      <w:bookmarkStart w:id="1195" w:name="_Toc128398438"/>
      <w:bookmarkStart w:id="1196" w:name="_Toc128398564"/>
      <w:bookmarkStart w:id="1197" w:name="_Toc128398777"/>
      <w:bookmarkEnd w:id="1192"/>
      <w:bookmarkEnd w:id="1193"/>
      <w:bookmarkEnd w:id="1194"/>
      <w:bookmarkEnd w:id="1195"/>
      <w:bookmarkEnd w:id="1196"/>
      <w:bookmarkEnd w:id="1197"/>
      <w:r w:rsidRPr="006B6D61">
        <w:rPr>
          <w:color w:val="auto"/>
        </w:rPr>
        <w:t>Nároky z nespotřebovaných výdajů vzniklé k </w:t>
      </w:r>
      <w:r w:rsidR="00CA6B9E" w:rsidRPr="006B6D61">
        <w:rPr>
          <w:color w:val="auto"/>
        </w:rPr>
        <w:t>31. 12. 202</w:t>
      </w:r>
      <w:r w:rsidR="003E1024" w:rsidRPr="006B6D61">
        <w:rPr>
          <w:color w:val="auto"/>
        </w:rPr>
        <w:t>3</w:t>
      </w:r>
    </w:p>
    <w:p w14:paraId="4867EE13" w14:textId="0EC6F692" w:rsidR="00CC11AB" w:rsidRPr="006B6D61" w:rsidRDefault="00CC11AB" w:rsidP="00CC11AB">
      <w:pPr>
        <w:keepLines/>
        <w:spacing w:before="120" w:after="120" w:line="276" w:lineRule="auto"/>
        <w:jc w:val="both"/>
        <w:rPr>
          <w:rFonts w:eastAsia="Times New Roman" w:cstheme="minorHAnsi"/>
          <w:sz w:val="24"/>
          <w:szCs w:val="20"/>
          <w:lang w:eastAsia="cs-CZ"/>
        </w:rPr>
      </w:pPr>
      <w:r w:rsidRPr="006B6D61">
        <w:rPr>
          <w:rFonts w:eastAsia="Times New Roman" w:cstheme="minorHAnsi"/>
          <w:sz w:val="24"/>
          <w:szCs w:val="20"/>
          <w:lang w:eastAsia="cs-CZ"/>
        </w:rPr>
        <w:t>K 31. 12. 202</w:t>
      </w:r>
      <w:r w:rsidR="00F66F22" w:rsidRPr="006B6D61">
        <w:rPr>
          <w:rFonts w:eastAsia="Times New Roman" w:cstheme="minorHAnsi"/>
          <w:sz w:val="24"/>
          <w:szCs w:val="20"/>
          <w:lang w:eastAsia="cs-CZ"/>
        </w:rPr>
        <w:t>3</w:t>
      </w:r>
      <w:r w:rsidRPr="006B6D61">
        <w:rPr>
          <w:rFonts w:eastAsia="Times New Roman" w:cstheme="minorHAnsi"/>
          <w:sz w:val="24"/>
          <w:szCs w:val="20"/>
          <w:lang w:eastAsia="cs-CZ"/>
        </w:rPr>
        <w:t xml:space="preserve"> vznikly nároky z nespotřebovaných rozpočtových výdajů za rok 202</w:t>
      </w:r>
      <w:r w:rsidR="00173E6E" w:rsidRPr="006B6D61">
        <w:rPr>
          <w:rFonts w:eastAsia="Times New Roman" w:cstheme="minorHAnsi"/>
          <w:sz w:val="24"/>
          <w:szCs w:val="20"/>
          <w:lang w:eastAsia="cs-CZ"/>
        </w:rPr>
        <w:t>3</w:t>
      </w:r>
      <w:r w:rsidRPr="006B6D61">
        <w:rPr>
          <w:rFonts w:eastAsia="Times New Roman" w:cstheme="minorHAnsi"/>
          <w:sz w:val="24"/>
          <w:szCs w:val="20"/>
          <w:lang w:eastAsia="cs-CZ"/>
        </w:rPr>
        <w:t xml:space="preserve"> v celkové výši </w:t>
      </w:r>
      <w:r w:rsidR="004A5B45" w:rsidRPr="006B6D61">
        <w:rPr>
          <w:rFonts w:eastAsia="Times New Roman" w:cstheme="minorHAnsi"/>
          <w:sz w:val="24"/>
          <w:szCs w:val="20"/>
          <w:lang w:eastAsia="cs-CZ"/>
        </w:rPr>
        <w:t>9 814 443</w:t>
      </w:r>
      <w:r w:rsidRPr="006B6D61">
        <w:rPr>
          <w:rFonts w:eastAsia="Times New Roman" w:cstheme="minorHAnsi"/>
          <w:sz w:val="24"/>
          <w:szCs w:val="20"/>
          <w:lang w:eastAsia="cs-CZ"/>
        </w:rPr>
        <w:t xml:space="preserve"> tis. Kč v tom:</w:t>
      </w:r>
    </w:p>
    <w:p w14:paraId="56252CC9" w14:textId="01EDEA94" w:rsidR="00CC11AB" w:rsidRPr="006B6D61" w:rsidRDefault="00CC11AB" w:rsidP="00CC11AB">
      <w:pPr>
        <w:keepLines/>
        <w:spacing w:before="120" w:after="120" w:line="276" w:lineRule="auto"/>
        <w:jc w:val="both"/>
        <w:rPr>
          <w:rFonts w:eastAsia="Times New Roman" w:cstheme="minorHAnsi"/>
          <w:b/>
          <w:sz w:val="24"/>
          <w:szCs w:val="20"/>
          <w:lang w:eastAsia="cs-CZ"/>
        </w:rPr>
      </w:pPr>
      <w:r w:rsidRPr="006B6D61">
        <w:rPr>
          <w:rFonts w:eastAsia="Times New Roman" w:cstheme="minorHAnsi"/>
          <w:b/>
          <w:sz w:val="24"/>
          <w:szCs w:val="20"/>
          <w:lang w:eastAsia="cs-CZ"/>
        </w:rPr>
        <w:t xml:space="preserve">profilující nároky ve výši </w:t>
      </w:r>
      <w:r w:rsidR="00525A5A" w:rsidRPr="006B6D61">
        <w:rPr>
          <w:rFonts w:eastAsia="Times New Roman" w:cstheme="minorHAnsi"/>
          <w:b/>
          <w:sz w:val="24"/>
          <w:szCs w:val="20"/>
          <w:lang w:eastAsia="cs-CZ"/>
        </w:rPr>
        <w:t>8 002 288</w:t>
      </w:r>
      <w:r w:rsidRPr="006B6D61">
        <w:rPr>
          <w:rFonts w:eastAsia="Times New Roman" w:cstheme="minorHAnsi"/>
          <w:b/>
          <w:sz w:val="24"/>
          <w:szCs w:val="20"/>
          <w:lang w:eastAsia="cs-CZ"/>
        </w:rPr>
        <w:t xml:space="preserve"> tis Kč v tom nároky:</w:t>
      </w:r>
    </w:p>
    <w:p w14:paraId="658E785C" w14:textId="71D9CF7A" w:rsidR="00E829BA" w:rsidRPr="006B6D61" w:rsidRDefault="00E829BA" w:rsidP="00E829BA">
      <w:pPr>
        <w:pStyle w:val="KOModrky"/>
      </w:pPr>
      <w:r w:rsidRPr="006B6D61">
        <w:t>na platy státních zaměstnanců ve výši 2</w:t>
      </w:r>
      <w:r w:rsidR="005D6566" w:rsidRPr="006B6D61">
        <w:t>6 578</w:t>
      </w:r>
      <w:r w:rsidRPr="006B6D61">
        <w:t xml:space="preserve"> tis. Kč. </w:t>
      </w:r>
      <w:r w:rsidR="00E809E7" w:rsidRPr="00E809E7">
        <w:rPr>
          <w:color w:val="00B050"/>
        </w:rPr>
        <w:t xml:space="preserve"> </w:t>
      </w:r>
      <w:r w:rsidR="00E809E7" w:rsidRPr="006B6D61">
        <w:t xml:space="preserve">Jedná se o prostředky zejména </w:t>
      </w:r>
      <w:r w:rsidR="008E35E7">
        <w:br/>
      </w:r>
      <w:r w:rsidR="00E809E7" w:rsidRPr="006B6D61">
        <w:t xml:space="preserve">u ÚO MD z Nástroje pro propojení Evropy 2014+ (CEF), z Nástroje pro propojení Evropy 2021+ (CEF) a TP OP Doprava 2021+ se kterými se počítá, že budou zapojovány </w:t>
      </w:r>
      <w:r w:rsidR="008E35E7">
        <w:br/>
      </w:r>
      <w:r w:rsidR="00E809E7" w:rsidRPr="006B6D61">
        <w:t xml:space="preserve">a čerpány po dobu trvání programu a projektu. Dále nebyly vyčerpány rozpočtové prostředky především z důvodu zapojení a čerpání nároků z minulých let u OSS ÚCL </w:t>
      </w:r>
      <w:r w:rsidR="008E35E7">
        <w:br/>
      </w:r>
      <w:r w:rsidR="00E809E7" w:rsidRPr="006B6D61">
        <w:t>a ÚO MD. Prostředky nebyly vyčerpány taky z </w:t>
      </w:r>
      <w:proofErr w:type="spellStart"/>
      <w:r w:rsidR="00E809E7" w:rsidRPr="006B6D61">
        <w:t>Brexitové</w:t>
      </w:r>
      <w:proofErr w:type="spellEnd"/>
      <w:r w:rsidR="00E809E7" w:rsidRPr="006B6D61">
        <w:t xml:space="preserve"> rezervy</w:t>
      </w:r>
      <w:r w:rsidR="007615A6">
        <w:t>.</w:t>
      </w:r>
    </w:p>
    <w:p w14:paraId="25AC4A40" w14:textId="4BF960C6" w:rsidR="00E829BA" w:rsidRPr="006B6D61" w:rsidRDefault="00E829BA" w:rsidP="00E829BA">
      <w:pPr>
        <w:pStyle w:val="KOModrky"/>
        <w:rPr>
          <w:color w:val="000000" w:themeColor="text1"/>
        </w:rPr>
      </w:pPr>
      <w:r w:rsidRPr="006B6D61">
        <w:t xml:space="preserve">na platy a ostatní platby za provedenou práci kromě platů státních zaměstnanců ve výši </w:t>
      </w:r>
      <w:r w:rsidR="000A6243" w:rsidRPr="006B6D61">
        <w:t>8 874</w:t>
      </w:r>
      <w:r w:rsidRPr="006B6D61">
        <w:t xml:space="preserve"> tis. Kč</w:t>
      </w:r>
      <w:r w:rsidRPr="006B6D61">
        <w:rPr>
          <w:color w:val="000000" w:themeColor="text1"/>
        </w:rPr>
        <w:t>.</w:t>
      </w:r>
      <w:r w:rsidR="0010017C" w:rsidRPr="006B6D61">
        <w:rPr>
          <w:color w:val="000000" w:themeColor="text1"/>
        </w:rPr>
        <w:t xml:space="preserve"> </w:t>
      </w:r>
      <w:r w:rsidR="003918A5" w:rsidRPr="006B6D61">
        <w:rPr>
          <w:color w:val="000000" w:themeColor="text1"/>
        </w:rPr>
        <w:t xml:space="preserve"> Jedná se o prostředky zejména u ÚO MD z Nástroje pro propojení Evropy 2021+ (CEF) a TP OP Doprava 2021+ se kterými se počítá, že budou zapojovány a čerpány po dobu trvání programu a projektu. Dále nebyly vyčerpány prostředky </w:t>
      </w:r>
      <w:r w:rsidR="008E35E7">
        <w:rPr>
          <w:color w:val="000000" w:themeColor="text1"/>
        </w:rPr>
        <w:br/>
      </w:r>
      <w:r w:rsidR="003918A5" w:rsidRPr="006B6D61">
        <w:rPr>
          <w:color w:val="000000" w:themeColor="text1"/>
        </w:rPr>
        <w:t xml:space="preserve">z </w:t>
      </w:r>
      <w:proofErr w:type="spellStart"/>
      <w:r w:rsidR="003918A5" w:rsidRPr="006B6D61">
        <w:rPr>
          <w:color w:val="000000" w:themeColor="text1"/>
        </w:rPr>
        <w:t>Brexitové</w:t>
      </w:r>
      <w:proofErr w:type="spellEnd"/>
      <w:r w:rsidR="003918A5" w:rsidRPr="006B6D61">
        <w:rPr>
          <w:color w:val="000000" w:themeColor="text1"/>
        </w:rPr>
        <w:t xml:space="preserve"> rezervy.  </w:t>
      </w:r>
    </w:p>
    <w:p w14:paraId="4CB51426" w14:textId="39027A99" w:rsidR="00760DAD" w:rsidRPr="006B6D61" w:rsidRDefault="00760DAD" w:rsidP="006B6D61">
      <w:pPr>
        <w:pStyle w:val="KOModrky"/>
        <w:spacing w:line="276" w:lineRule="auto"/>
      </w:pPr>
      <w:r w:rsidRPr="006B6D61">
        <w:t xml:space="preserve">na jejichž provedení dostává ČR peněžní prostředky nebo jejich část z rozpočtu EU </w:t>
      </w:r>
      <w:r w:rsidR="008E35E7">
        <w:br/>
      </w:r>
      <w:r w:rsidRPr="006B6D61">
        <w:t xml:space="preserve">ve výši </w:t>
      </w:r>
      <w:r w:rsidR="005C4E1A" w:rsidRPr="006B6D61">
        <w:t>7</w:t>
      </w:r>
      <w:r w:rsidR="000D760E" w:rsidRPr="006B6D61">
        <w:t> </w:t>
      </w:r>
      <w:r w:rsidR="005C4E1A" w:rsidRPr="006B6D61">
        <w:t>87</w:t>
      </w:r>
      <w:r w:rsidR="000D760E" w:rsidRPr="006B6D61">
        <w:t>6 100</w:t>
      </w:r>
      <w:r w:rsidR="003324AA" w:rsidRPr="006B6D61">
        <w:t xml:space="preserve"> tis. Kč. </w:t>
      </w:r>
      <w:r w:rsidR="00682A94" w:rsidRPr="006B6D61">
        <w:t xml:space="preserve"> Jedná se zejména o prostředky z OP Doprava 2021+, z Nástroje pro propojení Evropy 2014+ (CEF) a z Národního plánu obnovy. Nevyčerpání prostředků bylo způsobeno především zpožděním přípravy jednotlivých projektů.</w:t>
      </w:r>
    </w:p>
    <w:p w14:paraId="138B0B49" w14:textId="5A5A8012" w:rsidR="003A71E5" w:rsidRPr="006B6D61" w:rsidRDefault="003A71E5" w:rsidP="003A71E5">
      <w:pPr>
        <w:pStyle w:val="KOModrky"/>
      </w:pPr>
      <w:r w:rsidRPr="006B6D61">
        <w:t xml:space="preserve">na programy podle § 13 odst. 3 rozpočtových pravidel ve výši </w:t>
      </w:r>
      <w:r w:rsidR="001B0E3C" w:rsidRPr="006B6D61">
        <w:t>90 735</w:t>
      </w:r>
      <w:r w:rsidRPr="006B6D61">
        <w:t xml:space="preserve"> tis Kč. </w:t>
      </w:r>
      <w:r w:rsidR="00B35BAE" w:rsidRPr="006B6D61">
        <w:t>V roce 2023 byly</w:t>
      </w:r>
      <w:r w:rsidR="00325C77" w:rsidRPr="006B6D61">
        <w:t xml:space="preserve"> zahájeny nové projekty na naplnění cílů strategie Digitální Česko. Čerpání u těchto projektů se ve větší míře předpokládá v roce 2024. </w:t>
      </w:r>
    </w:p>
    <w:p w14:paraId="2250E768" w14:textId="6B96F427" w:rsidR="0049156F" w:rsidRDefault="00760DAD" w:rsidP="00D3010F">
      <w:pPr>
        <w:pStyle w:val="KOMtext"/>
        <w:rPr>
          <w:rFonts w:cstheme="minorHAnsi"/>
          <w:b/>
        </w:rPr>
      </w:pPr>
      <w:r w:rsidRPr="006B6D61">
        <w:rPr>
          <w:rFonts w:cstheme="minorHAnsi"/>
          <w:b/>
        </w:rPr>
        <w:t xml:space="preserve">neprofilující nároky ve výši </w:t>
      </w:r>
      <w:r w:rsidR="00932397" w:rsidRPr="006B6D61">
        <w:rPr>
          <w:rFonts w:cstheme="minorHAnsi"/>
          <w:b/>
        </w:rPr>
        <w:t>1</w:t>
      </w:r>
      <w:r w:rsidR="00960291" w:rsidRPr="006B6D61">
        <w:rPr>
          <w:rFonts w:cstheme="minorHAnsi"/>
          <w:b/>
        </w:rPr>
        <w:t xml:space="preserve"> </w:t>
      </w:r>
      <w:r w:rsidR="00932397" w:rsidRPr="006B6D61">
        <w:rPr>
          <w:rFonts w:cstheme="minorHAnsi"/>
          <w:b/>
        </w:rPr>
        <w:t>812</w:t>
      </w:r>
      <w:r w:rsidR="00960291" w:rsidRPr="006B6D61">
        <w:rPr>
          <w:rFonts w:cstheme="minorHAnsi"/>
          <w:b/>
        </w:rPr>
        <w:t xml:space="preserve"> 155</w:t>
      </w:r>
      <w:r w:rsidRPr="006B6D61">
        <w:rPr>
          <w:rFonts w:cstheme="minorHAnsi"/>
          <w:b/>
        </w:rPr>
        <w:t xml:space="preserve"> tis. Kč. </w:t>
      </w:r>
    </w:p>
    <w:p w14:paraId="52F13B58" w14:textId="654AE327" w:rsidR="00CC11AB" w:rsidRPr="0077128B" w:rsidRDefault="00F255AE" w:rsidP="00D3010F">
      <w:pPr>
        <w:pStyle w:val="KOMtext"/>
        <w:rPr>
          <w:rFonts w:cstheme="minorHAnsi"/>
          <w:color w:val="FF0000"/>
        </w:rPr>
      </w:pPr>
      <w:r w:rsidRPr="006B6D61">
        <w:rPr>
          <w:rFonts w:cstheme="minorHAnsi"/>
          <w:bCs/>
        </w:rPr>
        <w:t xml:space="preserve">Neprofilující nároky vznikly zejména úsporou prostředků určených na Úhradu ztráty </w:t>
      </w:r>
      <w:r w:rsidR="008E35E7">
        <w:rPr>
          <w:rFonts w:cstheme="minorHAnsi"/>
          <w:bCs/>
        </w:rPr>
        <w:br/>
      </w:r>
      <w:r w:rsidRPr="006B6D61">
        <w:rPr>
          <w:rFonts w:cstheme="minorHAnsi"/>
          <w:bCs/>
        </w:rPr>
        <w:t>ze závazku veřejné služby ve veřejné drážní osobní dopravě a na Kompenzace ztráty vznikající dopravcům ve veřejné osobní dopravě přiznáváním státem nařízených slev z</w:t>
      </w:r>
      <w:r w:rsidR="007615A6">
        <w:rPr>
          <w:rFonts w:cstheme="minorHAnsi"/>
          <w:bCs/>
        </w:rPr>
        <w:t> </w:t>
      </w:r>
      <w:r w:rsidRPr="006B6D61">
        <w:rPr>
          <w:rFonts w:cstheme="minorHAnsi"/>
          <w:bCs/>
        </w:rPr>
        <w:t>jízdného</w:t>
      </w:r>
      <w:r w:rsidR="007615A6">
        <w:rPr>
          <w:rFonts w:cstheme="minorHAnsi"/>
          <w:bCs/>
        </w:rPr>
        <w:t>.</w:t>
      </w:r>
    </w:p>
    <w:p w14:paraId="26AB1DA1" w14:textId="2602DCD9" w:rsidR="00B81247" w:rsidRPr="006B6D61" w:rsidRDefault="00B81247" w:rsidP="00B81247">
      <w:pPr>
        <w:pStyle w:val="KOMtext"/>
        <w:rPr>
          <w:b/>
        </w:rPr>
      </w:pPr>
      <w:r w:rsidRPr="006B6D61">
        <w:rPr>
          <w:b/>
        </w:rPr>
        <w:t>K</w:t>
      </w:r>
      <w:r w:rsidRPr="0077128B">
        <w:rPr>
          <w:b/>
          <w:color w:val="FF0000"/>
        </w:rPr>
        <w:t> </w:t>
      </w:r>
      <w:r w:rsidRPr="006B6D61">
        <w:rPr>
          <w:b/>
        </w:rPr>
        <w:t>31. 12. 202</w:t>
      </w:r>
      <w:r w:rsidR="00904F1D" w:rsidRPr="006B6D61">
        <w:rPr>
          <w:b/>
        </w:rPr>
        <w:t>3</w:t>
      </w:r>
      <w:r w:rsidRPr="006B6D61">
        <w:rPr>
          <w:b/>
        </w:rPr>
        <w:t xml:space="preserve"> zůstaly nevyčerpány nároky z nespotřebovaných výdajů z minulých let ve výši </w:t>
      </w:r>
      <w:r w:rsidR="00BC3128" w:rsidRPr="006B6D61">
        <w:rPr>
          <w:b/>
        </w:rPr>
        <w:t>10 669 321</w:t>
      </w:r>
      <w:r w:rsidRPr="006B6D61">
        <w:rPr>
          <w:b/>
        </w:rPr>
        <w:t xml:space="preserve"> tis. Kč. Jedná se o:</w:t>
      </w:r>
    </w:p>
    <w:p w14:paraId="0D9C6AC1" w14:textId="56DF4054" w:rsidR="00B81247" w:rsidRPr="006B6D61" w:rsidRDefault="00B81247" w:rsidP="00B81247">
      <w:pPr>
        <w:pStyle w:val="KOMtext"/>
      </w:pPr>
      <w:r w:rsidRPr="006B6D61">
        <w:rPr>
          <w:b/>
        </w:rPr>
        <w:t>profilující nároky</w:t>
      </w:r>
      <w:r w:rsidRPr="006B6D61">
        <w:t xml:space="preserve"> </w:t>
      </w:r>
      <w:r w:rsidRPr="006B6D61">
        <w:rPr>
          <w:b/>
        </w:rPr>
        <w:t xml:space="preserve">ve výši </w:t>
      </w:r>
      <w:r w:rsidR="00904F1D" w:rsidRPr="006B6D61">
        <w:rPr>
          <w:b/>
        </w:rPr>
        <w:t>10 129 368</w:t>
      </w:r>
      <w:r w:rsidRPr="006B6D61">
        <w:rPr>
          <w:b/>
        </w:rPr>
        <w:t xml:space="preserve"> tis Kč</w:t>
      </w:r>
      <w:r w:rsidRPr="006B6D61">
        <w:t xml:space="preserve"> v tom nároky:</w:t>
      </w:r>
    </w:p>
    <w:p w14:paraId="42B186D7" w14:textId="1D9E18C4" w:rsidR="00F11758" w:rsidRPr="006B6D61" w:rsidRDefault="00E829BA">
      <w:pPr>
        <w:pStyle w:val="KOModrky"/>
      </w:pPr>
      <w:r w:rsidRPr="006B6D61">
        <w:t xml:space="preserve">na platy státních zaměstnanců zůstaly nevyčerpané prostředky ve výši </w:t>
      </w:r>
      <w:r w:rsidR="00904F1D" w:rsidRPr="006B6D61">
        <w:t>10 723</w:t>
      </w:r>
      <w:r w:rsidRPr="006B6D61">
        <w:t xml:space="preserve"> tis. Kč. </w:t>
      </w:r>
      <w:r w:rsidR="00F11758" w:rsidRPr="00D20AD3">
        <w:t xml:space="preserve">Jedná se o prostředky zejména u ÚO MD z Nástroje pro propojení Evropy 2014+ (CEF) se kterými se počítá, že budou zapojovány a čerpány po dobu trvání programu </w:t>
      </w:r>
      <w:r w:rsidR="008E35E7">
        <w:br/>
      </w:r>
      <w:r w:rsidR="00F11758" w:rsidRPr="00D20AD3">
        <w:t>a projektu. U OSS ÚCL se jedná o nevyčerpanou částku ve výši 5 372 tis. Kč z počátečního stavu nároků k 1.1. 2023 ve výši 15 372 tis. Kč.</w:t>
      </w:r>
    </w:p>
    <w:p w14:paraId="00C5160F" w14:textId="7FC9891D" w:rsidR="00E829BA" w:rsidRPr="006B6D61" w:rsidRDefault="00E829BA" w:rsidP="006B6D61">
      <w:pPr>
        <w:pStyle w:val="KOModrky"/>
        <w:spacing w:line="276" w:lineRule="auto"/>
      </w:pPr>
      <w:r w:rsidRPr="006B6D61">
        <w:t xml:space="preserve">na platy a ostatní platby za provedenou práci kromě platů státních zaměstnanců </w:t>
      </w:r>
      <w:r w:rsidR="008E35E7">
        <w:br/>
      </w:r>
      <w:r w:rsidRPr="006B6D61">
        <w:t>ve výši 3</w:t>
      </w:r>
      <w:r w:rsidR="00904F1D" w:rsidRPr="006B6D61">
        <w:t>1 319</w:t>
      </w:r>
      <w:r w:rsidRPr="006B6D61">
        <w:t xml:space="preserve"> tis. Kč. Jedná se o prostředky zejména u OSS ÚCL a dále o prostředky </w:t>
      </w:r>
      <w:r w:rsidR="008E35E7">
        <w:br/>
      </w:r>
      <w:r w:rsidRPr="006B6D61">
        <w:lastRenderedPageBreak/>
        <w:t>u</w:t>
      </w:r>
      <w:r w:rsidR="0010017C" w:rsidRPr="006B6D61">
        <w:t xml:space="preserve"> </w:t>
      </w:r>
      <w:r w:rsidRPr="006B6D61">
        <w:t xml:space="preserve">ÚO MD z Nástroje pro propojení Evropy 2014+ (CEF) se kterými se počítá, že budou zapojovány a čerpány po dobu trvání programu a projektu. </w:t>
      </w:r>
      <w:r w:rsidR="00F83B7E" w:rsidRPr="006B6D61">
        <w:t xml:space="preserve">Nejvíce se však podílí </w:t>
      </w:r>
      <w:r w:rsidR="008E35E7">
        <w:br/>
      </w:r>
      <w:r w:rsidR="00F83B7E" w:rsidRPr="006B6D61">
        <w:t xml:space="preserve">na nevyčerpaných nárocích </w:t>
      </w:r>
      <w:r w:rsidR="00E84592" w:rsidRPr="00D20AD3">
        <w:t xml:space="preserve">u </w:t>
      </w:r>
      <w:r w:rsidR="008713A2" w:rsidRPr="00D20AD3">
        <w:t xml:space="preserve">ÚO MD prostředky </w:t>
      </w:r>
      <w:r w:rsidR="00F83B7E" w:rsidRPr="006B6D61">
        <w:t>TP OP Doprava 2014+.</w:t>
      </w:r>
    </w:p>
    <w:p w14:paraId="47982988" w14:textId="719E0A07" w:rsidR="00760DAD" w:rsidRPr="006B6D61" w:rsidRDefault="00760DAD" w:rsidP="00760DAD">
      <w:pPr>
        <w:pStyle w:val="KOModrky"/>
      </w:pPr>
      <w:r w:rsidRPr="006B6D61">
        <w:t xml:space="preserve">na jejichž provedení dostává ČR peněžní prostředky nebo jejich část z rozpočtu EU ve výši </w:t>
      </w:r>
      <w:r w:rsidR="00904F1D" w:rsidRPr="006B6D61">
        <w:t>9 808 480</w:t>
      </w:r>
      <w:r w:rsidRPr="006B6D61">
        <w:t xml:space="preserve"> tis. Kč. Jedná se</w:t>
      </w:r>
      <w:r w:rsidR="00107026" w:rsidRPr="006B6D61">
        <w:t xml:space="preserve"> zejména</w:t>
      </w:r>
      <w:r w:rsidRPr="006B6D61">
        <w:t xml:space="preserve"> o pro</w:t>
      </w:r>
      <w:r w:rsidR="003324AA" w:rsidRPr="006B6D61">
        <w:t>středky OP</w:t>
      </w:r>
      <w:r w:rsidRPr="006B6D61">
        <w:t xml:space="preserve"> Doprava 2</w:t>
      </w:r>
      <w:r w:rsidR="00107026" w:rsidRPr="006B6D61">
        <w:t>021</w:t>
      </w:r>
      <w:r w:rsidRPr="006B6D61">
        <w:t>+</w:t>
      </w:r>
      <w:r w:rsidR="00107026" w:rsidRPr="006B6D61">
        <w:t>,</w:t>
      </w:r>
      <w:r w:rsidRPr="006B6D61">
        <w:t xml:space="preserve"> Nástroje pro propojení Evropy 2014+ (</w:t>
      </w:r>
      <w:r w:rsidR="003324AA" w:rsidRPr="006B6D61">
        <w:t xml:space="preserve">CEF) </w:t>
      </w:r>
      <w:r w:rsidR="00BB3116" w:rsidRPr="006B6D61">
        <w:t>a N</w:t>
      </w:r>
      <w:r w:rsidR="00A36861" w:rsidRPr="006B6D61">
        <w:t xml:space="preserve">árodního plánu </w:t>
      </w:r>
      <w:proofErr w:type="gramStart"/>
      <w:r w:rsidR="00A36861" w:rsidRPr="006B6D61">
        <w:t>obnovy</w:t>
      </w:r>
      <w:proofErr w:type="gramEnd"/>
      <w:r w:rsidR="00210074" w:rsidRPr="006B6D61">
        <w:t xml:space="preserve"> </w:t>
      </w:r>
      <w:r w:rsidR="003324AA" w:rsidRPr="006B6D61">
        <w:t xml:space="preserve">se kterými se počítá, že budou zapojovány a </w:t>
      </w:r>
      <w:r w:rsidRPr="006B6D61">
        <w:t xml:space="preserve">čerpány </w:t>
      </w:r>
      <w:r w:rsidR="00A36861" w:rsidRPr="006B6D61">
        <w:t>v</w:t>
      </w:r>
      <w:r w:rsidR="00253658" w:rsidRPr="006B6D61">
        <w:t> </w:t>
      </w:r>
      <w:r w:rsidR="00A36861" w:rsidRPr="006B6D61">
        <w:t>následují</w:t>
      </w:r>
      <w:r w:rsidR="00253658" w:rsidRPr="006B6D61">
        <w:t>cích letech.</w:t>
      </w:r>
      <w:r w:rsidR="00210074" w:rsidRPr="006B6D61">
        <w:t xml:space="preserve"> </w:t>
      </w:r>
      <w:r w:rsidRPr="006B6D61">
        <w:t>Vysoký stav nároků nespotřebovaných výdajů</w:t>
      </w:r>
      <w:r w:rsidR="003324AA" w:rsidRPr="006B6D61">
        <w:t xml:space="preserve"> </w:t>
      </w:r>
      <w:r w:rsidR="00253658" w:rsidRPr="006B6D61">
        <w:t xml:space="preserve">je </w:t>
      </w:r>
      <w:r w:rsidRPr="006B6D61">
        <w:t>způsoben zejména z</w:t>
      </w:r>
      <w:r w:rsidR="0082021B" w:rsidRPr="006B6D61">
        <w:t xml:space="preserve">požděním při realizaci </w:t>
      </w:r>
      <w:r w:rsidRPr="006B6D61">
        <w:t xml:space="preserve">projektů oproti předpokladům. </w:t>
      </w:r>
    </w:p>
    <w:p w14:paraId="1963BB00" w14:textId="284CBFEC" w:rsidR="003A71E5" w:rsidRPr="006B6D61" w:rsidRDefault="003A71E5" w:rsidP="003A71E5">
      <w:pPr>
        <w:pStyle w:val="KOModrky"/>
      </w:pPr>
      <w:r w:rsidRPr="006B6D61">
        <w:t xml:space="preserve">na programy podle § 13 odst. 3 rozpočtových pravidel ve výši </w:t>
      </w:r>
      <w:r w:rsidR="000456B5" w:rsidRPr="006B6D61">
        <w:t>278 058</w:t>
      </w:r>
      <w:r w:rsidRPr="006B6D61">
        <w:t xml:space="preserve"> tis Kč.</w:t>
      </w:r>
      <w:r w:rsidR="0010017C" w:rsidRPr="006B6D61">
        <w:t xml:space="preserve"> </w:t>
      </w:r>
      <w:r w:rsidRPr="006B6D61">
        <w:t xml:space="preserve">Tyto prostředky budou využity na investiční výdaje v návaznosti na uzavřené objednávky/smlouvy </w:t>
      </w:r>
      <w:r w:rsidR="00FE38D3" w:rsidRPr="006B6D61">
        <w:t>zahájené v průběhu roku 2023</w:t>
      </w:r>
      <w:r w:rsidRPr="006B6D61">
        <w:t>. Při jejich zadání bylo předpokládáno věcné i finanční plnění v roce 202</w:t>
      </w:r>
      <w:r w:rsidR="00FE38D3" w:rsidRPr="006B6D61">
        <w:t>4</w:t>
      </w:r>
      <w:r w:rsidRPr="006B6D61">
        <w:t xml:space="preserve">. Jedná se o výdaje související s rozvojem informačních systémů, jako např. Registr silničních vozidel, </w:t>
      </w:r>
      <w:r w:rsidR="00FE38D3" w:rsidRPr="006B6D61">
        <w:t>informační systém e-Testy</w:t>
      </w:r>
      <w:r w:rsidRPr="006B6D61">
        <w:t xml:space="preserve">, systém technických prohlídek </w:t>
      </w:r>
      <w:r w:rsidR="00FE38D3" w:rsidRPr="006B6D61">
        <w:t>a projekty k naplnění strategie Digitální Česko.</w:t>
      </w:r>
    </w:p>
    <w:p w14:paraId="3BC58075" w14:textId="31326E03" w:rsidR="00B81247" w:rsidRPr="0077128B" w:rsidRDefault="00B81247" w:rsidP="00BA4E5A">
      <w:pPr>
        <w:pStyle w:val="KOModrky"/>
        <w:rPr>
          <w:color w:val="FF0000"/>
        </w:rPr>
      </w:pPr>
      <w:r w:rsidRPr="006B6D61">
        <w:t xml:space="preserve">účelově určené podle § 21 odst. 3 a 4 rozpočtových pravidel ve výši </w:t>
      </w:r>
      <w:r w:rsidR="009539F8" w:rsidRPr="006B6D61">
        <w:t>787</w:t>
      </w:r>
      <w:r w:rsidRPr="006B6D61">
        <w:t xml:space="preserve"> tis. Kč</w:t>
      </w:r>
      <w:r w:rsidRPr="006B6D61">
        <w:rPr>
          <w:color w:val="000000" w:themeColor="text1"/>
        </w:rPr>
        <w:t xml:space="preserve">. Jedná se o prostředky na financování stáží zaměstnanců české státní správy v institucích EU, které byly nevyčerpány z důvodu </w:t>
      </w:r>
      <w:r w:rsidR="00760DAD" w:rsidRPr="006B6D61">
        <w:rPr>
          <w:color w:val="000000" w:themeColor="text1"/>
        </w:rPr>
        <w:t>ukončení</w:t>
      </w:r>
      <w:r w:rsidRPr="006B6D61">
        <w:rPr>
          <w:color w:val="000000" w:themeColor="text1"/>
        </w:rPr>
        <w:t xml:space="preserve"> stáže</w:t>
      </w:r>
      <w:r w:rsidR="004C1607" w:rsidRPr="006B6D61">
        <w:rPr>
          <w:color w:val="000000" w:themeColor="text1"/>
        </w:rPr>
        <w:t xml:space="preserve"> </w:t>
      </w:r>
      <w:r w:rsidR="00DC1078" w:rsidRPr="006B6D61">
        <w:rPr>
          <w:color w:val="000000" w:themeColor="text1"/>
        </w:rPr>
        <w:t>a</w:t>
      </w:r>
      <w:r w:rsidR="00F332A0">
        <w:rPr>
          <w:color w:val="000000" w:themeColor="text1"/>
        </w:rPr>
        <w:t xml:space="preserve"> dále o</w:t>
      </w:r>
      <w:r w:rsidR="00DC1078" w:rsidRPr="006B6D61">
        <w:rPr>
          <w:color w:val="000000" w:themeColor="text1"/>
        </w:rPr>
        <w:t xml:space="preserve"> </w:t>
      </w:r>
      <w:r w:rsidR="00BC2F34" w:rsidRPr="006A755F">
        <w:t>prostředky z rozpočtového opatření z prosince 2022 v souvislosti s valorizací platových tarifů od 1. 9. 2022</w:t>
      </w:r>
      <w:r w:rsidR="00A42889">
        <w:t xml:space="preserve"> pro příspěvkovou organizaci Centrum služeb pro silniční dopravu</w:t>
      </w:r>
      <w:r w:rsidR="001F521B">
        <w:t xml:space="preserve"> a OSS Státní plavební správa.</w:t>
      </w:r>
    </w:p>
    <w:p w14:paraId="22DDE8CA" w14:textId="657081AE" w:rsidR="00B81247" w:rsidRPr="006B6D61" w:rsidRDefault="00B81247" w:rsidP="00B81247">
      <w:pPr>
        <w:pStyle w:val="KOMtext"/>
      </w:pPr>
      <w:r w:rsidRPr="006B6D61">
        <w:rPr>
          <w:b/>
        </w:rPr>
        <w:t xml:space="preserve">neprofilující nároky ve výši </w:t>
      </w:r>
      <w:r w:rsidR="008E2D49" w:rsidRPr="006B6D61">
        <w:rPr>
          <w:b/>
        </w:rPr>
        <w:t>539 954</w:t>
      </w:r>
      <w:r w:rsidRPr="006B6D61">
        <w:rPr>
          <w:b/>
        </w:rPr>
        <w:t xml:space="preserve"> tis. Kč.</w:t>
      </w:r>
    </w:p>
    <w:p w14:paraId="294B0FB2" w14:textId="56F3AF58" w:rsidR="00CC11AB" w:rsidRPr="006B6D61" w:rsidRDefault="000127C9" w:rsidP="00B6306E">
      <w:pPr>
        <w:pStyle w:val="KOMtext"/>
      </w:pPr>
      <w:r w:rsidRPr="006B6D61">
        <w:t xml:space="preserve">Jedná se o částku z celkových neprofilujících výdajů </w:t>
      </w:r>
      <w:r w:rsidR="00C975A1">
        <w:t>k 1.1. 2023</w:t>
      </w:r>
      <w:r w:rsidR="001E3403">
        <w:t xml:space="preserve"> ve výši 952 540 tis K</w:t>
      </w:r>
      <w:r w:rsidR="00361FFC">
        <w:t>č</w:t>
      </w:r>
      <w:r w:rsidR="00E06487">
        <w:t xml:space="preserve">, která nebyla </w:t>
      </w:r>
      <w:r w:rsidR="001E3403">
        <w:t>vyčerpána</w:t>
      </w:r>
      <w:r w:rsidR="00361FFC">
        <w:t>.</w:t>
      </w:r>
    </w:p>
    <w:p w14:paraId="7B6773DE" w14:textId="77777777" w:rsidR="00663216" w:rsidRPr="006B6D61" w:rsidRDefault="00342109">
      <w:pPr>
        <w:pStyle w:val="KOMNadp1"/>
      </w:pPr>
      <w:bookmarkStart w:id="1198" w:name="_Toc128400093"/>
      <w:bookmarkStart w:id="1199" w:name="_Toc128401333"/>
      <w:bookmarkStart w:id="1200" w:name="_Toc128401461"/>
      <w:bookmarkStart w:id="1201" w:name="_Toc128401948"/>
      <w:bookmarkStart w:id="1202" w:name="_Toc128400094"/>
      <w:bookmarkStart w:id="1203" w:name="_Toc162269280"/>
      <w:bookmarkEnd w:id="1198"/>
      <w:bookmarkEnd w:id="1199"/>
      <w:bookmarkEnd w:id="1200"/>
      <w:bookmarkEnd w:id="1201"/>
      <w:r w:rsidRPr="006B6D61">
        <w:lastRenderedPageBreak/>
        <w:t>DALŠÍ SPECIFICKÉ OKRUHY</w:t>
      </w:r>
      <w:bookmarkEnd w:id="1202"/>
      <w:bookmarkEnd w:id="1203"/>
    </w:p>
    <w:p w14:paraId="4AD507A8" w14:textId="4CDA2B68" w:rsidR="00663216" w:rsidRDefault="00796E10" w:rsidP="00FE67C5">
      <w:pPr>
        <w:pStyle w:val="KOMnadp2"/>
      </w:pPr>
      <w:bookmarkStart w:id="1204" w:name="_Toc128400095"/>
      <w:bookmarkStart w:id="1205" w:name="_Toc162269281"/>
      <w:r w:rsidRPr="006B6D61">
        <w:t>Zahraniční p</w:t>
      </w:r>
      <w:r w:rsidR="00663216" w:rsidRPr="006B6D61">
        <w:t>racovní cesty</w:t>
      </w:r>
      <w:bookmarkEnd w:id="1204"/>
      <w:bookmarkEnd w:id="1205"/>
    </w:p>
    <w:p w14:paraId="76436043" w14:textId="745078FD" w:rsidR="00365920" w:rsidRPr="00F02E53" w:rsidRDefault="00365920" w:rsidP="00365920">
      <w:pPr>
        <w:pStyle w:val="KOMtext"/>
      </w:pPr>
      <w:r w:rsidRPr="00EF264D">
        <w:t xml:space="preserve">Výdaje na zahraniční pracovní cesty byly v roce </w:t>
      </w:r>
      <w:r w:rsidR="00EF264D" w:rsidRPr="00EF264D">
        <w:t>2023</w:t>
      </w:r>
      <w:r w:rsidRPr="00EF264D">
        <w:t xml:space="preserve"> zvýšeny v souvislosti se </w:t>
      </w:r>
      <w:r w:rsidR="00EF264D" w:rsidRPr="00EF264D">
        <w:t>stále se zlepšující situací</w:t>
      </w:r>
      <w:r w:rsidRPr="00EF264D">
        <w:t xml:space="preserve"> v souvislosti s celosvětovou pandemií. Oproti roku </w:t>
      </w:r>
      <w:r w:rsidR="00EF264D" w:rsidRPr="00EF264D">
        <w:t>2022</w:t>
      </w:r>
      <w:r w:rsidRPr="00EF264D">
        <w:t xml:space="preserve"> byl </w:t>
      </w:r>
      <w:r w:rsidR="00EF264D" w:rsidRPr="00EF264D">
        <w:t xml:space="preserve">tedy </w:t>
      </w:r>
      <w:r w:rsidRPr="00EF264D">
        <w:t xml:space="preserve">zaznamenán nárůst výdajů na zahraniční pracovní cesty. Za rok </w:t>
      </w:r>
      <w:r w:rsidR="00EF264D" w:rsidRPr="00EF264D">
        <w:t>2023</w:t>
      </w:r>
      <w:r w:rsidRPr="00EF264D">
        <w:t xml:space="preserve"> uvádějí organizační složky státu a příspěvkové organizace ve výši</w:t>
      </w:r>
      <w:r w:rsidRPr="0077128B">
        <w:rPr>
          <w:color w:val="FF0000"/>
        </w:rPr>
        <w:t xml:space="preserve"> </w:t>
      </w:r>
      <w:r w:rsidR="00EF264D" w:rsidRPr="00EF264D">
        <w:t>10 616</w:t>
      </w:r>
      <w:r w:rsidRPr="00EF264D">
        <w:t xml:space="preserve"> tis. Kč při účasti </w:t>
      </w:r>
      <w:r w:rsidR="00EF264D" w:rsidRPr="00EF264D">
        <w:t>806</w:t>
      </w:r>
      <w:r w:rsidRPr="00EF264D">
        <w:t xml:space="preserve"> pracovníků. </w:t>
      </w:r>
      <w:r w:rsidRPr="00F02E53">
        <w:t>Nejčastěji zahraniční pracovní cesty směřovaly do Belgie, Německa, Francie, Slovenska, Rakouska, Polska, Švýcarska, Maďarska, Lucemburska</w:t>
      </w:r>
      <w:r w:rsidR="00EF264D" w:rsidRPr="00F02E53">
        <w:t xml:space="preserve">, Holandska, </w:t>
      </w:r>
      <w:r w:rsidR="00F02E53" w:rsidRPr="00F02E53">
        <w:t xml:space="preserve">Itálie, Španělska a Velké Británie. </w:t>
      </w:r>
    </w:p>
    <w:p w14:paraId="11D0E9A5" w14:textId="41E7B93D" w:rsidR="00365920" w:rsidRPr="000E0593" w:rsidRDefault="00365920" w:rsidP="00365920">
      <w:pPr>
        <w:pStyle w:val="KOMtext"/>
      </w:pPr>
      <w:r w:rsidRPr="00F02E53">
        <w:t xml:space="preserve">U organizačních složek státu bylo na zahraniční pracovní cesty vydáno celkem </w:t>
      </w:r>
      <w:r w:rsidR="00F02E53" w:rsidRPr="00F02E53">
        <w:t>10 390</w:t>
      </w:r>
      <w:r w:rsidRPr="00F02E53">
        <w:t xml:space="preserve"> tis. Kč, </w:t>
      </w:r>
      <w:r w:rsidRPr="00F02E53">
        <w:br/>
        <w:t xml:space="preserve">a to za účasti </w:t>
      </w:r>
      <w:r w:rsidR="00F02E53" w:rsidRPr="00F02E53">
        <w:t>774</w:t>
      </w:r>
      <w:r w:rsidRPr="00F02E53">
        <w:t xml:space="preserve"> pracovníků. Ve srovnání s rokem </w:t>
      </w:r>
      <w:r w:rsidR="00F02E53" w:rsidRPr="00F02E53">
        <w:t>2022</w:t>
      </w:r>
      <w:r w:rsidRPr="0077128B">
        <w:rPr>
          <w:color w:val="FF0000"/>
        </w:rPr>
        <w:t xml:space="preserve"> </w:t>
      </w:r>
      <w:r w:rsidRPr="000E0593">
        <w:t xml:space="preserve">došlo ke zvýšení výdajů na zahraniční pracovní cesty celkem o </w:t>
      </w:r>
      <w:r w:rsidR="00F02E53" w:rsidRPr="000E0593">
        <w:t>3 615</w:t>
      </w:r>
      <w:r w:rsidRPr="000E0593">
        <w:t xml:space="preserve"> tis. Kč. Nárůst výdajů byl vykázán u všech organizačních složek státu</w:t>
      </w:r>
      <w:r w:rsidR="00F02E53" w:rsidRPr="000E0593">
        <w:t xml:space="preserve">, kromě Drážní inspekce, Drážní úřadu a Úřadu pro civilní letectví, kde došlo ke snížení. </w:t>
      </w:r>
      <w:r w:rsidR="000E0593" w:rsidRPr="000E0593">
        <w:t>Organizační složka Dopravní a energetický stavební úřad nevykázala žádné výdajů na zahraniční pracovní cesty.</w:t>
      </w:r>
      <w:r w:rsidR="000E0593">
        <w:rPr>
          <w:color w:val="FF0000"/>
        </w:rPr>
        <w:t xml:space="preserve"> </w:t>
      </w:r>
      <w:bookmarkStart w:id="1206" w:name="_Hlk161914971"/>
      <w:r w:rsidRPr="000E0593">
        <w:t xml:space="preserve">Zahraniční pracovní cesty byly zaměřeny především na účast pracovníků </w:t>
      </w:r>
      <w:proofErr w:type="gramStart"/>
      <w:r w:rsidRPr="000E0593">
        <w:t>rezortu</w:t>
      </w:r>
      <w:proofErr w:type="gramEnd"/>
      <w:r w:rsidRPr="000E0593">
        <w:t xml:space="preserve"> v pracovních orgánech EU a dále na činnosti expertních pracovních skupin a na účast na mezinárodních konferencích pojednávajících o problematice dopravy. Významná byla činnost v oborových mezinárodních vládních organizacích.</w:t>
      </w:r>
      <w:bookmarkEnd w:id="1206"/>
      <w:r w:rsidRPr="000E0593">
        <w:t xml:space="preserve"> </w:t>
      </w:r>
    </w:p>
    <w:p w14:paraId="16A029CC" w14:textId="52A66C95" w:rsidR="00365920" w:rsidRDefault="00365920" w:rsidP="00365920">
      <w:pPr>
        <w:pStyle w:val="KOMtext"/>
      </w:pPr>
      <w:r w:rsidRPr="000245CE">
        <w:t xml:space="preserve">Příspěvkové organizace na zahraniční pracovní cesty vynaložily </w:t>
      </w:r>
      <w:r w:rsidR="000245CE" w:rsidRPr="000245CE">
        <w:t>226</w:t>
      </w:r>
      <w:r w:rsidRPr="000245CE">
        <w:t xml:space="preserve"> tis. Kč při účasti </w:t>
      </w:r>
      <w:r w:rsidR="000245CE" w:rsidRPr="000245CE">
        <w:t>32</w:t>
      </w:r>
      <w:r w:rsidRPr="000245CE">
        <w:t xml:space="preserve"> pracovníků. Ve srovnání s rokem </w:t>
      </w:r>
      <w:r w:rsidR="000245CE" w:rsidRPr="000245CE">
        <w:t>2022</w:t>
      </w:r>
      <w:r w:rsidRPr="000245CE">
        <w:t xml:space="preserve"> došlo k </w:t>
      </w:r>
      <w:r w:rsidR="000245CE" w:rsidRPr="000245CE">
        <w:t>poklesu</w:t>
      </w:r>
      <w:r w:rsidRPr="000245CE">
        <w:t xml:space="preserve"> výdajů na zahraniční pracovní cesty celkem o </w:t>
      </w:r>
      <w:r w:rsidR="000245CE" w:rsidRPr="000245CE">
        <w:t>51</w:t>
      </w:r>
      <w:r w:rsidRPr="000245CE">
        <w:t xml:space="preserve"> tis. Kč. </w:t>
      </w:r>
      <w:r w:rsidR="000245CE" w:rsidRPr="000245CE">
        <w:t>Pokles</w:t>
      </w:r>
      <w:r w:rsidRPr="000245CE">
        <w:t xml:space="preserve"> výdajů byl vykázán u Ředitelství silnic a dálnic ČR</w:t>
      </w:r>
      <w:r w:rsidR="000245CE" w:rsidRPr="000245CE">
        <w:t xml:space="preserve">, u </w:t>
      </w:r>
      <w:r w:rsidRPr="000245CE">
        <w:t>Centra služeb pro silniční dopravu</w:t>
      </w:r>
      <w:r w:rsidR="000245CE" w:rsidRPr="000245CE">
        <w:t xml:space="preserve"> byl vykázán nárůst</w:t>
      </w:r>
      <w:r w:rsidRPr="000245CE">
        <w:t xml:space="preserve">. </w:t>
      </w:r>
      <w:bookmarkStart w:id="1207" w:name="_Hlk161914784"/>
      <w:r w:rsidRPr="000245CE">
        <w:t>Pracovní cesty byly zaměřeny především na účast pracovníků organizací na zasedáních v mezinárodních pracovních skupinách silniční dopravní infrastruktury, na účast v mezinárodních konferencích a na oblast bezpečnosti silničního provozu.</w:t>
      </w:r>
      <w:bookmarkEnd w:id="1207"/>
      <w:r w:rsidR="00AB4244">
        <w:t xml:space="preserve"> </w:t>
      </w:r>
    </w:p>
    <w:p w14:paraId="55A07C40" w14:textId="6DD5329D" w:rsidR="00AB4244" w:rsidRDefault="00AB4244" w:rsidP="00AB4244">
      <w:pPr>
        <w:pStyle w:val="KOMtext"/>
      </w:pPr>
      <w:r>
        <w:t xml:space="preserve">Přínosem zahraničních pracovních cest pro Ministerstvo dopravy v </w:t>
      </w:r>
      <w:r w:rsidRPr="00AB4244">
        <w:t xml:space="preserve">hodnoceném období </w:t>
      </w:r>
      <w:r>
        <w:t>především bylo</w:t>
      </w:r>
      <w:r w:rsidRPr="00AB4244">
        <w:t xml:space="preserve"> zapojení</w:t>
      </w:r>
      <w:r>
        <w:t xml:space="preserve"> </w:t>
      </w:r>
      <w:proofErr w:type="gramStart"/>
      <w:r w:rsidRPr="00AB4244">
        <w:t>rezortu</w:t>
      </w:r>
      <w:proofErr w:type="gramEnd"/>
      <w:r w:rsidRPr="00AB4244">
        <w:t xml:space="preserve"> dopravy do projektů ekonomické</w:t>
      </w:r>
      <w:r>
        <w:t xml:space="preserve">, </w:t>
      </w:r>
      <w:r w:rsidRPr="00AB4244">
        <w:t xml:space="preserve">vědecké </w:t>
      </w:r>
      <w:r>
        <w:t>a dopravní činnosti</w:t>
      </w:r>
      <w:r w:rsidR="00F5033B">
        <w:t xml:space="preserve"> a zajištění spolupráce s ostatními zeměmi</w:t>
      </w:r>
      <w:r>
        <w:t xml:space="preserve">. Dále bylo cílem vytvářet </w:t>
      </w:r>
      <w:r w:rsidRPr="00AB4244">
        <w:t>nové ekonomické</w:t>
      </w:r>
      <w:r>
        <w:t xml:space="preserve"> </w:t>
      </w:r>
      <w:r w:rsidRPr="00AB4244">
        <w:t>a investiční příležitosti pro české firmy a vědecké týmy</w:t>
      </w:r>
      <w:r>
        <w:t xml:space="preserve"> </w:t>
      </w:r>
      <w:r w:rsidRPr="00AB4244">
        <w:t>a zviditelnění České</w:t>
      </w:r>
      <w:r>
        <w:t xml:space="preserve"> </w:t>
      </w:r>
      <w:r w:rsidRPr="00AB4244">
        <w:t>republiky na mezinárodním poli.</w:t>
      </w:r>
      <w:r>
        <w:t xml:space="preserve"> </w:t>
      </w:r>
    </w:p>
    <w:p w14:paraId="2703AF4B" w14:textId="73815448" w:rsidR="00F5033B" w:rsidRPr="000245CE" w:rsidRDefault="00F5033B" w:rsidP="00AB4244">
      <w:pPr>
        <w:pStyle w:val="KOMtext"/>
      </w:pPr>
      <w:r>
        <w:t>Dalším přínosem byla</w:t>
      </w:r>
      <w:r w:rsidRPr="00F5033B">
        <w:t xml:space="preserve"> na účast organizací na zasedáních v mezinárodních pracovních skupinách, na účast v mezinárodních konferencích</w:t>
      </w:r>
      <w:r w:rsidR="00C03A04">
        <w:t xml:space="preserve"> a </w:t>
      </w:r>
      <w:r w:rsidRPr="00F5033B">
        <w:t xml:space="preserve">v pracovních orgánech EU </w:t>
      </w:r>
      <w:r w:rsidR="00C03A04">
        <w:t xml:space="preserve">v různých oblastech dopravy. </w:t>
      </w:r>
    </w:p>
    <w:p w14:paraId="19703C32" w14:textId="24176956" w:rsidR="00365920" w:rsidRPr="000245CE" w:rsidRDefault="00365920" w:rsidP="00365920">
      <w:pPr>
        <w:pStyle w:val="KOMGrafy"/>
      </w:pPr>
      <w:bookmarkStart w:id="1208" w:name="_Toc34288678"/>
      <w:bookmarkStart w:id="1209" w:name="_Toc2855765"/>
      <w:bookmarkStart w:id="1210" w:name="_Toc97651123"/>
      <w:bookmarkStart w:id="1211" w:name="_Toc130377257"/>
      <w:r w:rsidRPr="000245CE">
        <w:rPr>
          <w:noProof/>
        </w:rPr>
        <w:lastRenderedPageBreak/>
        <w:drawing>
          <wp:anchor distT="0" distB="0" distL="114300" distR="114300" simplePos="0" relativeHeight="251660292" behindDoc="0" locked="0" layoutInCell="1" allowOverlap="1" wp14:anchorId="01C20FC7" wp14:editId="65C4A9AA">
            <wp:simplePos x="0" y="0"/>
            <wp:positionH relativeFrom="column">
              <wp:posOffset>0</wp:posOffset>
            </wp:positionH>
            <wp:positionV relativeFrom="paragraph">
              <wp:posOffset>388620</wp:posOffset>
            </wp:positionV>
            <wp:extent cx="5687088" cy="2160000"/>
            <wp:effectExtent l="0" t="0" r="8890" b="12065"/>
            <wp:wrapSquare wrapText="bothSides"/>
            <wp:docPr id="48" name="Graf 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14:sizeRelH relativeFrom="page">
              <wp14:pctWidth>0</wp14:pctWidth>
            </wp14:sizeRelH>
            <wp14:sizeRelV relativeFrom="page">
              <wp14:pctHeight>0</wp14:pctHeight>
            </wp14:sizeRelV>
          </wp:anchor>
        </w:drawing>
      </w:r>
      <w:r w:rsidRPr="000245CE">
        <w:t xml:space="preserve">Graf č. </w:t>
      </w:r>
      <w:r w:rsidRPr="000245CE">
        <w:rPr>
          <w:noProof/>
        </w:rPr>
        <w:fldChar w:fldCharType="begin"/>
      </w:r>
      <w:r w:rsidRPr="000245CE">
        <w:rPr>
          <w:noProof/>
        </w:rPr>
        <w:instrText xml:space="preserve"> SEQ Graf_č. \* ARABIC </w:instrText>
      </w:r>
      <w:r w:rsidRPr="000245CE">
        <w:rPr>
          <w:noProof/>
        </w:rPr>
        <w:fldChar w:fldCharType="separate"/>
      </w:r>
      <w:r w:rsidR="00013820">
        <w:rPr>
          <w:noProof/>
        </w:rPr>
        <w:t>33</w:t>
      </w:r>
      <w:r w:rsidRPr="000245CE">
        <w:rPr>
          <w:noProof/>
        </w:rPr>
        <w:fldChar w:fldCharType="end"/>
      </w:r>
      <w:r w:rsidRPr="000245CE">
        <w:t>: Porovnání výdajů na zahraniční pracovní cesty kapitoly 327-MD (v tis. Kč)</w:t>
      </w:r>
      <w:bookmarkEnd w:id="1208"/>
      <w:bookmarkEnd w:id="1209"/>
      <w:bookmarkEnd w:id="1210"/>
      <w:bookmarkEnd w:id="1211"/>
    </w:p>
    <w:p w14:paraId="2CEC09DE" w14:textId="77777777" w:rsidR="00365920" w:rsidRPr="006B6D61" w:rsidRDefault="00365920" w:rsidP="006B6D61">
      <w:pPr>
        <w:pStyle w:val="KOMtext"/>
      </w:pPr>
    </w:p>
    <w:p w14:paraId="3970CAE6" w14:textId="5C9DA0FC" w:rsidR="00095C43" w:rsidRPr="0077128B" w:rsidRDefault="00663216" w:rsidP="00FE67C5">
      <w:pPr>
        <w:pStyle w:val="KOMnadp2"/>
      </w:pPr>
      <w:bookmarkStart w:id="1212" w:name="_Toc128400096"/>
      <w:bookmarkStart w:id="1213" w:name="_Toc162269282"/>
      <w:r w:rsidRPr="006B6D61">
        <w:t>Zálohové platby</w:t>
      </w:r>
      <w:bookmarkEnd w:id="1212"/>
      <w:bookmarkEnd w:id="1213"/>
    </w:p>
    <w:p w14:paraId="2FA9621A" w14:textId="5BB9F632" w:rsidR="00365920" w:rsidRPr="00661073" w:rsidRDefault="00365920" w:rsidP="00365920">
      <w:pPr>
        <w:pStyle w:val="KOMtext"/>
      </w:pPr>
      <w:bookmarkStart w:id="1214" w:name="_Toc128400097"/>
      <w:r w:rsidRPr="00661073">
        <w:t xml:space="preserve">Zálohové platby na neinvestiční dodávky a práce nerealizované k 31. 12. </w:t>
      </w:r>
      <w:r w:rsidR="00393482" w:rsidRPr="00661073">
        <w:t>2023</w:t>
      </w:r>
      <w:r w:rsidRPr="00661073">
        <w:t xml:space="preserve"> činily celkem </w:t>
      </w:r>
      <w:r w:rsidR="00393482" w:rsidRPr="00661073">
        <w:t>846 892</w:t>
      </w:r>
      <w:r w:rsidRPr="00661073">
        <w:t xml:space="preserve"> tis. Kč, v tom organizační složky státu </w:t>
      </w:r>
      <w:r w:rsidR="00393482" w:rsidRPr="00661073">
        <w:t>22 173</w:t>
      </w:r>
      <w:r w:rsidRPr="00661073">
        <w:t xml:space="preserve"> tis. Kč a příspěvkové organizace </w:t>
      </w:r>
      <w:r w:rsidRPr="00661073">
        <w:br/>
      </w:r>
      <w:r w:rsidR="00393482" w:rsidRPr="00661073">
        <w:t>824 719</w:t>
      </w:r>
      <w:r w:rsidRPr="00661073">
        <w:t xml:space="preserve"> tis. Kč. Oproti roku </w:t>
      </w:r>
      <w:r w:rsidR="00393482" w:rsidRPr="00661073">
        <w:t>2022</w:t>
      </w:r>
      <w:r w:rsidRPr="00661073">
        <w:t xml:space="preserve"> došlo v saldu ke </w:t>
      </w:r>
      <w:r w:rsidR="00393482" w:rsidRPr="00661073">
        <w:t>snížení</w:t>
      </w:r>
      <w:r w:rsidRPr="00661073">
        <w:t xml:space="preserve"> poskytnutých záloh o </w:t>
      </w:r>
      <w:r w:rsidR="00393482" w:rsidRPr="00661073">
        <w:t>18 068</w:t>
      </w:r>
      <w:r w:rsidRPr="00661073">
        <w:t xml:space="preserve"> tis. Kč. U příspěvkových organizací došlo </w:t>
      </w:r>
      <w:r w:rsidR="00661073" w:rsidRPr="00661073">
        <w:t>ke snížení</w:t>
      </w:r>
      <w:r w:rsidRPr="00661073">
        <w:t xml:space="preserve"> objemu poskytnutých záloh oproti roku </w:t>
      </w:r>
      <w:r w:rsidR="00661073" w:rsidRPr="00661073">
        <w:t>2022</w:t>
      </w:r>
      <w:r w:rsidRPr="00661073">
        <w:t xml:space="preserve"> </w:t>
      </w:r>
      <w:r w:rsidRPr="00661073">
        <w:br/>
        <w:t xml:space="preserve">o </w:t>
      </w:r>
      <w:r w:rsidR="00661073" w:rsidRPr="00661073">
        <w:t>35 282</w:t>
      </w:r>
      <w:r w:rsidRPr="00661073">
        <w:t xml:space="preserve"> tis. Kč a u organizačních složek státu došlo k nárůstu o </w:t>
      </w:r>
      <w:r w:rsidR="00393482" w:rsidRPr="00661073">
        <w:t>17 215</w:t>
      </w:r>
      <w:r w:rsidRPr="00661073">
        <w:t xml:space="preserve"> tis. Kč. </w:t>
      </w:r>
    </w:p>
    <w:p w14:paraId="102548E1" w14:textId="648B0F4C" w:rsidR="00365920" w:rsidRPr="00661073" w:rsidRDefault="00365920" w:rsidP="00365920">
      <w:pPr>
        <w:pStyle w:val="KOMtext"/>
      </w:pPr>
      <w:r w:rsidRPr="00661073">
        <w:t xml:space="preserve">Provozní zálohy poskytnuté organizačními složkami státu a příspěvkovými organizacemi jsou orientovány zejména na platby za dodávky elektřiny, plynu, vody, tepla, pohonných hmot (platební karty) a na úhradu předplatného novin a odborných časopisů. Příspěvková organizace Ředitelství silnic a dálnic ČR dále poskytla provozní zálohy na opravy a údržba silnic, zálohy na správu budov, zálohy mobilním operátorům, zálohy na zřízení věcného břemene </w:t>
      </w:r>
      <w:r w:rsidRPr="00661073">
        <w:br/>
        <w:t>a zálohy na frankovací stroje.</w:t>
      </w:r>
      <w:r w:rsidRPr="0077128B">
        <w:rPr>
          <w:color w:val="FF0000"/>
        </w:rPr>
        <w:t xml:space="preserve"> </w:t>
      </w:r>
      <w:r w:rsidRPr="00661073">
        <w:t xml:space="preserve">Rozdíl v celkovém saldu oproti roku </w:t>
      </w:r>
      <w:r w:rsidR="00661073" w:rsidRPr="00661073">
        <w:t>2022</w:t>
      </w:r>
      <w:r w:rsidRPr="00661073">
        <w:t xml:space="preserve"> představují především </w:t>
      </w:r>
      <w:r w:rsidR="00661073" w:rsidRPr="00661073">
        <w:t xml:space="preserve">snížené </w:t>
      </w:r>
      <w:r w:rsidRPr="00661073">
        <w:t xml:space="preserve">zálohové platby Ředitelství silnic a dálnic ČR na opravy vozovky na dálnicích a silnicích, na které zhotovitelé mají nárok dle smluvních podmínek. </w:t>
      </w:r>
    </w:p>
    <w:p w14:paraId="01699385" w14:textId="575DB961" w:rsidR="00365920" w:rsidRPr="0077128B" w:rsidRDefault="00365920" w:rsidP="00365920">
      <w:pPr>
        <w:pStyle w:val="KOMtext"/>
        <w:rPr>
          <w:color w:val="FF0000"/>
        </w:rPr>
      </w:pPr>
      <w:r w:rsidRPr="005D475E">
        <w:t xml:space="preserve">Zálohy na dodávky a práce investičního charakteru k 31. </w:t>
      </w:r>
      <w:r w:rsidRPr="00D64858">
        <w:t xml:space="preserve">12. </w:t>
      </w:r>
      <w:r w:rsidR="005D475E" w:rsidRPr="00D64858">
        <w:t>2023</w:t>
      </w:r>
      <w:r w:rsidRPr="00D64858">
        <w:t xml:space="preserve"> jsou vykázány pouze Ředitelstvím vodním cest ČR a Ředitelstvím silnic a dálnic ČR. Ředitelství vodních cest ČR poskytlo zálohové platby zhotovitelům staveb a provozovateli distribuční sítě za přeložky elektrického vedení hrazené z investičních prostředků SFDI v celkové výši </w:t>
      </w:r>
      <w:r w:rsidR="00D64858" w:rsidRPr="00D64858">
        <w:t>116</w:t>
      </w:r>
      <w:r w:rsidRPr="00D64858">
        <w:t xml:space="preserve"> </w:t>
      </w:r>
      <w:r w:rsidR="00D64858" w:rsidRPr="00D64858">
        <w:t>255</w:t>
      </w:r>
      <w:r w:rsidRPr="00D64858">
        <w:t xml:space="preserve"> tis. Kč.</w:t>
      </w:r>
    </w:p>
    <w:p w14:paraId="4A4CF622" w14:textId="3005B370" w:rsidR="00365920" w:rsidRPr="00D64858" w:rsidRDefault="00365920" w:rsidP="00365920">
      <w:pPr>
        <w:pStyle w:val="KOMtext"/>
      </w:pPr>
      <w:r w:rsidRPr="00D64858">
        <w:t xml:space="preserve">Ředitelství silnic a dálnic ČR vykázalo investiční zálohy v celkové výši </w:t>
      </w:r>
      <w:r w:rsidR="00D64858" w:rsidRPr="00D64858">
        <w:t>8 613 877</w:t>
      </w:r>
      <w:r w:rsidRPr="00D64858">
        <w:t xml:space="preserve"> tis. Kč. Oproti roku </w:t>
      </w:r>
      <w:r w:rsidR="00D64858" w:rsidRPr="00D64858">
        <w:t>2022</w:t>
      </w:r>
      <w:r w:rsidRPr="00D64858">
        <w:t xml:space="preserve"> došlo ke zvýšení těchto poskytnutých záloh o </w:t>
      </w:r>
      <w:r w:rsidR="00D64858" w:rsidRPr="00D64858">
        <w:t>2 847 063</w:t>
      </w:r>
      <w:r w:rsidRPr="00D64858">
        <w:t xml:space="preserve"> tis. Kč. Zvýšení částky záloh bylo způsobeno větším počtem staveb. Jedná se o zálohy za přeložky sítí, které se dle smlouvy se Státním fondem dopravní infrastruktury nemusí u investičních akcí vyúčtovávat do konce roku a o zálohy na stavební práce.</w:t>
      </w:r>
    </w:p>
    <w:p w14:paraId="058B65A0" w14:textId="3129E05F" w:rsidR="00365920" w:rsidRPr="00D64858" w:rsidRDefault="00365920" w:rsidP="00365920">
      <w:pPr>
        <w:pStyle w:val="KOMGrafy"/>
      </w:pPr>
      <w:bookmarkStart w:id="1215" w:name="_Toc2855766"/>
      <w:bookmarkStart w:id="1216" w:name="_Toc34288679"/>
      <w:bookmarkStart w:id="1217" w:name="_Toc97651124"/>
      <w:bookmarkStart w:id="1218" w:name="_Toc130377258"/>
      <w:r w:rsidRPr="00D64858">
        <w:lastRenderedPageBreak/>
        <w:t xml:space="preserve">Graf č. </w:t>
      </w:r>
      <w:r w:rsidRPr="00D64858">
        <w:rPr>
          <w:noProof/>
        </w:rPr>
        <w:fldChar w:fldCharType="begin"/>
      </w:r>
      <w:r w:rsidRPr="00D64858">
        <w:rPr>
          <w:noProof/>
        </w:rPr>
        <w:instrText xml:space="preserve"> SEQ Graf_č. \* ARABIC </w:instrText>
      </w:r>
      <w:r w:rsidRPr="00D64858">
        <w:rPr>
          <w:noProof/>
        </w:rPr>
        <w:fldChar w:fldCharType="separate"/>
      </w:r>
      <w:r w:rsidR="00013820">
        <w:rPr>
          <w:noProof/>
        </w:rPr>
        <w:t>34</w:t>
      </w:r>
      <w:r w:rsidRPr="00D64858">
        <w:rPr>
          <w:noProof/>
        </w:rPr>
        <w:fldChar w:fldCharType="end"/>
      </w:r>
      <w:r w:rsidRPr="00D64858">
        <w:t xml:space="preserve">: Přehled zálohových plateb na neinvestiční dodávky a práce nerealizované </w:t>
      </w:r>
      <w:r w:rsidRPr="00D64858">
        <w:br/>
        <w:t xml:space="preserve">k </w:t>
      </w:r>
      <w:bookmarkEnd w:id="1215"/>
      <w:bookmarkEnd w:id="1216"/>
      <w:r w:rsidRPr="00D64858">
        <w:t xml:space="preserve">31. 12. </w:t>
      </w:r>
      <w:bookmarkEnd w:id="1217"/>
      <w:bookmarkEnd w:id="1218"/>
      <w:r w:rsidR="00D64858" w:rsidRPr="00D64858">
        <w:t>2023</w:t>
      </w:r>
    </w:p>
    <w:p w14:paraId="4FC65FF3" w14:textId="77777777" w:rsidR="00365920" w:rsidRPr="0077128B" w:rsidRDefault="00365920" w:rsidP="00365920">
      <w:pPr>
        <w:pStyle w:val="KOMtext"/>
        <w:ind w:left="993"/>
        <w:rPr>
          <w:color w:val="FF0000"/>
        </w:rPr>
      </w:pPr>
      <w:r w:rsidRPr="002F1BE7">
        <w:rPr>
          <w:noProof/>
          <w:color w:val="FF0000"/>
        </w:rPr>
        <w:drawing>
          <wp:inline distT="0" distB="0" distL="0" distR="0" wp14:anchorId="085BC94B" wp14:editId="486341BC">
            <wp:extent cx="4326780" cy="2016000"/>
            <wp:effectExtent l="0" t="0" r="0" b="3810"/>
            <wp:docPr id="50" name="Graf 5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14:paraId="333E12DB" w14:textId="77777777" w:rsidR="00365920" w:rsidRPr="0033634A" w:rsidRDefault="00365920" w:rsidP="006B6D61">
      <w:pPr>
        <w:pStyle w:val="KOMtext"/>
      </w:pPr>
    </w:p>
    <w:p w14:paraId="5B1C8308" w14:textId="4D79C3FC" w:rsidR="00663216" w:rsidRPr="006B6D61" w:rsidRDefault="00663216" w:rsidP="00FE67C5">
      <w:pPr>
        <w:pStyle w:val="KOMnadp2"/>
      </w:pPr>
      <w:bookmarkStart w:id="1219" w:name="_Toc162269283"/>
      <w:r w:rsidRPr="006B6D61">
        <w:t>Mimořádné příjmy a výdaje</w:t>
      </w:r>
      <w:bookmarkEnd w:id="1214"/>
      <w:bookmarkEnd w:id="1219"/>
    </w:p>
    <w:p w14:paraId="75DA8A01" w14:textId="4E0D6602" w:rsidR="00A83A97" w:rsidRPr="006B6D61" w:rsidRDefault="00A83A97" w:rsidP="00E20BD6">
      <w:pPr>
        <w:pStyle w:val="KOMnadp3"/>
      </w:pPr>
      <w:bookmarkStart w:id="1220" w:name="_Toc162269284"/>
      <w:r w:rsidRPr="006B6D61">
        <w:t>Mimořádné příjmy</w:t>
      </w:r>
      <w:bookmarkEnd w:id="1220"/>
    </w:p>
    <w:p w14:paraId="730F389C" w14:textId="58EA48EE" w:rsidR="00A83A97" w:rsidRPr="006B6D61" w:rsidRDefault="00A83A97" w:rsidP="00D3010F">
      <w:pPr>
        <w:pStyle w:val="KOMtext"/>
      </w:pPr>
      <w:r w:rsidRPr="006B6D61">
        <w:t>V roce 202</w:t>
      </w:r>
      <w:r w:rsidR="00CA33C3" w:rsidRPr="006B6D61">
        <w:t>3</w:t>
      </w:r>
      <w:r w:rsidRPr="006B6D61">
        <w:t xml:space="preserve"> nebyly realizovány žádné mimořádné příjmy.</w:t>
      </w:r>
    </w:p>
    <w:p w14:paraId="00230325" w14:textId="69E6FF37" w:rsidR="00A83A97" w:rsidRPr="006B6D61" w:rsidRDefault="00A83A97" w:rsidP="00E20BD6">
      <w:pPr>
        <w:pStyle w:val="KOMnadp3"/>
      </w:pPr>
      <w:bookmarkStart w:id="1221" w:name="_Toc162269285"/>
      <w:r w:rsidRPr="006B6D61">
        <w:t>Mimořádné výdaje</w:t>
      </w:r>
      <w:bookmarkEnd w:id="1221"/>
    </w:p>
    <w:p w14:paraId="3708FD11" w14:textId="71806A6B" w:rsidR="00D67796" w:rsidRPr="006B6D61" w:rsidRDefault="00D67796" w:rsidP="008A0E44">
      <w:pPr>
        <w:pStyle w:val="KOMnadp4"/>
      </w:pPr>
      <w:r w:rsidRPr="006B6D61">
        <w:t>Výdaje spojené s válečným konfliktem na Ukrajině</w:t>
      </w:r>
    </w:p>
    <w:p w14:paraId="01CAD71E" w14:textId="2B5A5D29" w:rsidR="00FA7519" w:rsidRPr="006B6D61" w:rsidRDefault="00FA7519" w:rsidP="00BA4E5A">
      <w:pPr>
        <w:pStyle w:val="KOMtext"/>
      </w:pPr>
      <w:r w:rsidRPr="006B6D61">
        <w:t>S ohledem na probíhající válečný konflikt na Ukrajině byl</w:t>
      </w:r>
      <w:r w:rsidR="00C8381A" w:rsidRPr="006B6D61">
        <w:t>y vynaloženy finanční prostředky v celkové výši 21 010 tis. Kč</w:t>
      </w:r>
      <w:r w:rsidR="00CF5886" w:rsidRPr="006B6D61">
        <w:t xml:space="preserve">, </w:t>
      </w:r>
      <w:r w:rsidR="00DF61B8" w:rsidRPr="006B6D61">
        <w:t>konkrétně</w:t>
      </w:r>
      <w:r w:rsidR="003F6BFF">
        <w:t xml:space="preserve"> na</w:t>
      </w:r>
      <w:r w:rsidR="00DF61B8" w:rsidRPr="006B6D61">
        <w:t>:</w:t>
      </w:r>
    </w:p>
    <w:p w14:paraId="4E6BFA6B" w14:textId="08E0F64F" w:rsidR="001138B6" w:rsidRPr="006B6D61" w:rsidRDefault="00856DF5" w:rsidP="00D3010F">
      <w:pPr>
        <w:pStyle w:val="KOModrky"/>
      </w:pPr>
      <w:r w:rsidRPr="006B6D61">
        <w:t>k</w:t>
      </w:r>
      <w:r w:rsidR="001138B6" w:rsidRPr="006B6D61">
        <w:t xml:space="preserve">ompenzace slev jízdného – bezplatná přeprava UA </w:t>
      </w:r>
      <w:r w:rsidR="006C6C25" w:rsidRPr="006B6D61">
        <w:t xml:space="preserve">dle cenového výměru MF </w:t>
      </w:r>
      <w:r w:rsidR="006C6C25" w:rsidRPr="006B6D61">
        <w:br/>
      </w:r>
      <w:r w:rsidR="00D87A13" w:rsidRPr="006B6D61">
        <w:t>70</w:t>
      </w:r>
      <w:r w:rsidR="001138B6" w:rsidRPr="006B6D61">
        <w:t xml:space="preserve"> tis. Kč</w:t>
      </w:r>
      <w:r w:rsidRPr="006B6D61">
        <w:t>;</w:t>
      </w:r>
    </w:p>
    <w:p w14:paraId="3B4A3607" w14:textId="4F6665F3" w:rsidR="00856DF5" w:rsidRPr="006B6D61" w:rsidRDefault="00856DF5" w:rsidP="00D3010F">
      <w:pPr>
        <w:pStyle w:val="KOModrky"/>
      </w:pPr>
      <w:r w:rsidRPr="006B6D61">
        <w:t>úhradu nákladů spojených s poskytováním letových provozních služeb ve vzdušném prostoru ČR osvobozených od zpoplatnění 1</w:t>
      </w:r>
      <w:r w:rsidR="00D5286D" w:rsidRPr="006B6D61">
        <w:t>2 943</w:t>
      </w:r>
      <w:r w:rsidRPr="006B6D61">
        <w:t xml:space="preserve"> tis. Kč;</w:t>
      </w:r>
    </w:p>
    <w:p w14:paraId="0887F844" w14:textId="1EE2356D" w:rsidR="00856DF5" w:rsidRPr="006B6D61" w:rsidRDefault="007C17AD" w:rsidP="00D3010F">
      <w:pPr>
        <w:pStyle w:val="KOModrky"/>
      </w:pPr>
      <w:r w:rsidRPr="006B6D61">
        <w:t>p</w:t>
      </w:r>
      <w:r w:rsidR="00CB49A9" w:rsidRPr="006B6D61">
        <w:t xml:space="preserve">řeprava dílců pontonového mostu </w:t>
      </w:r>
      <w:r w:rsidR="004572EC" w:rsidRPr="006B6D61">
        <w:t>907 tis. Kč</w:t>
      </w:r>
      <w:r w:rsidR="00856DF5" w:rsidRPr="006B6D61">
        <w:t>;</w:t>
      </w:r>
    </w:p>
    <w:p w14:paraId="33A028CD" w14:textId="2BC82A74" w:rsidR="004572EC" w:rsidRPr="006B6D61" w:rsidRDefault="007C17AD" w:rsidP="00D3010F">
      <w:pPr>
        <w:pStyle w:val="KOModrky"/>
      </w:pPr>
      <w:r w:rsidRPr="006B6D61">
        <w:t xml:space="preserve">vytvoření a provoz informačního systému pro evidenci provozovatelů vozidel s ukrajinskou registrační značkou </w:t>
      </w:r>
      <w:r w:rsidR="00E638CC" w:rsidRPr="006B6D61">
        <w:t>7 089 tis. Kč.</w:t>
      </w:r>
    </w:p>
    <w:p w14:paraId="6FDBA564" w14:textId="17954465" w:rsidR="00663216" w:rsidRPr="006B6D61" w:rsidRDefault="00663216" w:rsidP="00FE67C5">
      <w:pPr>
        <w:pStyle w:val="KOMnadp2"/>
      </w:pPr>
      <w:bookmarkStart w:id="1222" w:name="_Toc128660591"/>
      <w:bookmarkStart w:id="1223" w:name="_Toc128660889"/>
      <w:bookmarkStart w:id="1224" w:name="_Toc128661106"/>
      <w:bookmarkStart w:id="1225" w:name="_Toc128661321"/>
      <w:bookmarkStart w:id="1226" w:name="_Toc128661536"/>
      <w:bookmarkStart w:id="1227" w:name="_Toc128666994"/>
      <w:bookmarkStart w:id="1228" w:name="_Toc128667226"/>
      <w:bookmarkStart w:id="1229" w:name="_Toc128670496"/>
      <w:bookmarkStart w:id="1230" w:name="_Toc128400098"/>
      <w:bookmarkStart w:id="1231" w:name="_Toc162269286"/>
      <w:bookmarkEnd w:id="1222"/>
      <w:bookmarkEnd w:id="1223"/>
      <w:bookmarkEnd w:id="1224"/>
      <w:bookmarkEnd w:id="1225"/>
      <w:bookmarkEnd w:id="1226"/>
      <w:bookmarkEnd w:id="1227"/>
      <w:bookmarkEnd w:id="1228"/>
      <w:bookmarkEnd w:id="1229"/>
      <w:r w:rsidRPr="006B6D61">
        <w:t>Likvidace státních podniků</w:t>
      </w:r>
      <w:bookmarkEnd w:id="1230"/>
      <w:bookmarkEnd w:id="1231"/>
    </w:p>
    <w:p w14:paraId="546D8825" w14:textId="189028E7" w:rsidR="00B6306E" w:rsidRDefault="00851A58" w:rsidP="00BA4E5A">
      <w:pPr>
        <w:pStyle w:val="KOMtext"/>
      </w:pPr>
      <w:r w:rsidRPr="006B6D61">
        <w:t>V roce 202</w:t>
      </w:r>
      <w:r w:rsidR="004A381A" w:rsidRPr="006B6D61">
        <w:t>3</w:t>
      </w:r>
      <w:r w:rsidRPr="006B6D61">
        <w:t xml:space="preserve"> zlikvidován, resp. vymazán z</w:t>
      </w:r>
      <w:r w:rsidR="00537782" w:rsidRPr="006B6D61">
        <w:t> obchodního rejstříku</w:t>
      </w:r>
      <w:r w:rsidR="003E7B0F" w:rsidRPr="006B6D61">
        <w:t xml:space="preserve"> </w:t>
      </w:r>
      <w:r w:rsidR="00BA4DF4">
        <w:t xml:space="preserve">v rámci gesce Ministerstva dopravy </w:t>
      </w:r>
      <w:r w:rsidR="003E7B0F" w:rsidRPr="006B6D61">
        <w:t>státní podnik AŽD Praha</w:t>
      </w:r>
      <w:r w:rsidR="005B6293" w:rsidRPr="006B6D61">
        <w:t xml:space="preserve"> (IČO 00003026)</w:t>
      </w:r>
      <w:r w:rsidR="005B6293">
        <w:t>.</w:t>
      </w:r>
    </w:p>
    <w:p w14:paraId="6D7DEF45" w14:textId="77777777" w:rsidR="00B6306E" w:rsidRDefault="00B6306E">
      <w:pPr>
        <w:rPr>
          <w:rFonts w:eastAsia="Times New Roman" w:cs="Times New Roman"/>
          <w:sz w:val="24"/>
          <w:szCs w:val="20"/>
          <w:lang w:eastAsia="cs-CZ"/>
        </w:rPr>
      </w:pPr>
      <w:r>
        <w:br w:type="page"/>
      </w:r>
    </w:p>
    <w:p w14:paraId="5864E536" w14:textId="3FB1D1C7" w:rsidR="00663216" w:rsidRPr="006B6D61" w:rsidRDefault="00663216" w:rsidP="00FE67C5">
      <w:pPr>
        <w:pStyle w:val="KOMnadp2"/>
      </w:pPr>
      <w:bookmarkStart w:id="1232" w:name="_Toc128400099"/>
      <w:bookmarkStart w:id="1233" w:name="_Toc162269287"/>
      <w:r w:rsidRPr="006B6D61">
        <w:lastRenderedPageBreak/>
        <w:t>Výdaje vyplývající z veřejných zakázek o předpokládané hodnotě nejméně 300 mil. Kč</w:t>
      </w:r>
      <w:bookmarkEnd w:id="1232"/>
      <w:bookmarkEnd w:id="1233"/>
    </w:p>
    <w:p w14:paraId="4914F1BC" w14:textId="0844C77A" w:rsidR="00E91020" w:rsidRPr="00F23DA6" w:rsidRDefault="00E91020" w:rsidP="00E91020">
      <w:pPr>
        <w:spacing w:before="240"/>
        <w:jc w:val="both"/>
        <w:rPr>
          <w:rFonts w:cstheme="minorHAnsi"/>
          <w:b/>
          <w:sz w:val="24"/>
          <w:szCs w:val="24"/>
        </w:rPr>
      </w:pPr>
      <w:r w:rsidRPr="00F23DA6">
        <w:rPr>
          <w:rFonts w:cstheme="minorHAnsi"/>
          <w:sz w:val="24"/>
          <w:szCs w:val="24"/>
          <w:u w:val="single"/>
        </w:rPr>
        <w:t>Předmět veřejné zakázky</w:t>
      </w:r>
      <w:r w:rsidRPr="00F23DA6">
        <w:rPr>
          <w:rFonts w:cstheme="minorHAnsi"/>
          <w:sz w:val="24"/>
          <w:szCs w:val="24"/>
        </w:rPr>
        <w:t xml:space="preserve">: </w:t>
      </w:r>
      <w:r w:rsidRPr="00F23DA6">
        <w:rPr>
          <w:rFonts w:cstheme="minorHAnsi"/>
          <w:b/>
          <w:sz w:val="24"/>
          <w:szCs w:val="24"/>
        </w:rPr>
        <w:t>Výroba a dodání řidičských průkazů a průkazů profesní způsobilosti řidiče</w:t>
      </w:r>
      <w:r w:rsidRPr="00F23DA6" w:rsidDel="006F0FD3">
        <w:rPr>
          <w:rFonts w:cstheme="minorHAnsi"/>
          <w:b/>
          <w:sz w:val="24"/>
          <w:szCs w:val="24"/>
        </w:rPr>
        <w:t xml:space="preserve"> </w:t>
      </w:r>
      <w:r w:rsidRPr="00F23DA6">
        <w:rPr>
          <w:rFonts w:cstheme="minorHAnsi"/>
          <w:b/>
          <w:sz w:val="24"/>
          <w:szCs w:val="24"/>
        </w:rPr>
        <w:t>(Smlouva č. S-285-160/2018)</w:t>
      </w:r>
    </w:p>
    <w:p w14:paraId="438A82F4" w14:textId="77777777" w:rsidR="00E91020" w:rsidRPr="00F23DA6" w:rsidRDefault="00E91020" w:rsidP="00E91020">
      <w:pPr>
        <w:pStyle w:val="KOMtext"/>
        <w:rPr>
          <w:rFonts w:cstheme="minorHAnsi"/>
          <w:szCs w:val="24"/>
        </w:rPr>
      </w:pPr>
      <w:r w:rsidRPr="00F23DA6">
        <w:rPr>
          <w:rFonts w:cstheme="minorHAnsi"/>
          <w:szCs w:val="24"/>
        </w:rPr>
        <w:t xml:space="preserve">Nová smlouva na výrobu řidičských průkazů vstoupila v platnost dne 1. 1. 2019 a byla uzavřena na 10 let. Předmětem této Smlouvy je dodávka řidičských průkazů (ŘP), řidičských průkazů typu BLESK, průkazů profesní způsobilosti řidiče a dodávání doprovodných tiskopisů žádostí </w:t>
      </w:r>
      <w:r w:rsidRPr="00F23DA6">
        <w:rPr>
          <w:rFonts w:cstheme="minorHAnsi"/>
          <w:szCs w:val="24"/>
        </w:rPr>
        <w:br/>
        <w:t>o vydání řidičského průkazu a žádostí o vydání průkazu profesní způsobilosti řidiče.</w:t>
      </w:r>
    </w:p>
    <w:p w14:paraId="33CE9352" w14:textId="710DB248" w:rsidR="00E91020" w:rsidRPr="006B6D61" w:rsidRDefault="00E91020" w:rsidP="00E91020">
      <w:pPr>
        <w:pStyle w:val="KOMtext"/>
        <w:rPr>
          <w:rFonts w:cstheme="minorHAnsi"/>
          <w:szCs w:val="24"/>
        </w:rPr>
      </w:pPr>
      <w:r w:rsidRPr="006B6D61">
        <w:rPr>
          <w:rFonts w:cstheme="minorHAnsi"/>
          <w:szCs w:val="24"/>
        </w:rPr>
        <w:t>Čerpání za rok 202</w:t>
      </w:r>
      <w:r w:rsidR="002F19E1" w:rsidRPr="006B6D61">
        <w:rPr>
          <w:rFonts w:cstheme="minorHAnsi"/>
          <w:szCs w:val="24"/>
        </w:rPr>
        <w:t>3</w:t>
      </w:r>
      <w:r w:rsidRPr="006B6D61">
        <w:rPr>
          <w:rFonts w:cstheme="minorHAnsi"/>
          <w:szCs w:val="24"/>
        </w:rPr>
        <w:t xml:space="preserve"> dosáhlo částky</w:t>
      </w:r>
      <w:r w:rsidR="002F19E1" w:rsidRPr="006B6D61">
        <w:rPr>
          <w:rFonts w:cstheme="minorHAnsi"/>
          <w:szCs w:val="24"/>
        </w:rPr>
        <w:t xml:space="preserve"> 112 246</w:t>
      </w:r>
      <w:r w:rsidRPr="006B6D61">
        <w:rPr>
          <w:rFonts w:cstheme="minorHAnsi"/>
          <w:szCs w:val="24"/>
        </w:rPr>
        <w:t> tis. Kč.</w:t>
      </w:r>
    </w:p>
    <w:p w14:paraId="16F691F9" w14:textId="77777777" w:rsidR="00E91020" w:rsidRPr="00473066" w:rsidRDefault="00E91020" w:rsidP="00E91020">
      <w:pPr>
        <w:pStyle w:val="KOMtext"/>
        <w:rPr>
          <w:rFonts w:cstheme="minorHAnsi"/>
          <w:color w:val="FF0000"/>
          <w:szCs w:val="24"/>
        </w:rPr>
      </w:pPr>
      <w:r w:rsidRPr="00473066">
        <w:rPr>
          <w:rFonts w:cstheme="minorHAnsi"/>
          <w:noProof/>
          <w:color w:val="FF0000"/>
        </w:rPr>
        <w:drawing>
          <wp:inline distT="0" distB="0" distL="0" distR="0" wp14:anchorId="644B1400" wp14:editId="2CE0544E">
            <wp:extent cx="5709600" cy="1314450"/>
            <wp:effectExtent l="19050" t="0" r="43815" b="0"/>
            <wp:docPr id="1704355598" name="Diagram 170435559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8" r:lo="rId129" r:qs="rId130" r:cs="rId131"/>
              </a:graphicData>
            </a:graphic>
          </wp:inline>
        </w:drawing>
      </w:r>
    </w:p>
    <w:p w14:paraId="0C4AC77D" w14:textId="77777777" w:rsidR="00E91020" w:rsidRPr="00C030DB" w:rsidRDefault="00E91020" w:rsidP="00E91020">
      <w:pPr>
        <w:pStyle w:val="KOMtext"/>
        <w:rPr>
          <w:rFonts w:cstheme="minorHAnsi"/>
          <w:b/>
          <w:szCs w:val="24"/>
        </w:rPr>
      </w:pPr>
      <w:r w:rsidRPr="00C030DB">
        <w:rPr>
          <w:rFonts w:cstheme="minorHAnsi"/>
          <w:szCs w:val="24"/>
          <w:u w:val="single"/>
        </w:rPr>
        <w:t>Předmět veřejné zakázky</w:t>
      </w:r>
      <w:r w:rsidRPr="00C030DB">
        <w:rPr>
          <w:rFonts w:cstheme="minorHAnsi"/>
          <w:szCs w:val="24"/>
        </w:rPr>
        <w:t xml:space="preserve">: </w:t>
      </w:r>
      <w:r w:rsidRPr="00C030DB">
        <w:rPr>
          <w:rFonts w:cstheme="minorHAnsi"/>
          <w:b/>
          <w:szCs w:val="24"/>
        </w:rPr>
        <w:t>Poskytování služeb provozu infrastruktury pro informační systému MD (Smlouva č. S-8-330/2017)</w:t>
      </w:r>
    </w:p>
    <w:p w14:paraId="2BD3CB92" w14:textId="77777777" w:rsidR="00E91020" w:rsidRPr="00C030DB" w:rsidRDefault="00E91020" w:rsidP="00E91020">
      <w:pPr>
        <w:pStyle w:val="KOMtext"/>
        <w:rPr>
          <w:rFonts w:cstheme="minorHAnsi"/>
          <w:szCs w:val="24"/>
        </w:rPr>
      </w:pPr>
      <w:r w:rsidRPr="00C030DB">
        <w:rPr>
          <w:rFonts w:cstheme="minorHAnsi"/>
          <w:szCs w:val="24"/>
        </w:rPr>
        <w:t xml:space="preserve">Společnost O2 ITS zajišťuje, na základě smlouvy provoz infrastruktury pro Dopravně správní agendy a Informační systémy Ministerstva dopravy. </w:t>
      </w:r>
    </w:p>
    <w:p w14:paraId="77356C9D" w14:textId="77777777" w:rsidR="00E91020" w:rsidRPr="00C030DB" w:rsidRDefault="00E91020" w:rsidP="00E91020">
      <w:pPr>
        <w:pStyle w:val="KOMtext"/>
        <w:rPr>
          <w:rFonts w:cstheme="minorHAnsi"/>
          <w:szCs w:val="24"/>
        </w:rPr>
      </w:pPr>
      <w:r w:rsidRPr="00C030DB">
        <w:rPr>
          <w:rFonts w:cstheme="minorHAnsi"/>
          <w:szCs w:val="24"/>
        </w:rPr>
        <w:t xml:space="preserve">Pro potřeby zajištění stabilního provozu těchto Dopravně správních agend ve správě MD </w:t>
      </w:r>
      <w:r w:rsidRPr="00C030DB">
        <w:rPr>
          <w:rFonts w:cstheme="minorHAnsi"/>
          <w:szCs w:val="24"/>
        </w:rPr>
        <w:br/>
        <w:t xml:space="preserve">a aplikací vlastního informačního systému má MD k dispozici dedikované virtuální prostředí </w:t>
      </w:r>
      <w:r w:rsidRPr="00C030DB">
        <w:rPr>
          <w:rFonts w:cstheme="minorHAnsi"/>
          <w:szCs w:val="24"/>
        </w:rPr>
        <w:br/>
        <w:t xml:space="preserve">a další související služby provozu infrastruktury od poskytovatele O2 ITS. Službami infrastruktury se kromě vlastního poskytnutí virtuální infrastruktury rozumí zejména řízení jejího provozu, zajišťování její dostupnosti, kybernetické bezpečnosti, zálohování, správa hardwaru a základního softwaru, poskytování služby jednotného kontaktního místa a další služby související s provozem infrastruktury, aby bylo dosaženo bezproblémového provozu infrastruktury Dopravně správních agend a IS MD. </w:t>
      </w:r>
    </w:p>
    <w:p w14:paraId="5794B54D" w14:textId="491C7006" w:rsidR="00E91020" w:rsidRPr="006B6D61" w:rsidRDefault="00E91020" w:rsidP="00E91020">
      <w:pPr>
        <w:pStyle w:val="KOMtext"/>
        <w:rPr>
          <w:rFonts w:cstheme="minorHAnsi"/>
          <w:szCs w:val="24"/>
        </w:rPr>
      </w:pPr>
      <w:r w:rsidRPr="006B6D61">
        <w:rPr>
          <w:rFonts w:cstheme="minorHAnsi"/>
          <w:szCs w:val="24"/>
        </w:rPr>
        <w:t xml:space="preserve">Čerpání za rok 2023 dosáhlo částky </w:t>
      </w:r>
      <w:r w:rsidR="00BC0C8A" w:rsidRPr="006B6D61">
        <w:rPr>
          <w:rFonts w:cstheme="minorHAnsi"/>
          <w:szCs w:val="24"/>
        </w:rPr>
        <w:t>59 077</w:t>
      </w:r>
      <w:r w:rsidRPr="006B6D61">
        <w:rPr>
          <w:rFonts w:cstheme="minorHAnsi"/>
          <w:szCs w:val="24"/>
        </w:rPr>
        <w:t xml:space="preserve"> tis. Kč. </w:t>
      </w:r>
    </w:p>
    <w:p w14:paraId="7EFC24F5" w14:textId="77777777" w:rsidR="00E91020" w:rsidRPr="00473066" w:rsidRDefault="00E91020" w:rsidP="00E91020">
      <w:pPr>
        <w:pStyle w:val="KOMtext"/>
        <w:rPr>
          <w:rFonts w:cstheme="minorHAnsi"/>
          <w:color w:val="FF0000"/>
          <w:szCs w:val="24"/>
        </w:rPr>
      </w:pPr>
      <w:r w:rsidRPr="00473066">
        <w:rPr>
          <w:rFonts w:cstheme="minorHAnsi"/>
          <w:noProof/>
          <w:color w:val="FF0000"/>
        </w:rPr>
        <w:drawing>
          <wp:inline distT="0" distB="0" distL="0" distR="0" wp14:anchorId="6FECD0F7" wp14:editId="5A2211E4">
            <wp:extent cx="5709600" cy="1314450"/>
            <wp:effectExtent l="19050" t="0" r="43815" b="0"/>
            <wp:docPr id="1704355599" name="Diagram 170435559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3" r:lo="rId134" r:qs="rId135" r:cs="rId136"/>
              </a:graphicData>
            </a:graphic>
          </wp:inline>
        </w:drawing>
      </w:r>
    </w:p>
    <w:p w14:paraId="2A22D0FA" w14:textId="77777777" w:rsidR="00E91020" w:rsidRPr="00BC0378" w:rsidRDefault="00E91020" w:rsidP="008E35E7">
      <w:pPr>
        <w:keepNext/>
        <w:spacing w:before="240"/>
        <w:jc w:val="both"/>
        <w:rPr>
          <w:rFonts w:cstheme="minorHAnsi"/>
          <w:sz w:val="24"/>
          <w:szCs w:val="24"/>
        </w:rPr>
      </w:pPr>
      <w:r w:rsidRPr="00BC0378">
        <w:rPr>
          <w:rFonts w:cstheme="minorHAnsi"/>
          <w:sz w:val="24"/>
          <w:szCs w:val="24"/>
          <w:u w:val="single"/>
        </w:rPr>
        <w:lastRenderedPageBreak/>
        <w:t>Předmět veřejné zakázky</w:t>
      </w:r>
      <w:r w:rsidRPr="00BC0378">
        <w:rPr>
          <w:rFonts w:cstheme="minorHAnsi"/>
          <w:sz w:val="24"/>
          <w:szCs w:val="24"/>
        </w:rPr>
        <w:t>: „</w:t>
      </w:r>
      <w:r w:rsidRPr="00BC0378">
        <w:rPr>
          <w:rFonts w:cstheme="minorHAnsi"/>
          <w:b/>
          <w:sz w:val="24"/>
          <w:szCs w:val="24"/>
        </w:rPr>
        <w:t xml:space="preserve">Dodávky tabulek registračních značek“ (Smlouva </w:t>
      </w:r>
      <w:r w:rsidRPr="00BC0378">
        <w:rPr>
          <w:rFonts w:cstheme="minorHAnsi"/>
          <w:b/>
          <w:sz w:val="24"/>
          <w:szCs w:val="24"/>
        </w:rPr>
        <w:br/>
        <w:t>č. S-303-150/2019)</w:t>
      </w:r>
    </w:p>
    <w:p w14:paraId="14B7D7F8" w14:textId="77777777" w:rsidR="00E91020" w:rsidRPr="00E41B71" w:rsidRDefault="00E91020" w:rsidP="00E91020">
      <w:pPr>
        <w:pStyle w:val="KOMtext"/>
        <w:rPr>
          <w:rFonts w:cstheme="minorHAnsi"/>
          <w:szCs w:val="24"/>
        </w:rPr>
      </w:pPr>
      <w:r w:rsidRPr="00E41B71">
        <w:rPr>
          <w:rFonts w:cstheme="minorHAnsi"/>
          <w:szCs w:val="24"/>
        </w:rPr>
        <w:t xml:space="preserve">Dne 28. července 2020 byla uzavřena Rámcová smlouva o dílo „Dodávky tabulek registračních značek“ s účinností od 29. července se sdružením „SPM – UTAL, kdy vedoucím účastníkem, - správcem sdružení je SPM – </w:t>
      </w:r>
      <w:proofErr w:type="spellStart"/>
      <w:r w:rsidRPr="00E41B71">
        <w:rPr>
          <w:rFonts w:cstheme="minorHAnsi"/>
          <w:szCs w:val="24"/>
        </w:rPr>
        <w:t>Security</w:t>
      </w:r>
      <w:proofErr w:type="spellEnd"/>
      <w:r w:rsidRPr="00E41B71">
        <w:rPr>
          <w:rFonts w:cstheme="minorHAnsi"/>
          <w:szCs w:val="24"/>
        </w:rPr>
        <w:t xml:space="preserve"> </w:t>
      </w:r>
      <w:proofErr w:type="spellStart"/>
      <w:r w:rsidRPr="00E41B71">
        <w:rPr>
          <w:rFonts w:cstheme="minorHAnsi"/>
          <w:szCs w:val="24"/>
        </w:rPr>
        <w:t>Paper</w:t>
      </w:r>
      <w:proofErr w:type="spellEnd"/>
      <w:r w:rsidRPr="00E41B71">
        <w:rPr>
          <w:rFonts w:cstheme="minorHAnsi"/>
          <w:szCs w:val="24"/>
        </w:rPr>
        <w:t xml:space="preserve"> </w:t>
      </w:r>
      <w:proofErr w:type="spellStart"/>
      <w:r w:rsidRPr="00E41B71">
        <w:rPr>
          <w:rFonts w:cstheme="minorHAnsi"/>
          <w:szCs w:val="24"/>
        </w:rPr>
        <w:t>Mill</w:t>
      </w:r>
      <w:proofErr w:type="spellEnd"/>
      <w:r w:rsidRPr="00E41B71">
        <w:rPr>
          <w:rFonts w:cstheme="minorHAnsi"/>
          <w:szCs w:val="24"/>
        </w:rPr>
        <w:t>, a.s. na dobu trvání 6 let.</w:t>
      </w:r>
    </w:p>
    <w:p w14:paraId="6BE51411" w14:textId="77777777" w:rsidR="00E91020" w:rsidRPr="00E41B71" w:rsidRDefault="00E91020" w:rsidP="00E91020">
      <w:pPr>
        <w:pStyle w:val="KOMtext"/>
        <w:spacing w:after="60"/>
        <w:rPr>
          <w:rFonts w:cstheme="minorHAnsi"/>
          <w:szCs w:val="24"/>
        </w:rPr>
      </w:pPr>
      <w:r w:rsidRPr="00E41B71">
        <w:rPr>
          <w:rFonts w:cstheme="minorHAnsi"/>
          <w:szCs w:val="24"/>
        </w:rPr>
        <w:t xml:space="preserve">Předmětem této Smlouvy je výroba a dodání tabulek registračních značek na silniční motorová vozidla, zvláštní vozidla a přípojná vozidla dle vyhlášky č. 343/2014 Sb., o registraci vozidel, </w:t>
      </w:r>
      <w:r w:rsidRPr="00E41B71">
        <w:rPr>
          <w:rFonts w:cstheme="minorHAnsi"/>
          <w:szCs w:val="24"/>
        </w:rPr>
        <w:br/>
        <w:t xml:space="preserve">ve znění pozdějších předpisů (dále jen „vyhláška“) v režimech: </w:t>
      </w:r>
    </w:p>
    <w:p w14:paraId="4E3FBB3F" w14:textId="77777777" w:rsidR="00E91020" w:rsidRPr="00E41B71" w:rsidRDefault="00E91020" w:rsidP="00E91020">
      <w:pPr>
        <w:pStyle w:val="KOModrky"/>
        <w:spacing w:line="276" w:lineRule="auto"/>
      </w:pPr>
      <w:r w:rsidRPr="00E41B71">
        <w:t>ve standardním režimu, zahrnujícím standardní a zvláštní registrační značky ve smyslu ustanovení § 23 písm. a) a d) vyhlášky;</w:t>
      </w:r>
    </w:p>
    <w:p w14:paraId="7DFF4F74" w14:textId="77777777" w:rsidR="00E91020" w:rsidRPr="00E41B71" w:rsidRDefault="00E91020" w:rsidP="00E91020">
      <w:pPr>
        <w:pStyle w:val="KOModrky"/>
        <w:spacing w:line="276" w:lineRule="auto"/>
      </w:pPr>
      <w:r w:rsidRPr="00E41B71">
        <w:t xml:space="preserve"> v expresním režimu, zahrnujícím standardní a zvláštní registrační značky ve smyslu ustanovení § 23 písm. a) a d) vyhlášky;</w:t>
      </w:r>
    </w:p>
    <w:p w14:paraId="469800BD" w14:textId="77777777" w:rsidR="00E91020" w:rsidRPr="00E41B71" w:rsidRDefault="00E91020" w:rsidP="00E91020">
      <w:pPr>
        <w:pStyle w:val="KOModrky"/>
        <w:spacing w:line="276" w:lineRule="auto"/>
      </w:pPr>
      <w:r w:rsidRPr="00E41B71">
        <w:t xml:space="preserve"> v individuálním režimu, zahrnujícím registrační značky dle ustanovení § 23 písm. b), c), e) vyhlášky. </w:t>
      </w:r>
    </w:p>
    <w:p w14:paraId="50612634" w14:textId="77777777" w:rsidR="00E91020" w:rsidRPr="00E41B71" w:rsidRDefault="00E91020" w:rsidP="00E91020">
      <w:pPr>
        <w:pStyle w:val="KOMtext"/>
        <w:rPr>
          <w:rFonts w:cstheme="minorHAnsi"/>
          <w:szCs w:val="24"/>
        </w:rPr>
      </w:pPr>
      <w:r w:rsidRPr="00E41B71">
        <w:rPr>
          <w:rFonts w:cstheme="minorHAnsi"/>
          <w:szCs w:val="24"/>
        </w:rPr>
        <w:t xml:space="preserve">Cena je sjednána podle typu a rozměru tabulky registrační značky. </w:t>
      </w:r>
    </w:p>
    <w:p w14:paraId="3A038709" w14:textId="66518830" w:rsidR="00E91020" w:rsidRPr="006B6D61" w:rsidRDefault="00E91020" w:rsidP="00E91020">
      <w:pPr>
        <w:pStyle w:val="KOMtext"/>
        <w:rPr>
          <w:rFonts w:cstheme="minorHAnsi"/>
          <w:szCs w:val="24"/>
        </w:rPr>
      </w:pPr>
      <w:r w:rsidRPr="006B6D61">
        <w:rPr>
          <w:rFonts w:cstheme="minorHAnsi"/>
          <w:szCs w:val="24"/>
        </w:rPr>
        <w:t xml:space="preserve">Čerpání za rok 2023 dosáhlo částky </w:t>
      </w:r>
      <w:r w:rsidR="00136A61" w:rsidRPr="006B6D61">
        <w:rPr>
          <w:rFonts w:cstheme="minorHAnsi"/>
          <w:szCs w:val="24"/>
        </w:rPr>
        <w:t>60 131</w:t>
      </w:r>
      <w:r w:rsidRPr="006B6D61">
        <w:rPr>
          <w:rFonts w:cstheme="minorHAnsi"/>
          <w:szCs w:val="24"/>
        </w:rPr>
        <w:t> tis. Kč.</w:t>
      </w:r>
    </w:p>
    <w:p w14:paraId="34603E8F" w14:textId="77777777" w:rsidR="00E91020" w:rsidRPr="00473066" w:rsidRDefault="00E91020" w:rsidP="00E91020">
      <w:pPr>
        <w:pStyle w:val="KOMtext"/>
        <w:rPr>
          <w:rFonts w:cstheme="minorHAnsi"/>
          <w:color w:val="FF0000"/>
          <w:szCs w:val="24"/>
        </w:rPr>
      </w:pPr>
      <w:r w:rsidRPr="00473066">
        <w:rPr>
          <w:rFonts w:cstheme="minorHAnsi"/>
          <w:noProof/>
          <w:color w:val="FF0000"/>
        </w:rPr>
        <w:drawing>
          <wp:inline distT="0" distB="0" distL="0" distR="0" wp14:anchorId="4C562BB6" wp14:editId="25B16A7F">
            <wp:extent cx="5709600" cy="1314450"/>
            <wp:effectExtent l="19050" t="0" r="43815" b="0"/>
            <wp:docPr id="1704355600" name="Diagram 170435560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8" r:lo="rId139" r:qs="rId140" r:cs="rId141"/>
              </a:graphicData>
            </a:graphic>
          </wp:inline>
        </w:drawing>
      </w:r>
    </w:p>
    <w:p w14:paraId="6B4CC911" w14:textId="77777777" w:rsidR="00E91020" w:rsidRPr="00F35DA2" w:rsidRDefault="00E91020" w:rsidP="00E91020">
      <w:pPr>
        <w:keepNext/>
        <w:spacing w:before="240"/>
        <w:jc w:val="both"/>
        <w:rPr>
          <w:rFonts w:cstheme="minorHAnsi"/>
          <w:b/>
          <w:sz w:val="24"/>
          <w:szCs w:val="24"/>
        </w:rPr>
      </w:pPr>
      <w:r w:rsidRPr="00F35DA2">
        <w:rPr>
          <w:rFonts w:cstheme="minorHAnsi"/>
          <w:sz w:val="24"/>
          <w:szCs w:val="24"/>
          <w:u w:val="single"/>
        </w:rPr>
        <w:t>Předmět veřejné zakázky</w:t>
      </w:r>
      <w:r w:rsidRPr="00F35DA2">
        <w:rPr>
          <w:rFonts w:cstheme="minorHAnsi"/>
          <w:sz w:val="24"/>
          <w:szCs w:val="24"/>
        </w:rPr>
        <w:t xml:space="preserve">: </w:t>
      </w:r>
      <w:r w:rsidRPr="00F35DA2">
        <w:rPr>
          <w:rFonts w:cstheme="minorHAnsi"/>
          <w:b/>
          <w:sz w:val="24"/>
          <w:szCs w:val="24"/>
        </w:rPr>
        <w:t>Poskytování odborných, poradenských a dalších služeb v resortu Ministerstva dopravy (Smlouva č. S-288-330/2019)</w:t>
      </w:r>
    </w:p>
    <w:p w14:paraId="7BCA7833" w14:textId="77777777" w:rsidR="00E91020" w:rsidRPr="00000C4F" w:rsidRDefault="00E91020" w:rsidP="00E91020">
      <w:pPr>
        <w:pStyle w:val="KOMtext"/>
        <w:rPr>
          <w:rFonts w:cstheme="minorHAnsi"/>
          <w:szCs w:val="24"/>
        </w:rPr>
      </w:pPr>
      <w:r w:rsidRPr="00000C4F">
        <w:rPr>
          <w:rFonts w:cstheme="minorHAnsi"/>
          <w:szCs w:val="24"/>
        </w:rPr>
        <w:t xml:space="preserve">Důvodem k uzavření rámcové smlouvy je formou externích dodávek a poskytováním odborných služeb účinně přispět k posílení kapacit i odbornému zajištění řešení komplexu všech současných i připravovaných projektů MD (zejména v oblasti ICT) a také potřeba dalších služeb, s přípravou a realizací projektů spojených, např. projektové řízení, zajišťování kybernetické bezpečnosti, provoz aplikace IFS, podpora Národního kontaktního místa atp., </w:t>
      </w:r>
      <w:r w:rsidRPr="00000C4F">
        <w:rPr>
          <w:rFonts w:cstheme="minorHAnsi"/>
          <w:szCs w:val="24"/>
        </w:rPr>
        <w:br/>
        <w:t xml:space="preserve">a to především v návaznosti na záměry vyplývající z programu „Digitální Česko“, změn v legislativě, požadavků Národního úřadu pro kybernetickou bezpečnost atp. </w:t>
      </w:r>
    </w:p>
    <w:p w14:paraId="21723371" w14:textId="0A185A1B" w:rsidR="00E91020" w:rsidRPr="006B6D61" w:rsidRDefault="00E91020" w:rsidP="00E91020">
      <w:pPr>
        <w:pStyle w:val="KOMtext"/>
        <w:rPr>
          <w:rFonts w:cstheme="minorHAnsi"/>
          <w:szCs w:val="24"/>
        </w:rPr>
      </w:pPr>
      <w:r w:rsidRPr="006B6D61">
        <w:rPr>
          <w:rFonts w:cstheme="minorHAnsi"/>
          <w:szCs w:val="24"/>
        </w:rPr>
        <w:t>Čerpání za rok 2023 dosáhlo částky</w:t>
      </w:r>
      <w:r w:rsidR="00136A61" w:rsidRPr="006B6D61">
        <w:rPr>
          <w:rFonts w:cstheme="minorHAnsi"/>
          <w:szCs w:val="24"/>
        </w:rPr>
        <w:t xml:space="preserve"> 78 016</w:t>
      </w:r>
      <w:r w:rsidRPr="006B6D61">
        <w:rPr>
          <w:rFonts w:cstheme="minorHAnsi"/>
          <w:szCs w:val="24"/>
        </w:rPr>
        <w:t xml:space="preserve"> tis. Kč.</w:t>
      </w:r>
    </w:p>
    <w:p w14:paraId="15C6DD5F" w14:textId="10E8589E" w:rsidR="00A20019" w:rsidRPr="0077128B" w:rsidRDefault="00E91020" w:rsidP="00A20019">
      <w:pPr>
        <w:pStyle w:val="KOMtext"/>
        <w:rPr>
          <w:rFonts w:cstheme="minorHAnsi"/>
          <w:color w:val="FF0000"/>
          <w:szCs w:val="24"/>
        </w:rPr>
      </w:pPr>
      <w:r w:rsidRPr="00473066">
        <w:rPr>
          <w:rFonts w:cstheme="minorHAnsi"/>
          <w:noProof/>
          <w:color w:val="FF0000"/>
        </w:rPr>
        <w:lastRenderedPageBreak/>
        <w:drawing>
          <wp:inline distT="0" distB="0" distL="0" distR="0" wp14:anchorId="12D36B81" wp14:editId="31D84271">
            <wp:extent cx="5709600" cy="1314450"/>
            <wp:effectExtent l="19050" t="0" r="43815" b="0"/>
            <wp:docPr id="1704355601" name="Diagram 170435560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3" r:lo="rId144" r:qs="rId145" r:cs="rId146"/>
              </a:graphicData>
            </a:graphic>
          </wp:inline>
        </w:drawing>
      </w:r>
    </w:p>
    <w:p w14:paraId="31BA3A6F" w14:textId="5182AFC2" w:rsidR="00663216" w:rsidRPr="006B6D61" w:rsidRDefault="00663216" w:rsidP="00FE67C5">
      <w:pPr>
        <w:pStyle w:val="KOMnadp2"/>
      </w:pPr>
      <w:bookmarkStart w:id="1234" w:name="_Toc128397748"/>
      <w:bookmarkStart w:id="1235" w:name="_Toc128397881"/>
      <w:bookmarkStart w:id="1236" w:name="_Toc128398102"/>
      <w:bookmarkStart w:id="1237" w:name="_Toc128398445"/>
      <w:bookmarkStart w:id="1238" w:name="_Toc128398571"/>
      <w:bookmarkStart w:id="1239" w:name="_Toc128398784"/>
      <w:bookmarkStart w:id="1240" w:name="_Toc128400100"/>
      <w:bookmarkStart w:id="1241" w:name="_Toc128401340"/>
      <w:bookmarkStart w:id="1242" w:name="_Toc128401468"/>
      <w:bookmarkStart w:id="1243" w:name="_Toc128401955"/>
      <w:bookmarkStart w:id="1244" w:name="_Toc128397749"/>
      <w:bookmarkStart w:id="1245" w:name="_Toc128397882"/>
      <w:bookmarkStart w:id="1246" w:name="_Toc128398103"/>
      <w:bookmarkStart w:id="1247" w:name="_Toc128398446"/>
      <w:bookmarkStart w:id="1248" w:name="_Toc128398572"/>
      <w:bookmarkStart w:id="1249" w:name="_Toc128398785"/>
      <w:bookmarkStart w:id="1250" w:name="_Toc128400101"/>
      <w:bookmarkStart w:id="1251" w:name="_Toc128401341"/>
      <w:bookmarkStart w:id="1252" w:name="_Toc128401469"/>
      <w:bookmarkStart w:id="1253" w:name="_Toc128401956"/>
      <w:bookmarkStart w:id="1254" w:name="_Toc128400102"/>
      <w:bookmarkStart w:id="1255" w:name="_Toc162269288"/>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r w:rsidRPr="006B6D61">
        <w:t>Bezúplatné převody majetku</w:t>
      </w:r>
      <w:bookmarkEnd w:id="1254"/>
      <w:bookmarkEnd w:id="1255"/>
    </w:p>
    <w:p w14:paraId="154E71D7" w14:textId="28207473" w:rsidR="00E55F1D" w:rsidRPr="006B6D61" w:rsidRDefault="00626163" w:rsidP="00E55F1D">
      <w:pPr>
        <w:pStyle w:val="KOMtext"/>
      </w:pPr>
      <w:bookmarkStart w:id="1256" w:name="_Toc380593810"/>
      <w:bookmarkStart w:id="1257" w:name="_Toc413413675"/>
      <w:r w:rsidRPr="006B6D61">
        <w:t>V roce 202</w:t>
      </w:r>
      <w:r w:rsidR="00A90C51" w:rsidRPr="006B6D61">
        <w:t>3</w:t>
      </w:r>
      <w:r w:rsidR="00E55F1D" w:rsidRPr="006B6D61">
        <w:t xml:space="preserve"> byly v kapitole Ministerstva dopravy prováděny bezúplatné převody majetku, </w:t>
      </w:r>
      <w:r w:rsidR="00E55F1D" w:rsidRPr="006B6D61">
        <w:br/>
        <w:t xml:space="preserve">a to obě jeho formy, tj. bezúplatné nabytí do majetku státu i jeho bezúplatné pozbytí </w:t>
      </w:r>
      <w:r w:rsidR="008E35E7">
        <w:br/>
      </w:r>
      <w:r w:rsidR="00E55F1D" w:rsidRPr="006B6D61">
        <w:t>ve prospěch jiných subjektů. Bezúplatné převody majetku jsou prováděny v souladu se zákonem č. 219/2000 Sb., o majetku České republiky a jejím vystupování v právních vztazích, ve znění pozdějších předpisů.</w:t>
      </w:r>
      <w:bookmarkEnd w:id="1256"/>
      <w:bookmarkEnd w:id="1257"/>
    </w:p>
    <w:p w14:paraId="7D720E02" w14:textId="529C3464" w:rsidR="00E55F1D" w:rsidRPr="006B6D61" w:rsidRDefault="00E55F1D" w:rsidP="00E55F1D">
      <w:pPr>
        <w:pStyle w:val="KOMtext"/>
      </w:pPr>
      <w:bookmarkStart w:id="1258" w:name="_Toc380593811"/>
      <w:bookmarkStart w:id="1259" w:name="_Toc413413676"/>
      <w:bookmarkStart w:id="1260" w:name="_Toc508879926"/>
      <w:bookmarkStart w:id="1261" w:name="_Toc508880202"/>
      <w:r w:rsidRPr="006B6D61">
        <w:t xml:space="preserve">Přehled bezúplatných převodů majetku je uveden v Příloze </w:t>
      </w:r>
      <w:r w:rsidR="00626163" w:rsidRPr="006B6D61">
        <w:t xml:space="preserve">č. </w:t>
      </w:r>
      <w:r w:rsidR="00232D2D" w:rsidRPr="006B6D61">
        <w:t>2</w:t>
      </w:r>
      <w:r w:rsidRPr="006B6D61">
        <w:t xml:space="preserve"> vč. komentáře.</w:t>
      </w:r>
      <w:bookmarkEnd w:id="1258"/>
      <w:bookmarkEnd w:id="1259"/>
      <w:bookmarkEnd w:id="1260"/>
      <w:bookmarkEnd w:id="1261"/>
    </w:p>
    <w:p w14:paraId="50608ACA" w14:textId="797A1798" w:rsidR="0049275E" w:rsidRPr="006B6D61" w:rsidRDefault="00663216" w:rsidP="00FE67C5">
      <w:pPr>
        <w:pStyle w:val="KOMnadp2"/>
      </w:pPr>
      <w:bookmarkStart w:id="1262" w:name="_Toc128660595"/>
      <w:bookmarkStart w:id="1263" w:name="_Toc128660893"/>
      <w:bookmarkStart w:id="1264" w:name="_Toc128661110"/>
      <w:bookmarkStart w:id="1265" w:name="_Toc128661325"/>
      <w:bookmarkStart w:id="1266" w:name="_Toc128661540"/>
      <w:bookmarkStart w:id="1267" w:name="_Toc128666998"/>
      <w:bookmarkStart w:id="1268" w:name="_Toc128667230"/>
      <w:bookmarkStart w:id="1269" w:name="_Toc128670500"/>
      <w:bookmarkStart w:id="1270" w:name="_Toc128400103"/>
      <w:bookmarkStart w:id="1271" w:name="_Toc162269289"/>
      <w:bookmarkEnd w:id="1262"/>
      <w:bookmarkEnd w:id="1263"/>
      <w:bookmarkEnd w:id="1264"/>
      <w:bookmarkEnd w:id="1265"/>
      <w:bookmarkEnd w:id="1266"/>
      <w:bookmarkEnd w:id="1267"/>
      <w:bookmarkEnd w:id="1268"/>
      <w:bookmarkEnd w:id="1269"/>
      <w:r w:rsidRPr="006B6D61">
        <w:t>Majetkové účasti státu v tuzemských společnostech</w:t>
      </w:r>
      <w:bookmarkEnd w:id="1270"/>
      <w:bookmarkEnd w:id="1271"/>
    </w:p>
    <w:p w14:paraId="373BEFAC" w14:textId="7BC64151" w:rsidR="00E55F1D" w:rsidRPr="006B6D61" w:rsidRDefault="00E55F1D" w:rsidP="00BA4E5A">
      <w:pPr>
        <w:pStyle w:val="KOMtext"/>
      </w:pPr>
      <w:r w:rsidRPr="006B6D61">
        <w:t xml:space="preserve">Ministerstvo dopravy je držitelem 100 % akcií společnosti České dráhy, a.s. v nominální hodnotě 20 mld. Kč. Jde o 20 ks kmenových akcií na jméno „Česká republika“, vydaných </w:t>
      </w:r>
      <w:r w:rsidRPr="006B6D61">
        <w:rPr>
          <w:b/>
        </w:rPr>
        <w:br/>
      </w:r>
      <w:r w:rsidRPr="006B6D61">
        <w:t xml:space="preserve">v listinné podobě, ve jmenovité hodnotě 1 000 000 tis. Kč za jednu akcii. Akcie jsou omezeně převoditelné. K převodu akcií se vyžaduje předchozí souhlas vlády. </w:t>
      </w:r>
    </w:p>
    <w:p w14:paraId="5BE82E2F" w14:textId="40F494F3" w:rsidR="00E55F1D" w:rsidRPr="006B6D61" w:rsidRDefault="00E55F1D" w:rsidP="00BA4E5A">
      <w:pPr>
        <w:pStyle w:val="KOMtext"/>
      </w:pPr>
      <w:r w:rsidRPr="006B6D61">
        <w:t xml:space="preserve">Účetní hodnota nepeněžitého vkladu činí 39 453 879 tis. Kč. Hodnota nepeněžitého vkladu byla ve vlastním kapitálu společnosti členěna na základní kapitál ve výši 20 000 000 tis. Kč </w:t>
      </w:r>
      <w:r w:rsidRPr="006B6D61">
        <w:br/>
        <w:t>a emisní ážio ve výši 19 453 879 tis. Kč.</w:t>
      </w:r>
    </w:p>
    <w:p w14:paraId="22B958C0" w14:textId="4FED0B30" w:rsidR="00663216" w:rsidRPr="006B6D61" w:rsidRDefault="00663216" w:rsidP="00FE67C5">
      <w:pPr>
        <w:pStyle w:val="KOMnadp2"/>
      </w:pPr>
      <w:bookmarkStart w:id="1272" w:name="_Toc128400104"/>
      <w:bookmarkStart w:id="1273" w:name="_Toc162269290"/>
      <w:r w:rsidRPr="006B6D61">
        <w:t>Půjčené peněžní prostředky</w:t>
      </w:r>
      <w:bookmarkEnd w:id="1272"/>
      <w:bookmarkEnd w:id="1273"/>
    </w:p>
    <w:p w14:paraId="62024006" w14:textId="676D6FB7" w:rsidR="00140100" w:rsidRPr="006B6D61" w:rsidRDefault="00140100" w:rsidP="00140100">
      <w:pPr>
        <w:pStyle w:val="KOMtext"/>
      </w:pPr>
      <w:r w:rsidRPr="006B6D61">
        <w:t>Ministerstvo dopravy v roce 202</w:t>
      </w:r>
      <w:r w:rsidR="002154C2" w:rsidRPr="006B6D61">
        <w:t>3</w:t>
      </w:r>
      <w:r w:rsidRPr="006B6D61">
        <w:t xml:space="preserve"> neposkytlo žádnou návratnou finanční výpomoc. </w:t>
      </w:r>
    </w:p>
    <w:p w14:paraId="0B5F1EF8" w14:textId="0A07F282" w:rsidR="00140100" w:rsidRPr="006B6D61" w:rsidRDefault="00140100" w:rsidP="00140100">
      <w:pPr>
        <w:pStyle w:val="KOMtext"/>
      </w:pPr>
      <w:r w:rsidRPr="006B6D61">
        <w:t xml:space="preserve">K 1. lednu </w:t>
      </w:r>
      <w:r w:rsidR="002154C2" w:rsidRPr="006B6D61">
        <w:t xml:space="preserve">2023 </w:t>
      </w:r>
      <w:r w:rsidRPr="006B6D61">
        <w:t xml:space="preserve">jsme evidovali částku nesplacených prostředků ve výši 540 000 tis. Kč. Během roku </w:t>
      </w:r>
      <w:r w:rsidR="002154C2" w:rsidRPr="006B6D61">
        <w:t xml:space="preserve">2023 </w:t>
      </w:r>
      <w:r w:rsidRPr="006B6D61">
        <w:t xml:space="preserve">neproběhla žádná splátka, tudíž k 31. prosinci </w:t>
      </w:r>
      <w:r w:rsidR="002154C2" w:rsidRPr="006B6D61">
        <w:t xml:space="preserve">2023 </w:t>
      </w:r>
      <w:r w:rsidRPr="006B6D61">
        <w:t xml:space="preserve">evidujeme zůstatek nesplacených prostředků v totožné výši 540 000 tis. Kč. </w:t>
      </w:r>
    </w:p>
    <w:p w14:paraId="5B33D314" w14:textId="6DEF212B" w:rsidR="00140100" w:rsidRPr="006B6D61" w:rsidRDefault="00140100" w:rsidP="00140100">
      <w:pPr>
        <w:pStyle w:val="KOMtext"/>
      </w:pPr>
      <w:r w:rsidRPr="006B6D61">
        <w:t xml:space="preserve">Platební kalendář pro půjčku s. p. ŘLP ČR ve výši 500 000 tis. Kč je od roku 2027 </w:t>
      </w:r>
      <w:r w:rsidRPr="006B6D61">
        <w:br/>
        <w:t xml:space="preserve">do 2031 v roční splátce ve výši 100 000 tis. Kč. Jednorázová splátka půjčených prostředků s. p. </w:t>
      </w:r>
      <w:proofErr w:type="spellStart"/>
      <w:r w:rsidRPr="006B6D61">
        <w:t>Cendis</w:t>
      </w:r>
      <w:proofErr w:type="spellEnd"/>
      <w:r w:rsidRPr="006B6D61">
        <w:t xml:space="preserve"> ve výši 40 000 tis. Kč </w:t>
      </w:r>
      <w:r w:rsidR="00DF5163" w:rsidRPr="006B6D61">
        <w:t>se přepokládá</w:t>
      </w:r>
      <w:r w:rsidRPr="006B6D61">
        <w:t xml:space="preserve"> v roce </w:t>
      </w:r>
      <w:r w:rsidR="003263ED" w:rsidRPr="006B6D61">
        <w:t>2024</w:t>
      </w:r>
      <w:r w:rsidRPr="006B6D61">
        <w:t xml:space="preserve">. </w:t>
      </w:r>
    </w:p>
    <w:p w14:paraId="53D30DA6" w14:textId="6E358EF0" w:rsidR="00140100" w:rsidRPr="006B6D61" w:rsidRDefault="00140100" w:rsidP="003F0A7C">
      <w:pPr>
        <w:pStyle w:val="KOMtext"/>
      </w:pPr>
      <w:r w:rsidRPr="006B6D61">
        <w:t>Ministerstvo dopravy neeviduje žádné nedobytné pohledávky, které se týkají půjčených peněžních prostředků.</w:t>
      </w:r>
    </w:p>
    <w:p w14:paraId="0ADFE8FF" w14:textId="77777777" w:rsidR="00AD27AA" w:rsidRPr="006B6D61" w:rsidRDefault="00342109" w:rsidP="00BA4E5A">
      <w:pPr>
        <w:pStyle w:val="KOMNadp1"/>
      </w:pPr>
      <w:bookmarkStart w:id="1274" w:name="_Toc128400105"/>
      <w:bookmarkStart w:id="1275" w:name="_Toc162269291"/>
      <w:r w:rsidRPr="006B6D61">
        <w:lastRenderedPageBreak/>
        <w:t>VÝSLEDKY AUDITŮ A KONTROL</w:t>
      </w:r>
      <w:bookmarkEnd w:id="1274"/>
      <w:bookmarkEnd w:id="1275"/>
    </w:p>
    <w:p w14:paraId="16456207" w14:textId="27A925A4" w:rsidR="00955482" w:rsidRPr="006B6D61" w:rsidRDefault="00E6244A" w:rsidP="00FE67C5">
      <w:pPr>
        <w:pStyle w:val="KOMnadp2"/>
      </w:pPr>
      <w:bookmarkStart w:id="1276" w:name="_Toc128400106"/>
      <w:bookmarkStart w:id="1277" w:name="_Toc162269292"/>
      <w:r w:rsidRPr="006B6D61">
        <w:t xml:space="preserve">Kontroly provedené </w:t>
      </w:r>
      <w:r w:rsidR="00681EF6" w:rsidRPr="006B6D61">
        <w:t xml:space="preserve">Nejvyšším </w:t>
      </w:r>
      <w:r w:rsidRPr="006B6D61">
        <w:t>kontrolním</w:t>
      </w:r>
      <w:r w:rsidR="00955482" w:rsidRPr="006B6D61">
        <w:t xml:space="preserve"> úřadem</w:t>
      </w:r>
      <w:bookmarkStart w:id="1278" w:name="_Toc128398578"/>
      <w:bookmarkStart w:id="1279" w:name="_Toc128400107"/>
      <w:bookmarkEnd w:id="1276"/>
      <w:bookmarkEnd w:id="1278"/>
      <w:bookmarkEnd w:id="1279"/>
      <w:bookmarkEnd w:id="1277"/>
    </w:p>
    <w:p w14:paraId="5E0BD639" w14:textId="11E13A92" w:rsidR="192182BF" w:rsidRDefault="00156170" w:rsidP="003F0A7C">
      <w:pPr>
        <w:pStyle w:val="KOMtext"/>
      </w:pPr>
      <w:r w:rsidRPr="006B6D61">
        <w:rPr>
          <w:szCs w:val="24"/>
        </w:rPr>
        <w:t>V</w:t>
      </w:r>
      <w:r>
        <w:rPr>
          <w:color w:val="FF0000"/>
          <w:szCs w:val="24"/>
        </w:rPr>
        <w:t xml:space="preserve"> </w:t>
      </w:r>
      <w:r w:rsidR="00994241" w:rsidRPr="00757D7D">
        <w:t xml:space="preserve">roce 2023 </w:t>
      </w:r>
      <w:r w:rsidR="00585088">
        <w:t xml:space="preserve">byly zahájeny </w:t>
      </w:r>
      <w:r w:rsidR="00244867">
        <w:t xml:space="preserve">celkem </w:t>
      </w:r>
      <w:r w:rsidR="00585088">
        <w:t>3 kontroly</w:t>
      </w:r>
      <w:r w:rsidR="00244867">
        <w:t xml:space="preserve"> NKÚ</w:t>
      </w:r>
      <w:r w:rsidR="00994241">
        <w:t>.</w:t>
      </w:r>
    </w:p>
    <w:p w14:paraId="09F7F160" w14:textId="4529210C" w:rsidR="002B6DD5" w:rsidRPr="0077128B" w:rsidRDefault="192182BF" w:rsidP="008A0E44">
      <w:pPr>
        <w:pStyle w:val="KOMnadp4"/>
        <w:rPr>
          <w:color w:val="FF0000"/>
        </w:rPr>
      </w:pPr>
      <w:r w:rsidRPr="006B6D61">
        <w:t xml:space="preserve">Kontrolní akce č. </w:t>
      </w:r>
      <w:r w:rsidR="001023C2" w:rsidRPr="006B6D61">
        <w:t>23/13</w:t>
      </w:r>
      <w:r w:rsidR="00BC39D8" w:rsidRPr="006B6D61">
        <w:t xml:space="preserve"> </w:t>
      </w:r>
      <w:r w:rsidR="002B6DD5" w:rsidRPr="006B6D61">
        <w:t>Peněžní prostředky státu a Evropské unie určené na rozvoj nákladní kombinované dopravy</w:t>
      </w:r>
    </w:p>
    <w:p w14:paraId="2122DCAD" w14:textId="7652DA94" w:rsidR="002B6DD5" w:rsidRDefault="00FE7823" w:rsidP="0097213C">
      <w:pPr>
        <w:pStyle w:val="KOMtext"/>
        <w:rPr>
          <w:b/>
        </w:rPr>
      </w:pPr>
      <w:r w:rsidRPr="006B6D61">
        <w:t>Cílem kontroly je prověřit, zda peněžní prostředky státu a Evropské unie určené na rozvoj nákladní kombinované dopravy jsou vynakládány účelně, hospodárně a v souladu s právními předpis</w:t>
      </w:r>
      <w:r>
        <w:t>.</w:t>
      </w:r>
    </w:p>
    <w:p w14:paraId="31496419" w14:textId="525BCA20" w:rsidR="008670F7" w:rsidRPr="0077128B" w:rsidRDefault="00BC39D8" w:rsidP="008A0E44">
      <w:pPr>
        <w:pStyle w:val="KOMnadp4"/>
        <w:rPr>
          <w:color w:val="FF0000"/>
        </w:rPr>
      </w:pPr>
      <w:r w:rsidRPr="006B6D61">
        <w:t xml:space="preserve">Kontrolní akce č. </w:t>
      </w:r>
      <w:r w:rsidR="0089563D" w:rsidRPr="006B6D61">
        <w:t>23/26</w:t>
      </w:r>
      <w:r w:rsidRPr="006B6D61">
        <w:t xml:space="preserve"> </w:t>
      </w:r>
      <w:r w:rsidR="008449BA" w:rsidRPr="006B6D61">
        <w:rPr>
          <w:lang w:eastAsia="cs-CZ"/>
        </w:rPr>
        <w:t>Peněžní prostředky státu určené na opravy a údržbu silnic I. třídy</w:t>
      </w:r>
    </w:p>
    <w:p w14:paraId="68976FAF" w14:textId="2E9E099E" w:rsidR="008670F7" w:rsidRDefault="008670F7" w:rsidP="0097213C">
      <w:pPr>
        <w:pStyle w:val="KOMtext"/>
        <w:rPr>
          <w:b/>
        </w:rPr>
      </w:pPr>
      <w:r w:rsidRPr="00A2735C">
        <w:t xml:space="preserve">Cílem kontroly je prověřit, zda </w:t>
      </w:r>
      <w:r w:rsidR="004B1C83" w:rsidRPr="006B6D61">
        <w:rPr>
          <w:bCs/>
        </w:rPr>
        <w:t xml:space="preserve">byly </w:t>
      </w:r>
      <w:r w:rsidRPr="00A2735C">
        <w:t xml:space="preserve">peněžní prostředky státu určené na </w:t>
      </w:r>
      <w:r w:rsidR="004B1C83" w:rsidRPr="006B6D61">
        <w:rPr>
          <w:bCs/>
        </w:rPr>
        <w:t>opravy a údržbu silnic I. třídy</w:t>
      </w:r>
      <w:r w:rsidRPr="00A2735C">
        <w:t xml:space="preserve"> vynakládány účelně, hospodárně a v souladu s právními </w:t>
      </w:r>
      <w:r w:rsidR="004B1C83" w:rsidRPr="006B6D61">
        <w:rPr>
          <w:bCs/>
        </w:rPr>
        <w:t>předpisy</w:t>
      </w:r>
      <w:r w:rsidRPr="00A2735C">
        <w:t>.</w:t>
      </w:r>
    </w:p>
    <w:p w14:paraId="50AD25EA" w14:textId="187F0271" w:rsidR="004B1C83" w:rsidRDefault="00BC39D8" w:rsidP="008A0E44">
      <w:pPr>
        <w:pStyle w:val="KOMnadp4"/>
        <w:rPr>
          <w:color w:val="auto"/>
          <w:lang w:eastAsia="cs-CZ"/>
        </w:rPr>
      </w:pPr>
      <w:r w:rsidRPr="006B6D61">
        <w:t xml:space="preserve">Kontrolní akce č. </w:t>
      </w:r>
      <w:r w:rsidR="00BF1794" w:rsidRPr="006B6D61">
        <w:t>23/17</w:t>
      </w:r>
      <w:r w:rsidRPr="006B6D61">
        <w:t xml:space="preserve"> </w:t>
      </w:r>
      <w:r w:rsidR="004D38A7" w:rsidRPr="006B6D61">
        <w:rPr>
          <w:lang w:eastAsia="cs-CZ"/>
        </w:rPr>
        <w:t>Závěrečný účet kapitoly státního rozpočtu Ministerstvo dopravy za rok 2023, účetní závěrka Ministerstva dopravy za rok 2023 a údaje předkládané Ministerstvem dopravy pro hodnocení plnění státního rozpočtu za rok 2023</w:t>
      </w:r>
    </w:p>
    <w:p w14:paraId="285058AE" w14:textId="093C4CA9" w:rsidR="192182BF" w:rsidRPr="006B6D61" w:rsidRDefault="00267BC1" w:rsidP="0097213C">
      <w:pPr>
        <w:pStyle w:val="KOMtext"/>
        <w:rPr>
          <w:rFonts w:eastAsiaTheme="majorEastAsia"/>
          <w:b/>
          <w:szCs w:val="24"/>
          <w:u w:val="single"/>
          <w:lang w:eastAsia="en-US"/>
        </w:rPr>
      </w:pPr>
      <w:r w:rsidRPr="006B6D61">
        <w:t>Cílem kontroly je prověřit, zda Ministerstvo dopravy při sestavení závěrečného účtu a při vedení účetnictví a sestavení účetní závěrky a předkládání údajů pro hodnocení plnění státního rozpočtu za rok 2023 postupovalo v souladu s příslušnými právními předpisy</w:t>
      </w:r>
      <w:r w:rsidRPr="006B6D61">
        <w:rPr>
          <w:color w:val="2E74B5" w:themeColor="accent1" w:themeShade="BF"/>
          <w:u w:val="single"/>
        </w:rPr>
        <w:t>.</w:t>
      </w:r>
    </w:p>
    <w:p w14:paraId="09059F97" w14:textId="69559A40" w:rsidR="00C26060" w:rsidRPr="006B6D61" w:rsidRDefault="00F41944" w:rsidP="00E20BD6">
      <w:pPr>
        <w:pStyle w:val="KOMnadp3"/>
      </w:pPr>
      <w:bookmarkStart w:id="1280" w:name="_Toc474397357"/>
      <w:bookmarkStart w:id="1281" w:name="_Toc128400108"/>
      <w:bookmarkStart w:id="1282" w:name="_Toc162269293"/>
      <w:r w:rsidRPr="006B6D61">
        <w:rPr>
          <w:szCs w:val="28"/>
        </w:rPr>
        <w:t>Kontrol</w:t>
      </w:r>
      <w:r w:rsidR="00D731EF" w:rsidRPr="006B6D61">
        <w:rPr>
          <w:szCs w:val="28"/>
        </w:rPr>
        <w:t xml:space="preserve">ní akce </w:t>
      </w:r>
      <w:r w:rsidR="00B709A5" w:rsidRPr="006B6D61">
        <w:rPr>
          <w:szCs w:val="28"/>
        </w:rPr>
        <w:t>N</w:t>
      </w:r>
      <w:r w:rsidR="00C26060" w:rsidRPr="006B6D61">
        <w:t xml:space="preserve">KÚ se schváleným kontrolním závěrem projednaným vládou ČR v roce </w:t>
      </w:r>
      <w:bookmarkEnd w:id="1280"/>
      <w:bookmarkEnd w:id="1281"/>
      <w:r w:rsidR="00F865A8" w:rsidRPr="006B6D61">
        <w:t>2023</w:t>
      </w:r>
      <w:bookmarkEnd w:id="1282"/>
    </w:p>
    <w:p w14:paraId="6D7ED175" w14:textId="204475F4" w:rsidR="002A4337" w:rsidRDefault="002A4337" w:rsidP="008A0E44">
      <w:pPr>
        <w:pStyle w:val="KOMnadp4"/>
      </w:pPr>
      <w:r w:rsidRPr="006B6D61">
        <w:t>Kontrolní akce č. 21/</w:t>
      </w:r>
      <w:r>
        <w:t>03</w:t>
      </w:r>
      <w:r w:rsidRPr="006B6D61">
        <w:t xml:space="preserve"> Peněžní prostředky státu a EU určené na </w:t>
      </w:r>
      <w:r>
        <w:t>podporu rekreační plavby</w:t>
      </w:r>
    </w:p>
    <w:p w14:paraId="6B582BB6" w14:textId="1A3FFBD5" w:rsidR="002A4337" w:rsidRDefault="002A4337" w:rsidP="002A4337">
      <w:pPr>
        <w:pStyle w:val="Dopisspozdravem"/>
        <w:spacing w:before="120" w:after="0"/>
        <w:jc w:val="both"/>
        <w:rPr>
          <w:rFonts w:asciiTheme="minorHAnsi" w:hAnsiTheme="minorHAnsi"/>
        </w:rPr>
      </w:pPr>
      <w:r w:rsidRPr="002A4337">
        <w:rPr>
          <w:rFonts w:asciiTheme="minorHAnsi" w:hAnsiTheme="minorHAnsi"/>
        </w:rPr>
        <w:t>Cílem kontroly bylo prověřit, zda jsou peněžní prostředky státu a Evropské unie určené na podporu rekreační plavby poskytovány a čerpány v souladu s právními předpisy účelně, hospodárně a efektivně.</w:t>
      </w:r>
    </w:p>
    <w:p w14:paraId="23ACC790" w14:textId="4BB72E64" w:rsidR="002A4337" w:rsidRDefault="002A4337" w:rsidP="002A4337">
      <w:pPr>
        <w:pStyle w:val="Dopisspozdravem"/>
        <w:spacing w:before="120" w:after="0"/>
        <w:jc w:val="both"/>
        <w:rPr>
          <w:rFonts w:asciiTheme="minorHAnsi" w:hAnsiTheme="minorHAnsi"/>
        </w:rPr>
      </w:pPr>
      <w:r w:rsidRPr="002A4337">
        <w:rPr>
          <w:rFonts w:asciiTheme="minorHAnsi" w:hAnsiTheme="minorHAnsi"/>
        </w:rPr>
        <w:t>Kontrolní závěr a stanovisko MD a ŘVC byly projednány vládou ČR dne 30. srpna 2023 (usnesení č. 656)</w:t>
      </w:r>
      <w:r>
        <w:rPr>
          <w:rFonts w:asciiTheme="minorHAnsi" w:hAnsiTheme="minorHAnsi"/>
        </w:rPr>
        <w:t>.</w:t>
      </w:r>
    </w:p>
    <w:p w14:paraId="4D47EE9D" w14:textId="5B99C99C" w:rsidR="002A4337" w:rsidRDefault="002A4337" w:rsidP="002A4337">
      <w:pPr>
        <w:pStyle w:val="KOMnadp5"/>
        <w:rPr>
          <w:rFonts w:eastAsia="Times New Roman"/>
        </w:rPr>
      </w:pPr>
      <w:r w:rsidRPr="003F0A7C">
        <w:rPr>
          <w:rFonts w:eastAsia="Times New Roman"/>
        </w:rPr>
        <w:lastRenderedPageBreak/>
        <w:t>Kontrolní zjištění</w:t>
      </w:r>
    </w:p>
    <w:p w14:paraId="35D857F0" w14:textId="50EE2B7E" w:rsidR="002A4337" w:rsidRDefault="002A4337" w:rsidP="002A4337">
      <w:pPr>
        <w:pStyle w:val="KOMnadp5"/>
        <w:numPr>
          <w:ilvl w:val="0"/>
          <w:numId w:val="0"/>
        </w:numPr>
        <w:rPr>
          <w:rFonts w:eastAsia="Times New Roman" w:cs="Times New Roman"/>
          <w:color w:val="auto"/>
          <w:szCs w:val="20"/>
          <w:u w:val="none"/>
          <w:lang w:eastAsia="cs-CZ"/>
        </w:rPr>
      </w:pPr>
      <w:r w:rsidRPr="002A4337">
        <w:rPr>
          <w:rFonts w:eastAsia="Times New Roman" w:cs="Times New Roman"/>
          <w:color w:val="auto"/>
          <w:szCs w:val="20"/>
          <w:u w:val="none"/>
          <w:lang w:eastAsia="cs-CZ"/>
        </w:rPr>
        <w:t>NKÚ v Kontrolním závěru poukázal na nedostatky zejména v oblasti koncepční činnosti, systému řízení investic, přípravy projektů a koordinace dotčených subjektů. U dvou projektů vyhodnotil NKÚ zjištěné porušení právních předpisů pro zadávání veřejných zakázek ze strany ŘVC (neuchování dokumentace o veřejné zakázce z roku 2012, použití nesprávného druhu zadávacího řízení) jako skutečnost nasvědčující porušení rozpočtové kázně</w:t>
      </w:r>
      <w:r>
        <w:rPr>
          <w:rFonts w:eastAsia="Times New Roman" w:cs="Times New Roman"/>
          <w:color w:val="auto"/>
          <w:szCs w:val="20"/>
          <w:u w:val="none"/>
          <w:lang w:eastAsia="cs-CZ"/>
        </w:rPr>
        <w:t>.</w:t>
      </w:r>
    </w:p>
    <w:p w14:paraId="6A495CAD" w14:textId="77777777" w:rsidR="002A4337" w:rsidRPr="003F0A7C" w:rsidRDefault="002A4337" w:rsidP="002A4337">
      <w:pPr>
        <w:pStyle w:val="KOMnadp5"/>
        <w:rPr>
          <w:rFonts w:eastAsia="Times New Roman"/>
        </w:rPr>
      </w:pPr>
      <w:r>
        <w:rPr>
          <w:rFonts w:eastAsia="Times New Roman"/>
        </w:rPr>
        <w:t>Opatření k nápravě</w:t>
      </w:r>
    </w:p>
    <w:p w14:paraId="5C077150" w14:textId="11178B38" w:rsidR="002A4337" w:rsidRPr="002A4337" w:rsidRDefault="002A4337" w:rsidP="002A4337">
      <w:pPr>
        <w:pStyle w:val="KOMnadp5"/>
        <w:numPr>
          <w:ilvl w:val="0"/>
          <w:numId w:val="0"/>
        </w:numPr>
        <w:rPr>
          <w:rFonts w:eastAsia="Times New Roman" w:cs="Times New Roman"/>
          <w:color w:val="auto"/>
          <w:szCs w:val="20"/>
          <w:u w:val="none"/>
          <w:lang w:eastAsia="cs-CZ"/>
        </w:rPr>
      </w:pPr>
      <w:r w:rsidRPr="002A4337">
        <w:rPr>
          <w:rFonts w:eastAsia="Times New Roman" w:cs="Times New Roman"/>
          <w:color w:val="auto"/>
          <w:szCs w:val="20"/>
          <w:u w:val="none"/>
          <w:lang w:eastAsia="cs-CZ"/>
        </w:rPr>
        <w:t>Opatření, která byla přijata k některým dílčím závěrům NKÚ, byla zpravidla již realizována, popřípadě jejich realizace průběžně probíhá. V oblasti koncepční činnosti se jedná zejména o opatření spočívající ve zpracování dokumentu Dopravní sektorové strategie, 3. fáze, v </w:t>
      </w:r>
      <w:proofErr w:type="gramStart"/>
      <w:r w:rsidRPr="002A4337">
        <w:rPr>
          <w:rFonts w:eastAsia="Times New Roman" w:cs="Times New Roman"/>
          <w:color w:val="auto"/>
          <w:szCs w:val="20"/>
          <w:u w:val="none"/>
          <w:lang w:eastAsia="cs-CZ"/>
        </w:rPr>
        <w:t>rámci</w:t>
      </w:r>
      <w:proofErr w:type="gramEnd"/>
      <w:r w:rsidRPr="002A4337">
        <w:rPr>
          <w:rFonts w:eastAsia="Times New Roman" w:cs="Times New Roman"/>
          <w:color w:val="auto"/>
          <w:szCs w:val="20"/>
          <w:u w:val="none"/>
          <w:lang w:eastAsia="cs-CZ"/>
        </w:rPr>
        <w:t xml:space="preserve"> kterého budou mimo jiné řešeny rozdíly mezi údaji v koncepčních dokumentech Koncepce vodní dopravy pro období 2016 až 2023, Dopravních sektorových strategiích, 2. fáze a Dopravní politiky České republiky pro období let 2014 až 2020 s výhledem do roku 2050. Na úrovni ŘVC pak jde zejména o opatření směřující ke kvalitnější přípravě a plánování projektů, používání standardizované smluvní dokumentace apod. V oblasti zadávání veřejných zakázek, kde NKÚ identifkoval u dvou zakázek nedostatky nasvědčující porušení rozpočtové kázně, ŘVC přijalo systémová opatření již v letech 2013 a 2014 v návaznosti na tehdejší zjištění kontrolních orgánů</w:t>
      </w:r>
      <w:r>
        <w:rPr>
          <w:rFonts w:eastAsia="Times New Roman" w:cs="Times New Roman"/>
          <w:color w:val="auto"/>
          <w:szCs w:val="20"/>
          <w:u w:val="none"/>
          <w:lang w:eastAsia="cs-CZ"/>
        </w:rPr>
        <w:t>.</w:t>
      </w:r>
    </w:p>
    <w:p w14:paraId="368BE4AC" w14:textId="300E5825" w:rsidR="002A4337" w:rsidRPr="0077128B" w:rsidRDefault="002A4337" w:rsidP="002A4337">
      <w:pPr>
        <w:pStyle w:val="KOMnadp4"/>
        <w:rPr>
          <w:rFonts w:eastAsiaTheme="minorHAnsi"/>
          <w:color w:val="FF0000"/>
          <w:u w:val="none"/>
        </w:rPr>
      </w:pPr>
      <w:r w:rsidRPr="006B6D61">
        <w:t>Kontrolní akce č. 21/3</w:t>
      </w:r>
      <w:r>
        <w:t>6</w:t>
      </w:r>
      <w:r w:rsidRPr="006B6D61">
        <w:t xml:space="preserve"> Peněžní prostředky státu a EU určené na </w:t>
      </w:r>
      <w:r>
        <w:t xml:space="preserve">rekonstrukci vybraných </w:t>
      </w:r>
      <w:proofErr w:type="spellStart"/>
      <w:r>
        <w:t>mimokoridorových</w:t>
      </w:r>
      <w:proofErr w:type="spellEnd"/>
      <w:r>
        <w:t xml:space="preserve"> železničních tratí</w:t>
      </w:r>
    </w:p>
    <w:p w14:paraId="2FD063FE" w14:textId="19B46962" w:rsidR="002A4337" w:rsidRDefault="002A4337" w:rsidP="002A4337">
      <w:pPr>
        <w:pStyle w:val="KOMtext"/>
      </w:pPr>
      <w:r w:rsidRPr="002A4337">
        <w:t xml:space="preserve">Cílem kontroly bylo prověřit, zda jsou peněžní prostředky určené na rekonstrukci vybraných </w:t>
      </w:r>
      <w:proofErr w:type="spellStart"/>
      <w:r w:rsidRPr="002A4337">
        <w:t>mimokoridorových</w:t>
      </w:r>
      <w:proofErr w:type="spellEnd"/>
      <w:r w:rsidRPr="002A4337">
        <w:t xml:space="preserve"> železničních tratí vynakládány účelně, hospodárně, efektivně a v souladu s právními předpisy</w:t>
      </w:r>
      <w:r w:rsidRPr="00C77A38">
        <w:t>.</w:t>
      </w:r>
    </w:p>
    <w:p w14:paraId="393BA2C1" w14:textId="3C4D20FC" w:rsidR="002A4337" w:rsidRDefault="002A4337" w:rsidP="002A4337">
      <w:pPr>
        <w:pStyle w:val="KOMtext"/>
      </w:pPr>
      <w:r w:rsidRPr="007E05AD">
        <w:t xml:space="preserve">Kontrolní závěr a stanovisko </w:t>
      </w:r>
      <w:r>
        <w:t>MD a Správy železnic byly projednány vládou ČR dne 1. 2. 2023 (usnesení č. 77).</w:t>
      </w:r>
    </w:p>
    <w:p w14:paraId="1481AB67" w14:textId="77777777" w:rsidR="002A4337" w:rsidRPr="003F0A7C" w:rsidRDefault="002A4337" w:rsidP="002A4337">
      <w:pPr>
        <w:pStyle w:val="KOMnadp5"/>
        <w:rPr>
          <w:rFonts w:eastAsia="Times New Roman"/>
        </w:rPr>
      </w:pPr>
      <w:r w:rsidRPr="003F0A7C">
        <w:rPr>
          <w:rFonts w:eastAsia="Times New Roman"/>
        </w:rPr>
        <w:t>Kontrolní zjištění</w:t>
      </w:r>
    </w:p>
    <w:p w14:paraId="75F74626" w14:textId="0CD7D767" w:rsidR="002A4337" w:rsidRDefault="002A4337" w:rsidP="002A4337">
      <w:pPr>
        <w:pStyle w:val="KOMtext"/>
      </w:pPr>
      <w:r w:rsidRPr="00D63E58">
        <w:t>NKÚ</w:t>
      </w:r>
      <w:r>
        <w:t xml:space="preserve"> v </w:t>
      </w:r>
      <w:r w:rsidRPr="00D63E58">
        <w:t>Kontrolním závěru</w:t>
      </w:r>
      <w:r>
        <w:t xml:space="preserve"> konstatoval</w:t>
      </w:r>
      <w:r w:rsidRPr="00F067E6">
        <w:t xml:space="preserve"> </w:t>
      </w:r>
      <w:r>
        <w:t>kupříkladu zpoždění přípravy a realizace prioritních projektů oproti časovým předpokladům, což mělo za důsledek nárůst nákladů a vznik rizika nezajištění dostatečných zdrojů na jejich krytí, nenaplnění cílů u některých projektů či neuplatnění sankcí vůči zpracovateli chybné projektové dokumentaci.</w:t>
      </w:r>
    </w:p>
    <w:p w14:paraId="102B51E8" w14:textId="77777777" w:rsidR="002A4337" w:rsidRPr="003F0A7C" w:rsidRDefault="002A4337" w:rsidP="002A4337">
      <w:pPr>
        <w:pStyle w:val="KOMnadp5"/>
        <w:rPr>
          <w:rFonts w:eastAsia="Times New Roman"/>
        </w:rPr>
      </w:pPr>
      <w:r>
        <w:rPr>
          <w:rFonts w:eastAsia="Times New Roman"/>
        </w:rPr>
        <w:lastRenderedPageBreak/>
        <w:t>Opatření k nápravě</w:t>
      </w:r>
    </w:p>
    <w:p w14:paraId="1571C6EE" w14:textId="38996E09" w:rsidR="002A4337" w:rsidRDefault="002A4337" w:rsidP="002A4337">
      <w:pPr>
        <w:pStyle w:val="KOMtext"/>
      </w:pPr>
      <w:r w:rsidRPr="00376A59">
        <w:t xml:space="preserve">Opatření, která byla přijata k některým dílčím závěrům NKÚ byla zpravidla již realizována, popřípadě jejich realizace průběžně probíhá. </w:t>
      </w:r>
      <w:r w:rsidRPr="00D63E58">
        <w:t>K</w:t>
      </w:r>
      <w:r>
        <w:t xml:space="preserve"> jednotlivým </w:t>
      </w:r>
      <w:r w:rsidRPr="00D63E58">
        <w:t>zjištěním byla uplatněna odborná stanoviska, vysvětlení</w:t>
      </w:r>
      <w:r>
        <w:t xml:space="preserve"> a </w:t>
      </w:r>
      <w:r w:rsidRPr="00D63E58">
        <w:t>popsána již realizovaná opatření.</w:t>
      </w:r>
      <w:r>
        <w:t xml:space="preserve"> V </w:t>
      </w:r>
      <w:r w:rsidRPr="00D63E58">
        <w:t>ma</w:t>
      </w:r>
      <w:r>
        <w:t xml:space="preserve">teriálu projednaném vládou bylo formulováno zejména opatření spočívající v předložení k projednání vládě ČR dokument Dopravní sektorové strategie, 3. fáze. Dále MD iniciovalo </w:t>
      </w:r>
      <w:r w:rsidRPr="00285591">
        <w:t>legislativní změny (novelizace liniového zákona), které byly přijaty za účelem zjednodušení povolovacích procesů a odstranění existujících překážek v</w:t>
      </w:r>
      <w:r>
        <w:t> </w:t>
      </w:r>
      <w:r w:rsidRPr="00285591">
        <w:t>rámci majetkoprávní přípravy</w:t>
      </w:r>
      <w:r>
        <w:t>.</w:t>
      </w:r>
    </w:p>
    <w:p w14:paraId="05DC5316" w14:textId="4F44976B" w:rsidR="55948C17" w:rsidRPr="0077128B" w:rsidRDefault="192182BF" w:rsidP="008A0E44">
      <w:pPr>
        <w:pStyle w:val="KOMnadp4"/>
        <w:rPr>
          <w:rFonts w:eastAsiaTheme="minorHAnsi"/>
          <w:color w:val="FF0000"/>
          <w:u w:val="none"/>
        </w:rPr>
      </w:pPr>
      <w:r w:rsidRPr="006B6D61">
        <w:t xml:space="preserve">Kontrolní akce č. </w:t>
      </w:r>
      <w:r w:rsidR="00F865A8" w:rsidRPr="006B6D61">
        <w:t>21/37 Peněžní prostředky státu a EU určené na modernizaci dálnice D1</w:t>
      </w:r>
    </w:p>
    <w:p w14:paraId="083747B2" w14:textId="2E741A6C" w:rsidR="192182BF" w:rsidRDefault="00F865A8" w:rsidP="003F0A7C">
      <w:pPr>
        <w:pStyle w:val="KOMtext"/>
      </w:pPr>
      <w:r w:rsidRPr="00C77A38">
        <w:t>Cílem kontroly bylo prověřit, zda peněžní prostředky určené na modernizaci dálnice D1 byly vynaloženy účelně, hospodárně, efektivně a v souladu s právními předpisy, a to s ohledem na zajištění kvality modernizace dálnice.</w:t>
      </w:r>
    </w:p>
    <w:p w14:paraId="10EB0225" w14:textId="00203B1F" w:rsidR="00B81B9A" w:rsidRPr="0077128B" w:rsidRDefault="00B81B9A" w:rsidP="003F0A7C">
      <w:pPr>
        <w:pStyle w:val="KOMtext"/>
        <w:rPr>
          <w:color w:val="FF0000"/>
        </w:rPr>
      </w:pPr>
      <w:r w:rsidRPr="00757D7D">
        <w:t xml:space="preserve">Kontrolovanými osobami byly Ministerstvo dopravy (dále také „MD“), Ředitelství silnic a dálnic ČR (dále také „ŘSD“) a Státní fond dopravní infrastruktury (dále také „SFDI“). Kontrola byla </w:t>
      </w:r>
      <w:r w:rsidR="008E35E7">
        <w:br/>
      </w:r>
      <w:r w:rsidRPr="00757D7D">
        <w:t>u kontrolovaných osob prováděna od listopadu 2021 do listopadu 2022. Kontrolované období bylo od roku 2016 do roku 2022</w:t>
      </w:r>
      <w:r w:rsidR="00E42F0B">
        <w:t>.</w:t>
      </w:r>
    </w:p>
    <w:p w14:paraId="4C10CE96" w14:textId="56045D3F" w:rsidR="192182BF" w:rsidRPr="006B6D61" w:rsidRDefault="192182BF" w:rsidP="003F0A7C">
      <w:pPr>
        <w:pStyle w:val="KOMtext"/>
      </w:pPr>
      <w:r w:rsidRPr="006B6D61">
        <w:t xml:space="preserve">Kontrolní závěr a stanovisko MD byly projednány vládou ČR dne </w:t>
      </w:r>
      <w:r w:rsidR="00661F05" w:rsidRPr="006B6D61">
        <w:t>22</w:t>
      </w:r>
      <w:r w:rsidRPr="006B6D61">
        <w:t xml:space="preserve">. 11. </w:t>
      </w:r>
      <w:r w:rsidR="00661F05" w:rsidRPr="006B6D61">
        <w:t xml:space="preserve">2023 </w:t>
      </w:r>
      <w:r w:rsidRPr="006B6D61">
        <w:t xml:space="preserve">(usnesení č. </w:t>
      </w:r>
      <w:r w:rsidR="0016110A" w:rsidRPr="006B6D61">
        <w:t>877</w:t>
      </w:r>
      <w:r w:rsidRPr="006B6D61">
        <w:t>).</w:t>
      </w:r>
    </w:p>
    <w:p w14:paraId="67FDEBC2" w14:textId="77777777" w:rsidR="0074682B" w:rsidRPr="003F0A7C" w:rsidRDefault="0074682B" w:rsidP="0074682B">
      <w:pPr>
        <w:pStyle w:val="KOMnadp5"/>
        <w:rPr>
          <w:rFonts w:eastAsia="Times New Roman"/>
        </w:rPr>
      </w:pPr>
      <w:r w:rsidRPr="003F0A7C">
        <w:rPr>
          <w:rFonts w:eastAsia="Times New Roman"/>
        </w:rPr>
        <w:t>Kontrolní zjištění</w:t>
      </w:r>
    </w:p>
    <w:p w14:paraId="2097FAB0" w14:textId="376F61AC" w:rsidR="00A33090" w:rsidRPr="00757D7D" w:rsidRDefault="002A4337" w:rsidP="001A2DB4">
      <w:pPr>
        <w:pStyle w:val="KOMtext"/>
      </w:pPr>
      <w:r>
        <w:rPr>
          <w:rFonts w:cs="Arial"/>
        </w:rPr>
        <w:t>NKÚ v Kontrolním závěru poukázal</w:t>
      </w:r>
      <w:r>
        <w:t xml:space="preserve"> například na zjištění, že modernizace dálnice D1 není dokončena, na modernizované části dálnice D1 zůstává devět mostů a tři nadjezdy ve špatném nebo velmi špatném stavu ohrožujícím bezpečnost a plynulost provozu na dálnici, nebo že přetížená vozidla výrazně poškozují vozovku a zkracují její životnost. Dále konstatoval, že ŘSD v době kontroly NKÚ řešilo na třinácti modernizovaných úsecích dálnice celkem 6085 různých reklamačních závad</w:t>
      </w:r>
      <w:r w:rsidR="00A33090" w:rsidRPr="00757D7D">
        <w:t xml:space="preserve">. </w:t>
      </w:r>
    </w:p>
    <w:p w14:paraId="6CC47EB2" w14:textId="765E1F75" w:rsidR="00480A0B" w:rsidRPr="003F0A7C" w:rsidRDefault="00480A0B" w:rsidP="00480A0B">
      <w:pPr>
        <w:pStyle w:val="KOMnadp5"/>
        <w:rPr>
          <w:rFonts w:eastAsia="Times New Roman"/>
        </w:rPr>
      </w:pPr>
      <w:r>
        <w:rPr>
          <w:rFonts w:eastAsia="Times New Roman"/>
        </w:rPr>
        <w:lastRenderedPageBreak/>
        <w:t>Opatření k nápravě</w:t>
      </w:r>
    </w:p>
    <w:p w14:paraId="1DB916DD" w14:textId="6BBB0E6B" w:rsidR="192182BF" w:rsidRPr="0077128B" w:rsidRDefault="002A4337" w:rsidP="001A2DB4">
      <w:pPr>
        <w:pStyle w:val="KOMtext"/>
        <w:rPr>
          <w:rFonts w:cstheme="minorHAnsi"/>
          <w:color w:val="FF0000"/>
        </w:rPr>
      </w:pPr>
      <w:r w:rsidRPr="00376A59">
        <w:t xml:space="preserve">Opatření, která byla přijata k některým dílčím závěrům NKÚ, byla zpravidla již realizována, popřípadě jejich realizace průběžně probíhá. </w:t>
      </w:r>
      <w:r w:rsidRPr="00D63E58">
        <w:t>K uvedeným zjištěním byla uplatněna odborná stanoviska, vysvětlení</w:t>
      </w:r>
      <w:r>
        <w:t xml:space="preserve"> a </w:t>
      </w:r>
      <w:r w:rsidRPr="00D63E58">
        <w:t>popsána již realizovaná opatření.</w:t>
      </w:r>
      <w:r>
        <w:t xml:space="preserve"> V </w:t>
      </w:r>
      <w:r w:rsidRPr="00D63E58">
        <w:t>ma</w:t>
      </w:r>
      <w:r>
        <w:t xml:space="preserve">teriálu projednaném vládou byla </w:t>
      </w:r>
      <w:r w:rsidRPr="00D63E58">
        <w:t>formulována</w:t>
      </w:r>
      <w:r>
        <w:t xml:space="preserve"> řada</w:t>
      </w:r>
      <w:r w:rsidRPr="00D63E58">
        <w:t xml:space="preserve"> nápravná opatření</w:t>
      </w:r>
      <w:r>
        <w:t>. Příkladem lze uvést průběžné aktualizování e</w:t>
      </w:r>
      <w:r w:rsidRPr="00087349">
        <w:t>valuační</w:t>
      </w:r>
      <w:r>
        <w:t>ho</w:t>
      </w:r>
      <w:r w:rsidRPr="00087349">
        <w:t xml:space="preserve"> plán</w:t>
      </w:r>
      <w:r>
        <w:t>u</w:t>
      </w:r>
      <w:r w:rsidRPr="00087349">
        <w:t xml:space="preserve"> OPD3, ve kterém je počítáno s provedením evaluačního projektu „Hodnocení přínosů modernizace dálnice D1 v úseku </w:t>
      </w:r>
      <w:proofErr w:type="spellStart"/>
      <w:r w:rsidRPr="00087349">
        <w:t>Kývalka</w:t>
      </w:r>
      <w:proofErr w:type="spellEnd"/>
      <w:r w:rsidRPr="00087349">
        <w:t xml:space="preserve"> – Mirošovice“</w:t>
      </w:r>
      <w:r>
        <w:t xml:space="preserve"> a následnému vyhodnocení dosažených výsledků, průběhu a kvality modernizace dálnice D1. </w:t>
      </w:r>
      <w:r w:rsidRPr="00B55AAC">
        <w:t>Na základě poznatků z modernizace D1 byl upraven přístup k rozsahu zadávaných diagnostických průzkumů mostních objektů potřebných pro rekonstrukci, a to v úrovni dokumentace pro stavební povolení základní diagnostický průzkum na stanovení možností využitelnosti stávajících konstrukcí při rekonstrukci s přepočtem zatížitelnosti a v úrovni projektové dokumentace pro provádění stavby doplňkový diagnostický průzkum jako podklad pro podrobný návrh rozsahu sanace stávající využitelné části konstrukcí (velikost ploch a tloušťky sanace, skladba sanace atd.).</w:t>
      </w:r>
      <w:r>
        <w:t xml:space="preserve"> </w:t>
      </w:r>
      <w:r w:rsidRPr="003A327B">
        <w:t xml:space="preserve">V rámci transformace ŘSD na státní podnik s účinností od 1. 1. 2024 </w:t>
      </w:r>
      <w:r>
        <w:t>je nově</w:t>
      </w:r>
      <w:r w:rsidRPr="003A327B">
        <w:t xml:space="preserve"> nastaven systém kontroly kvality ze strany SFDI/MD v oblasti správy, údržby a oprav dálnic a silnic I. třídy, jehož součástí bude i kontrola validity dat o stavu mostů v BMS/CEV včetně kontroly provádění, periodicity a rozsahu mostních prohlídek a plnění stanovených opatření k nápravě.</w:t>
      </w:r>
      <w:r>
        <w:t xml:space="preserve"> Dále </w:t>
      </w:r>
      <w:r w:rsidRPr="005A3816">
        <w:t xml:space="preserve">ŘSD zpracuje aktuální přehled o stavu mostů a nadjezdů na dálnici D1 a harmonogram dokončení jejich oprav a rekonstrukcí. MD bude průběžně sledovat </w:t>
      </w:r>
      <w:r w:rsidRPr="005A3816">
        <w:rPr>
          <w:bCs/>
        </w:rPr>
        <w:t xml:space="preserve">a vyhodnocovat harmonogram dokončení oprav a rekonstrukcí mostů a nadjezdů na dálnici D1. A také </w:t>
      </w:r>
      <w:r w:rsidRPr="005A3816">
        <w:t>přehledu stavu odpočívek, počtu a lokaci parkovacích míst pro těžká nákladní vozidla na dálnici D1</w:t>
      </w:r>
      <w:r w:rsidR="00A33090" w:rsidRPr="00C56F73">
        <w:t>.</w:t>
      </w:r>
    </w:p>
    <w:p w14:paraId="26FC2231" w14:textId="108EDE8F" w:rsidR="0BE61E82" w:rsidRPr="006B6D61" w:rsidRDefault="192182BF" w:rsidP="008A0E44">
      <w:pPr>
        <w:pStyle w:val="KOMnadp4"/>
      </w:pPr>
      <w:r w:rsidRPr="006B6D61">
        <w:t xml:space="preserve">Kontrolní akce č. </w:t>
      </w:r>
      <w:r w:rsidR="00DA09AA" w:rsidRPr="006B6D61">
        <w:t>22/01 Peněžní prostředky vynakládané na systém časového zpoplatnění dle zákona č. 13/1997 Sb., o pozemních komunikacích</w:t>
      </w:r>
      <w:r w:rsidR="00DA09AA" w:rsidRPr="006B6D61" w:rsidDel="00DA09AA">
        <w:t xml:space="preserve"> </w:t>
      </w:r>
    </w:p>
    <w:p w14:paraId="7654E30D" w14:textId="53FCD0A4" w:rsidR="192182BF" w:rsidRPr="0077128B" w:rsidRDefault="00673D29" w:rsidP="003F0A7C">
      <w:pPr>
        <w:pStyle w:val="KOMtext"/>
        <w:rPr>
          <w:color w:val="FF0000"/>
        </w:rPr>
      </w:pPr>
      <w:r w:rsidRPr="00C77A38">
        <w:t xml:space="preserve">Cílem kontroly bylo prověřit, zda resort </w:t>
      </w:r>
      <w:r w:rsidR="00747A1E">
        <w:t>M</w:t>
      </w:r>
      <w:r w:rsidRPr="00C77A38">
        <w:t xml:space="preserve">inisterstva dopravy vynakládal peněžní prostředky na přípravu, realizaci a provoz systému elektronických dálničních známek účelně, hospodárně a efektivně. </w:t>
      </w:r>
      <w:r w:rsidRPr="00757D7D">
        <w:t>Kontrolovanými osobami byly MD, SFDI a CENDIS, s. p. (dále také „CENDIS“). Kontrola byla prováděna v období od ledna do září 2022.</w:t>
      </w:r>
    </w:p>
    <w:p w14:paraId="53FDF4B0" w14:textId="066BD1AC" w:rsidR="192182BF" w:rsidRPr="006B6D61" w:rsidRDefault="192182BF" w:rsidP="003F0A7C">
      <w:pPr>
        <w:pStyle w:val="KOMtext"/>
      </w:pPr>
      <w:r w:rsidRPr="006B6D61">
        <w:t>Kontrolní závěr a stanovisko MD byly projednány vládou ČR dne 2</w:t>
      </w:r>
      <w:r w:rsidR="00D93CAD" w:rsidRPr="006B6D61">
        <w:t>2</w:t>
      </w:r>
      <w:r w:rsidRPr="006B6D61">
        <w:t>. 11. 202</w:t>
      </w:r>
      <w:r w:rsidR="00D93CAD" w:rsidRPr="006B6D61">
        <w:t>3</w:t>
      </w:r>
      <w:r w:rsidRPr="006B6D61">
        <w:t xml:space="preserve"> (usnesení č. </w:t>
      </w:r>
      <w:r w:rsidR="00D93CAD" w:rsidRPr="006B6D61">
        <w:t>876</w:t>
      </w:r>
      <w:r w:rsidRPr="006B6D61">
        <w:t>).</w:t>
      </w:r>
    </w:p>
    <w:p w14:paraId="5D570527" w14:textId="77777777" w:rsidR="000F229E" w:rsidRPr="003F0A7C" w:rsidRDefault="000F229E" w:rsidP="000F229E">
      <w:pPr>
        <w:pStyle w:val="KOMnadp5"/>
        <w:rPr>
          <w:rFonts w:eastAsia="Times New Roman"/>
        </w:rPr>
      </w:pPr>
      <w:r w:rsidRPr="003F0A7C">
        <w:rPr>
          <w:rFonts w:eastAsia="Times New Roman"/>
        </w:rPr>
        <w:t>Kontrolní zjištění</w:t>
      </w:r>
    </w:p>
    <w:p w14:paraId="7F4F2CEF" w14:textId="7DB7EEA3" w:rsidR="00BE51B5" w:rsidRPr="00757D7D" w:rsidRDefault="002A4337" w:rsidP="001A2DB4">
      <w:pPr>
        <w:pStyle w:val="KOMtext"/>
      </w:pPr>
      <w:r w:rsidRPr="00A63BC7">
        <w:t>NKÚ ve svém kontrolním závěru konstatoval</w:t>
      </w:r>
      <w:r>
        <w:t xml:space="preserve"> chyby po spuštění IS EDAZ, neúčelné vynaložení peněžních prostředků na kontrolu obchodních míst a nezajištění </w:t>
      </w:r>
      <w:r w:rsidRPr="00A63BC7">
        <w:t>automatizac</w:t>
      </w:r>
      <w:r>
        <w:t>e</w:t>
      </w:r>
      <w:r w:rsidRPr="00A63BC7">
        <w:t xml:space="preserve"> kontroly osvobození od úhrady e-známky</w:t>
      </w:r>
      <w:r>
        <w:t xml:space="preserve"> ze strany SFDI</w:t>
      </w:r>
      <w:r w:rsidR="00BE51B5" w:rsidRPr="00757D7D">
        <w:t xml:space="preserve">. </w:t>
      </w:r>
    </w:p>
    <w:p w14:paraId="02DF1B3D" w14:textId="77777777" w:rsidR="0076342B" w:rsidRPr="003F0A7C" w:rsidRDefault="0076342B" w:rsidP="0076342B">
      <w:pPr>
        <w:pStyle w:val="KOMnadp5"/>
        <w:rPr>
          <w:rFonts w:eastAsia="Times New Roman"/>
        </w:rPr>
      </w:pPr>
      <w:r>
        <w:rPr>
          <w:rFonts w:eastAsia="Times New Roman"/>
        </w:rPr>
        <w:lastRenderedPageBreak/>
        <w:t>Opatření k nápravě</w:t>
      </w:r>
    </w:p>
    <w:p w14:paraId="3B21D30B" w14:textId="3D192D84" w:rsidR="007D1B12" w:rsidRDefault="002A4337" w:rsidP="001A2DB4">
      <w:pPr>
        <w:pStyle w:val="KOMtext"/>
      </w:pPr>
      <w:r w:rsidRPr="00A63BC7">
        <w:t xml:space="preserve">Opatření, která byla přijata k některým dílčím závěrům NKÚ, byla zpravidla již realizována, popřípadě jejich realizace průběžně probíhá. </w:t>
      </w:r>
      <w:r>
        <w:t xml:space="preserve">V roce 2023 byl </w:t>
      </w:r>
      <w:r w:rsidRPr="00A63BC7">
        <w:t>napojen IS EDAZ na RSV</w:t>
      </w:r>
      <w:r>
        <w:t xml:space="preserve">, bylo spuštěno </w:t>
      </w:r>
      <w:r w:rsidRPr="00A63BC7">
        <w:t xml:space="preserve">předávání informací prostřednictvím </w:t>
      </w:r>
      <w:proofErr w:type="spellStart"/>
      <w:r w:rsidRPr="00A63BC7">
        <w:t>eGSB</w:t>
      </w:r>
      <w:proofErr w:type="spellEnd"/>
      <w:r w:rsidRPr="00A63BC7">
        <w:t xml:space="preserve"> mezi IS EDAZ a SEM a IS EDAZ a RSV</w:t>
      </w:r>
      <w:r>
        <w:t xml:space="preserve">. </w:t>
      </w:r>
      <w:r w:rsidRPr="00A63BC7">
        <w:t>MD a SFDI průběžně sleduj</w:t>
      </w:r>
      <w:r>
        <w:t>e</w:t>
      </w:r>
      <w:r w:rsidRPr="00A63BC7">
        <w:t xml:space="preserve"> a vyhodnocuj</w:t>
      </w:r>
      <w:r>
        <w:t>e</w:t>
      </w:r>
      <w:r w:rsidRPr="00A63BC7">
        <w:t xml:space="preserve"> míru porušování povinnosti uhradit časový poplatek při užívání zpoplatněné komunikace.</w:t>
      </w:r>
      <w:r>
        <w:t xml:space="preserve"> </w:t>
      </w:r>
      <w:r w:rsidRPr="00A63BC7">
        <w:t>SFDI zajistil kontrolu obchodních míst vlastními zdroji, konkrétně pracovníky Oddělení metodiky a časového zpoplatnění</w:t>
      </w:r>
      <w:r>
        <w:t xml:space="preserve">. </w:t>
      </w:r>
      <w:r w:rsidRPr="00A63BC7">
        <w:t>CENDIS v</w:t>
      </w:r>
      <w:r>
        <w:t> nových smlouvách</w:t>
      </w:r>
      <w:r w:rsidRPr="00A63BC7">
        <w:t xml:space="preserve"> prosaz</w:t>
      </w:r>
      <w:r>
        <w:t>uje</w:t>
      </w:r>
      <w:r w:rsidRPr="00A63BC7">
        <w:t xml:space="preserve"> ustanovení o tzv. podmíněné akceptaci, která automaticky proběhne v okamžiku, kdy bude vyvíjený systém uveden do rutinního provozu. Případné vady a nedodělky pak budou řešeny v rámci finální akceptace s použitím zádržného po dobu odstraňování nedodělků</w:t>
      </w:r>
      <w:r w:rsidR="00BE51B5" w:rsidRPr="00C20C33">
        <w:t>.</w:t>
      </w:r>
    </w:p>
    <w:p w14:paraId="40171BF9" w14:textId="3A768909" w:rsidR="007D1B12" w:rsidRDefault="001E1792" w:rsidP="006B6D61">
      <w:pPr>
        <w:pStyle w:val="Default"/>
        <w:spacing w:after="87" w:line="276" w:lineRule="auto"/>
        <w:jc w:val="both"/>
        <w:rPr>
          <w:rFonts w:cstheme="minorHAnsi"/>
          <w:b/>
          <w:color w:val="2E74B5" w:themeColor="accent1" w:themeShade="BF"/>
          <w:u w:val="single"/>
        </w:rPr>
      </w:pPr>
      <w:r w:rsidRPr="006B6D61">
        <w:rPr>
          <w:rFonts w:asciiTheme="minorHAnsi" w:eastAsia="Times New Roman" w:hAnsiTheme="minorHAnsi" w:cstheme="minorHAnsi"/>
          <w:b/>
          <w:color w:val="2E74B5" w:themeColor="accent1" w:themeShade="BF"/>
          <w:u w:val="single"/>
        </w:rPr>
        <w:t>Kontrolní akce č.</w:t>
      </w:r>
      <w:r w:rsidR="005A5F18">
        <w:rPr>
          <w:rFonts w:asciiTheme="minorHAnsi" w:eastAsia="Times New Roman" w:hAnsiTheme="minorHAnsi" w:cstheme="minorHAnsi"/>
          <w:b/>
          <w:color w:val="2E74B5" w:themeColor="accent1" w:themeShade="BF"/>
          <w:u w:val="single"/>
        </w:rPr>
        <w:t xml:space="preserve"> </w:t>
      </w:r>
      <w:r w:rsidR="00F01BFC">
        <w:rPr>
          <w:rFonts w:asciiTheme="minorHAnsi" w:eastAsia="Times New Roman" w:hAnsiTheme="minorHAnsi" w:cstheme="minorHAnsi"/>
          <w:b/>
          <w:color w:val="2E74B5" w:themeColor="accent1" w:themeShade="BF"/>
          <w:u w:val="single"/>
        </w:rPr>
        <w:t>22/08</w:t>
      </w:r>
      <w:r w:rsidR="005A5F18" w:rsidRPr="006B6D61">
        <w:rPr>
          <w:rFonts w:asciiTheme="minorHAnsi" w:eastAsia="Times New Roman" w:hAnsiTheme="minorHAnsi" w:cstheme="minorHAnsi"/>
          <w:b/>
          <w:color w:val="2E74B5" w:themeColor="accent1" w:themeShade="BF"/>
          <w:u w:val="single"/>
        </w:rPr>
        <w:t xml:space="preserve"> Peněžní prostředky státu a Evropské unie určené na výstavbu dálnice D35</w:t>
      </w:r>
    </w:p>
    <w:p w14:paraId="3E437112" w14:textId="6BC22A05" w:rsidR="00141E77" w:rsidRDefault="00026B50" w:rsidP="001A2DB4">
      <w:pPr>
        <w:pStyle w:val="KOMtext"/>
      </w:pPr>
      <w:r w:rsidRPr="00757D7D">
        <w:t xml:space="preserve">Cílem kontroly bylo prověřit, zda byly peněžní prostředky státu a Evropské unie určené </w:t>
      </w:r>
      <w:r w:rsidR="001A2DB4">
        <w:br/>
      </w:r>
      <w:r w:rsidRPr="00757D7D">
        <w:t>na přípravu a výstavbu dálnice D35 vynakládány účelně, hospodárně a v souladu s právními předpisy</w:t>
      </w:r>
      <w:r>
        <w:t>.</w:t>
      </w:r>
      <w:r w:rsidR="00636D1F" w:rsidRPr="00636D1F">
        <w:t xml:space="preserve"> </w:t>
      </w:r>
    </w:p>
    <w:p w14:paraId="31266409" w14:textId="61E3E5FE" w:rsidR="005A5F18" w:rsidRDefault="00636D1F" w:rsidP="001A2DB4">
      <w:pPr>
        <w:pStyle w:val="KOMtext"/>
      </w:pPr>
      <w:r w:rsidRPr="00757D7D">
        <w:t>Kontrolovanými osobami bylo MD a ŘSD v období od dubna 2022 do května 2023.</w:t>
      </w:r>
      <w:r w:rsidR="00C9199F" w:rsidRPr="00C9199F">
        <w:t xml:space="preserve"> </w:t>
      </w:r>
      <w:r w:rsidR="00EC7166" w:rsidRPr="00757D7D">
        <w:t>Kontrola NKÚ byla zaměřena</w:t>
      </w:r>
      <w:r w:rsidR="003D7524">
        <w:t xml:space="preserve"> na </w:t>
      </w:r>
      <w:r w:rsidR="00123C14" w:rsidRPr="00757D7D">
        <w:t>plnění cílů stanovených v koncepčních a strategických materiálech MD</w:t>
      </w:r>
      <w:r w:rsidR="00123C14">
        <w:t xml:space="preserve">, </w:t>
      </w:r>
      <w:r w:rsidR="00663C3A" w:rsidRPr="00757D7D">
        <w:t>posuzování výběru dodavatelů v dostatečně konkurenčním prostředí</w:t>
      </w:r>
      <w:r w:rsidR="00AE1960">
        <w:t xml:space="preserve"> a</w:t>
      </w:r>
      <w:r w:rsidR="00663C3A">
        <w:t xml:space="preserve"> </w:t>
      </w:r>
      <w:r w:rsidR="00AE1960" w:rsidRPr="00757D7D">
        <w:t>postup přípravy dálnice D35, jejichž kontrolu provedl NKÚ na vzorku 14 úseků, a z toho výstavbu dvou úseků dálnice D35 s celkovými náklady ve výši 96 599 mil. Kč vč. DPH v cenové úrovni roku 2022</w:t>
      </w:r>
      <w:r w:rsidR="00AE1960">
        <w:t>.</w:t>
      </w:r>
    </w:p>
    <w:p w14:paraId="232D5493" w14:textId="5E35C11E" w:rsidR="00E43226" w:rsidRPr="006B6D61" w:rsidRDefault="00DD5F95" w:rsidP="00E07044">
      <w:pPr>
        <w:pStyle w:val="Default"/>
        <w:spacing w:after="87" w:line="276" w:lineRule="auto"/>
        <w:jc w:val="both"/>
        <w:rPr>
          <w:rFonts w:asciiTheme="minorHAnsi" w:eastAsia="Times New Roman" w:hAnsiTheme="minorHAnsi"/>
          <w:color w:val="auto"/>
          <w:szCs w:val="20"/>
          <w:lang w:eastAsia="cs-CZ"/>
        </w:rPr>
      </w:pPr>
      <w:r w:rsidRPr="006B6D61">
        <w:rPr>
          <w:rFonts w:asciiTheme="minorHAnsi" w:eastAsia="Times New Roman" w:hAnsiTheme="minorHAnsi"/>
          <w:color w:val="auto"/>
          <w:szCs w:val="20"/>
          <w:lang w:eastAsia="cs-CZ"/>
        </w:rPr>
        <w:t xml:space="preserve">Kontrolní závěr a stanovisko MD </w:t>
      </w:r>
      <w:r w:rsidR="00347464" w:rsidRPr="006B6D61">
        <w:rPr>
          <w:rFonts w:asciiTheme="minorHAnsi" w:eastAsia="Times New Roman" w:hAnsiTheme="minorHAnsi"/>
          <w:color w:val="auto"/>
          <w:szCs w:val="20"/>
          <w:lang w:eastAsia="cs-CZ"/>
        </w:rPr>
        <w:t>dosud ne</w:t>
      </w:r>
      <w:r w:rsidRPr="006B6D61">
        <w:rPr>
          <w:rFonts w:asciiTheme="minorHAnsi" w:eastAsia="Times New Roman" w:hAnsiTheme="minorHAnsi"/>
          <w:color w:val="auto"/>
          <w:szCs w:val="20"/>
          <w:lang w:eastAsia="cs-CZ"/>
        </w:rPr>
        <w:t>byly projednány vládou ČR.</w:t>
      </w:r>
    </w:p>
    <w:p w14:paraId="08F20191" w14:textId="77777777" w:rsidR="00AE1960" w:rsidRPr="003F0A7C" w:rsidRDefault="00AE1960" w:rsidP="00AE1960">
      <w:pPr>
        <w:pStyle w:val="KOMnadp5"/>
        <w:rPr>
          <w:rFonts w:eastAsia="Times New Roman"/>
        </w:rPr>
      </w:pPr>
      <w:r w:rsidRPr="003F0A7C">
        <w:rPr>
          <w:rFonts w:eastAsia="Times New Roman"/>
        </w:rPr>
        <w:t>Kontrolní zjištění</w:t>
      </w:r>
    </w:p>
    <w:p w14:paraId="2C7F8D1A" w14:textId="5AAB2EA0" w:rsidR="00DD5F95" w:rsidRDefault="002A4337" w:rsidP="001A2DB4">
      <w:pPr>
        <w:pStyle w:val="KOMtext"/>
      </w:pPr>
      <w:r w:rsidRPr="003E45D8">
        <w:t xml:space="preserve">NKÚ </w:t>
      </w:r>
      <w:r>
        <w:t>ve svém kontrolním závěru konstatoval nárůst nákladů staveb v důsledku změn v přepravě a oddalování výstavby, dlouhou přípravu staveb dálnice D35, nízký počet podaných i hodnocených nabídek v zadávacím řízení na záchranný archeologický výzkum, zpoždění termínů realizace staveb z důvodu prodlužování zadávacího řízení, nereklamování chyb v projektové dokumentaci a zpoždění projektu partnerství veřejného a soukromého sektoru oproti předpokladům MD</w:t>
      </w:r>
      <w:r w:rsidR="00C268B5">
        <w:t>.</w:t>
      </w:r>
    </w:p>
    <w:p w14:paraId="2D11E441" w14:textId="77777777" w:rsidR="00C268B5" w:rsidRPr="003F0A7C" w:rsidRDefault="00C268B5" w:rsidP="00C268B5">
      <w:pPr>
        <w:pStyle w:val="KOMnadp5"/>
        <w:rPr>
          <w:rFonts w:eastAsia="Times New Roman"/>
        </w:rPr>
      </w:pPr>
      <w:r>
        <w:rPr>
          <w:rFonts w:eastAsia="Times New Roman"/>
        </w:rPr>
        <w:t>Opatření k nápravě</w:t>
      </w:r>
    </w:p>
    <w:p w14:paraId="2D3C52E5" w14:textId="5066E115" w:rsidR="009A0F8D" w:rsidRDefault="002A4337" w:rsidP="001A2DB4">
      <w:pPr>
        <w:pStyle w:val="KOMtext"/>
      </w:pPr>
      <w:r w:rsidRPr="00CA00A5">
        <w:t>Opatření, která byla přijata k některým dílčím závěrům NKÚ, byla zpravidla již realizována, popřípadě jejich realizace průběžně probíhá</w:t>
      </w:r>
      <w:r>
        <w:t xml:space="preserve">. </w:t>
      </w:r>
      <w:r w:rsidRPr="00D63E58">
        <w:t>K uvedeným zjištěním byla uplatněna odborná stanoviska</w:t>
      </w:r>
      <w:r>
        <w:t xml:space="preserve"> a </w:t>
      </w:r>
      <w:r w:rsidRPr="00D63E58">
        <w:t>vysvětlení</w:t>
      </w:r>
      <w:r>
        <w:t>. V </w:t>
      </w:r>
      <w:r w:rsidRPr="00EA342B">
        <w:t>materiálu, kter</w:t>
      </w:r>
      <w:r>
        <w:t>ý</w:t>
      </w:r>
      <w:r w:rsidRPr="00EA342B">
        <w:t xml:space="preserve"> bude projedná</w:t>
      </w:r>
      <w:r>
        <w:t>n</w:t>
      </w:r>
      <w:r w:rsidRPr="00EA342B">
        <w:t xml:space="preserve"> vládou </w:t>
      </w:r>
      <w:r>
        <w:t xml:space="preserve">jsou nápravná opatření směřována např. do oblasti flexibilnějšího plánování, technologických inovací, či strategického plánování, do kterého bude zahrnuto </w:t>
      </w:r>
      <w:r w:rsidRPr="00AE6233">
        <w:t>hodnocení analýzy rizik</w:t>
      </w:r>
      <w:r w:rsidR="00074604" w:rsidRPr="0027048D">
        <w:t>.</w:t>
      </w:r>
    </w:p>
    <w:p w14:paraId="436BF292" w14:textId="58B6C864" w:rsidR="009A0F8D" w:rsidRDefault="009A0F8D" w:rsidP="00E07044">
      <w:pPr>
        <w:pStyle w:val="Default"/>
        <w:spacing w:after="87" w:line="276" w:lineRule="auto"/>
        <w:jc w:val="both"/>
        <w:rPr>
          <w:rFonts w:asciiTheme="minorHAnsi" w:eastAsia="Times New Roman" w:hAnsiTheme="minorHAnsi" w:cstheme="minorHAnsi"/>
          <w:b/>
          <w:color w:val="2E74B5" w:themeColor="accent1" w:themeShade="BF"/>
          <w:u w:val="single"/>
        </w:rPr>
      </w:pPr>
      <w:r w:rsidRPr="00FF44CD">
        <w:rPr>
          <w:rFonts w:asciiTheme="minorHAnsi" w:eastAsia="Times New Roman" w:hAnsiTheme="minorHAnsi" w:cstheme="minorHAnsi"/>
          <w:b/>
          <w:color w:val="2E74B5" w:themeColor="accent1" w:themeShade="BF"/>
          <w:u w:val="single"/>
        </w:rPr>
        <w:lastRenderedPageBreak/>
        <w:t>Kontrolní akce č.</w:t>
      </w:r>
      <w:r>
        <w:rPr>
          <w:rFonts w:asciiTheme="minorHAnsi" w:eastAsia="Times New Roman" w:hAnsiTheme="minorHAnsi" w:cstheme="minorHAnsi"/>
          <w:b/>
          <w:color w:val="2E74B5" w:themeColor="accent1" w:themeShade="BF"/>
          <w:u w:val="single"/>
        </w:rPr>
        <w:t xml:space="preserve"> 22/</w:t>
      </w:r>
      <w:r w:rsidR="008B5EF1">
        <w:rPr>
          <w:rFonts w:asciiTheme="minorHAnsi" w:eastAsia="Times New Roman" w:hAnsiTheme="minorHAnsi" w:cstheme="minorHAnsi"/>
          <w:b/>
          <w:color w:val="2E74B5" w:themeColor="accent1" w:themeShade="BF"/>
          <w:u w:val="single"/>
        </w:rPr>
        <w:t>26</w:t>
      </w:r>
      <w:r w:rsidRPr="00FF44CD">
        <w:rPr>
          <w:rFonts w:asciiTheme="minorHAnsi" w:eastAsia="Times New Roman" w:hAnsiTheme="minorHAnsi" w:cstheme="minorHAnsi"/>
          <w:b/>
          <w:color w:val="2E74B5" w:themeColor="accent1" w:themeShade="BF"/>
          <w:u w:val="single"/>
        </w:rPr>
        <w:t xml:space="preserve"> Peněžní prostředky </w:t>
      </w:r>
      <w:r w:rsidR="00D20843">
        <w:rPr>
          <w:rFonts w:asciiTheme="minorHAnsi" w:eastAsia="Times New Roman" w:hAnsiTheme="minorHAnsi" w:cstheme="minorHAnsi"/>
          <w:b/>
          <w:color w:val="2E74B5" w:themeColor="accent1" w:themeShade="BF"/>
          <w:u w:val="single"/>
        </w:rPr>
        <w:t xml:space="preserve">vynakládané na zvýšení bezpečnosti </w:t>
      </w:r>
      <w:r w:rsidR="008B5EF1">
        <w:rPr>
          <w:rFonts w:asciiTheme="minorHAnsi" w:eastAsia="Times New Roman" w:hAnsiTheme="minorHAnsi" w:cstheme="minorHAnsi"/>
          <w:b/>
          <w:color w:val="2E74B5" w:themeColor="accent1" w:themeShade="BF"/>
          <w:u w:val="single"/>
        </w:rPr>
        <w:t>silničního provozu</w:t>
      </w:r>
    </w:p>
    <w:p w14:paraId="43DD3AE0" w14:textId="51FC6C4E" w:rsidR="00D30154" w:rsidRDefault="00141114" w:rsidP="001A2DB4">
      <w:pPr>
        <w:pStyle w:val="KOMtext"/>
      </w:pPr>
      <w:r w:rsidRPr="00757D7D">
        <w:t xml:space="preserve">Cílem kontroly bylo prověřit, zda resort Ministerstva dopravy řídil a realizoval vybrané opatření pro zvýšení bezpečnosti silničního provozu tak, aby peněžní prostředky určené </w:t>
      </w:r>
      <w:r w:rsidR="001A2DB4">
        <w:br/>
      </w:r>
      <w:r w:rsidRPr="00757D7D">
        <w:t xml:space="preserve">na dosažení vybraných cílů Národní strategie bezpečnosti silničního provozu 2011 až 2020 </w:t>
      </w:r>
      <w:r w:rsidR="001A2DB4">
        <w:br/>
      </w:r>
      <w:r w:rsidRPr="00757D7D">
        <w:t>a Strategie BESIP 2021 až 2030 byly vynaloženy účelně a hospodárně</w:t>
      </w:r>
      <w:r>
        <w:t>.</w:t>
      </w:r>
      <w:r w:rsidR="001A2DB4">
        <w:t xml:space="preserve"> </w:t>
      </w:r>
      <w:r w:rsidR="00D30154" w:rsidRPr="00757D7D">
        <w:t>Kontrolovanými osobami bylo MD, ŘSD a Centrum služeb pro silniční dopravu (dále také „CSPSD“) v období od listopadu 2022 do června 2023. Kontrolované období 2017 až 2022</w:t>
      </w:r>
      <w:r w:rsidR="00D30154">
        <w:t>.</w:t>
      </w:r>
    </w:p>
    <w:p w14:paraId="00E6A4AB" w14:textId="2B47E128" w:rsidR="000637CC" w:rsidRPr="00F65955" w:rsidRDefault="000637CC" w:rsidP="001A2DB4">
      <w:pPr>
        <w:pStyle w:val="KOMtext"/>
      </w:pPr>
      <w:r w:rsidRPr="006B6D61">
        <w:t>Kontrolní závěr a stanovisko MD dosud nebyly projednány vládou ČR.</w:t>
      </w:r>
    </w:p>
    <w:p w14:paraId="605FD2A3" w14:textId="77777777" w:rsidR="00A07FEC" w:rsidRPr="003F0A7C" w:rsidRDefault="00A07FEC" w:rsidP="00A07FEC">
      <w:pPr>
        <w:pStyle w:val="KOMnadp5"/>
        <w:rPr>
          <w:rFonts w:eastAsia="Times New Roman"/>
        </w:rPr>
      </w:pPr>
      <w:r w:rsidRPr="003F0A7C">
        <w:rPr>
          <w:rFonts w:eastAsia="Times New Roman"/>
        </w:rPr>
        <w:t>Kontrolní zjištění</w:t>
      </w:r>
    </w:p>
    <w:p w14:paraId="6CBB169F" w14:textId="1E3EA529" w:rsidR="00A07FEC" w:rsidRDefault="002A4337" w:rsidP="001A2DB4">
      <w:pPr>
        <w:pStyle w:val="KOMtext"/>
      </w:pPr>
      <w:r w:rsidRPr="00EA342B">
        <w:rPr>
          <w:rFonts w:ascii="Times New Roman" w:hAnsi="Times New Roman"/>
          <w:szCs w:val="24"/>
        </w:rPr>
        <w:t>NKÚ v kontrolním závěru konstat</w:t>
      </w:r>
      <w:r>
        <w:rPr>
          <w:rFonts w:ascii="Times New Roman" w:hAnsi="Times New Roman"/>
          <w:szCs w:val="24"/>
        </w:rPr>
        <w:t>oval</w:t>
      </w:r>
      <w:r w:rsidRPr="00EA342B">
        <w:rPr>
          <w:rFonts w:ascii="Times New Roman" w:hAnsi="Times New Roman"/>
          <w:szCs w:val="24"/>
        </w:rPr>
        <w:t>, že v období 2011 až 2022 došlo k celkovému zvýšení bezpečnosti na pozemních komunikacích ČR</w:t>
      </w:r>
      <w:r>
        <w:rPr>
          <w:rFonts w:ascii="Times New Roman" w:hAnsi="Times New Roman"/>
          <w:szCs w:val="24"/>
        </w:rPr>
        <w:t>.</w:t>
      </w:r>
      <w:r w:rsidRPr="00EA342B">
        <w:rPr>
          <w:rFonts w:ascii="Times New Roman" w:hAnsi="Times New Roman"/>
          <w:szCs w:val="24"/>
        </w:rPr>
        <w:t xml:space="preserve"> I </w:t>
      </w:r>
      <w:r>
        <w:rPr>
          <w:rFonts w:ascii="Times New Roman" w:hAnsi="Times New Roman"/>
          <w:szCs w:val="24"/>
        </w:rPr>
        <w:t>přesto se</w:t>
      </w:r>
      <w:r w:rsidRPr="00EA342B">
        <w:rPr>
          <w:rFonts w:ascii="Times New Roman" w:hAnsi="Times New Roman"/>
          <w:szCs w:val="24"/>
        </w:rPr>
        <w:t xml:space="preserve"> </w:t>
      </w:r>
      <w:r>
        <w:rPr>
          <w:rFonts w:ascii="Times New Roman" w:hAnsi="Times New Roman"/>
          <w:szCs w:val="24"/>
        </w:rPr>
        <w:t>ovšem</w:t>
      </w:r>
      <w:r w:rsidRPr="00EA342B">
        <w:rPr>
          <w:rFonts w:ascii="Times New Roman" w:hAnsi="Times New Roman"/>
          <w:szCs w:val="24"/>
        </w:rPr>
        <w:t xml:space="preserve"> nepodařilo dosáhnout jednoho ze dvou strategických cílů, a to snížit počet usmrcených osob pod stanovenou úroveň v cílovém roce prvního období, tj. v roce 2020. Kontrolované aktivity realizované MD a CSPSD podle akčních plánů k naplnění strategických dokumentů, tj. preventivně informační aktivity, kampaně a další činnosti krajských koordinátorů bezpečnosti silničního provozu, mají jednoznačně potenciál přispět k plnění strategických cílů bezpečnosti silničního provozu. NKÚ však shledal nedostatky, které negativně ovlivnily vynakládání peněžních prostředků z hlediska účelnosti a hospodárnosti. Jako nedostatečnou vyhodnotil NKÚ zejména řídící a kontrolní činnost CSPSD, která vedla k významnému snížení účelnosti a k nehospodárnosti vynakládání peněžní prostředků. Dále NKÚ shledal nedostatky v činnosti ŘSD při realizaci opatření pro bezpečnost silničního provozu vyplývajících z auditů bezpečnosti pozemních komunikací, bezpečnostních inspekcí pozemních komunikací a identifikace a řešení nehodových lokalit. Tyto nedostatky podle NKÚ snižují účelnost peněžních prostředků vynaložených na uvedené aktivity</w:t>
      </w:r>
      <w:r w:rsidR="0015140D">
        <w:t>.</w:t>
      </w:r>
    </w:p>
    <w:p w14:paraId="32F72617" w14:textId="77777777" w:rsidR="009314D3" w:rsidRPr="003F0A7C" w:rsidRDefault="009314D3" w:rsidP="009314D3">
      <w:pPr>
        <w:pStyle w:val="KOMnadp5"/>
        <w:rPr>
          <w:rFonts w:eastAsia="Times New Roman"/>
        </w:rPr>
      </w:pPr>
      <w:r>
        <w:rPr>
          <w:rFonts w:eastAsia="Times New Roman"/>
        </w:rPr>
        <w:t>Opatření k nápravě</w:t>
      </w:r>
    </w:p>
    <w:p w14:paraId="605818FA" w14:textId="5DC1843D" w:rsidR="00900C6C" w:rsidRDefault="002A4337" w:rsidP="001A2DB4">
      <w:pPr>
        <w:pStyle w:val="KOMtext"/>
      </w:pPr>
      <w:r w:rsidRPr="00EA342B">
        <w:t>Opatření, která byla přijata k některým dílčím závěrům NKÚ, byla zpravidla již realizována, popřípadě jejich realizace průběžně probíhá. K uvedeným zjištěním byla uplatněna odborná stanoviska a vysvětlení. V materiálu, kter</w:t>
      </w:r>
      <w:r>
        <w:t>ý</w:t>
      </w:r>
      <w:r w:rsidRPr="00EA342B">
        <w:t xml:space="preserve"> bude projedná</w:t>
      </w:r>
      <w:r>
        <w:t>n</w:t>
      </w:r>
      <w:r w:rsidRPr="00EA342B">
        <w:t xml:space="preserve"> vládou </w:t>
      </w:r>
      <w:r>
        <w:t>se</w:t>
      </w:r>
      <w:r w:rsidRPr="00EA342B">
        <w:t xml:space="preserve"> nápravná opatření </w:t>
      </w:r>
      <w:r>
        <w:t xml:space="preserve">týkají především </w:t>
      </w:r>
      <w:r w:rsidRPr="00EA342B">
        <w:t>akčního plánu Strategie BESIP 2021-2030 na období 2025-2026 a návazných akčních plánů Strategie BESIP 2021-2030</w:t>
      </w:r>
      <w:r>
        <w:t xml:space="preserve">. Cílem je </w:t>
      </w:r>
      <w:r w:rsidRPr="00EA342B">
        <w:t xml:space="preserve">stanovit měřitelné ukazatele a jejich cílové hodnoty u co nejvyššího počtu aktivit plánu v gesci Ministerstva dopravy </w:t>
      </w:r>
      <w:r>
        <w:t xml:space="preserve">a </w:t>
      </w:r>
      <w:r w:rsidRPr="00EA342B">
        <w:t>jeho podřízených organizací</w:t>
      </w:r>
      <w:r>
        <w:t>, a následně důsledně n</w:t>
      </w:r>
      <w:r w:rsidRPr="00EA342B">
        <w:t xml:space="preserve">aplňovat </w:t>
      </w:r>
      <w:r>
        <w:t xml:space="preserve">a vyhodnocovat </w:t>
      </w:r>
      <w:r w:rsidRPr="00EA342B">
        <w:t>Akční plán Strategie BESIP na období 2023-2024</w:t>
      </w:r>
      <w:r>
        <w:t>. Dále bude MD d</w:t>
      </w:r>
      <w:r w:rsidRPr="00EA342B">
        <w:t xml:space="preserve">efinovat měřitelné cíle v rámci přípravy jednotlivých kampaní a následně vyhodnocovat jejich splnění. </w:t>
      </w:r>
      <w:r>
        <w:t xml:space="preserve">V neposlední řadě budou </w:t>
      </w:r>
      <w:r w:rsidRPr="00EA342B">
        <w:rPr>
          <w:rFonts w:eastAsia="Calibri"/>
          <w:lang w:bidi="cs-CZ"/>
        </w:rPr>
        <w:t>krajským koordinátorům bezpečnosti silničního provozu</w:t>
      </w:r>
      <w:r>
        <w:rPr>
          <w:rFonts w:eastAsia="Calibri"/>
          <w:lang w:bidi="cs-CZ"/>
        </w:rPr>
        <w:t xml:space="preserve"> stanoveny</w:t>
      </w:r>
      <w:r w:rsidRPr="00EA342B">
        <w:rPr>
          <w:rFonts w:eastAsia="Calibri"/>
          <w:lang w:bidi="cs-CZ"/>
        </w:rPr>
        <w:t xml:space="preserve"> konkrétní cíle prostřednictvím ročního Plánu činnosti a prostřednictvím pravidelných měsíčních porad s vedením Samostatného oddělení BESIP</w:t>
      </w:r>
      <w:r w:rsidR="00D228D6">
        <w:t>.</w:t>
      </w:r>
    </w:p>
    <w:p w14:paraId="3083EFD2" w14:textId="4D24A641" w:rsidR="00900C6C" w:rsidRDefault="00900C6C" w:rsidP="00E07044">
      <w:pPr>
        <w:pStyle w:val="Default"/>
        <w:spacing w:after="87" w:line="276" w:lineRule="auto"/>
        <w:jc w:val="both"/>
        <w:rPr>
          <w:rFonts w:asciiTheme="minorHAnsi" w:eastAsia="Times New Roman" w:hAnsiTheme="minorHAnsi" w:cstheme="minorHAnsi"/>
          <w:b/>
          <w:color w:val="2E74B5" w:themeColor="accent1" w:themeShade="BF"/>
          <w:u w:val="single"/>
        </w:rPr>
      </w:pPr>
      <w:r w:rsidRPr="00FF44CD">
        <w:rPr>
          <w:rFonts w:asciiTheme="minorHAnsi" w:eastAsia="Times New Roman" w:hAnsiTheme="minorHAnsi" w:cstheme="minorHAnsi"/>
          <w:b/>
          <w:color w:val="2E74B5" w:themeColor="accent1" w:themeShade="BF"/>
          <w:u w:val="single"/>
        </w:rPr>
        <w:lastRenderedPageBreak/>
        <w:t>Kontrolní akce č.</w:t>
      </w:r>
      <w:r>
        <w:rPr>
          <w:rFonts w:asciiTheme="minorHAnsi" w:eastAsia="Times New Roman" w:hAnsiTheme="minorHAnsi" w:cstheme="minorHAnsi"/>
          <w:b/>
          <w:color w:val="2E74B5" w:themeColor="accent1" w:themeShade="BF"/>
          <w:u w:val="single"/>
        </w:rPr>
        <w:t xml:space="preserve"> </w:t>
      </w:r>
      <w:r w:rsidR="002A4337">
        <w:rPr>
          <w:rFonts w:asciiTheme="minorHAnsi" w:eastAsia="Times New Roman" w:hAnsiTheme="minorHAnsi" w:cstheme="minorHAnsi"/>
          <w:b/>
          <w:color w:val="2E74B5" w:themeColor="accent1" w:themeShade="BF"/>
          <w:u w:val="single"/>
        </w:rPr>
        <w:t>22/29</w:t>
      </w:r>
      <w:r w:rsidRPr="00FF44CD">
        <w:rPr>
          <w:rFonts w:asciiTheme="minorHAnsi" w:eastAsia="Times New Roman" w:hAnsiTheme="minorHAnsi" w:cstheme="minorHAnsi"/>
          <w:b/>
          <w:color w:val="2E74B5" w:themeColor="accent1" w:themeShade="BF"/>
          <w:u w:val="single"/>
        </w:rPr>
        <w:t xml:space="preserve"> Peněžní prostředky </w:t>
      </w:r>
      <w:r w:rsidR="00B763D0">
        <w:rPr>
          <w:rFonts w:asciiTheme="minorHAnsi" w:eastAsia="Times New Roman" w:hAnsiTheme="minorHAnsi" w:cstheme="minorHAnsi"/>
          <w:b/>
          <w:color w:val="2E74B5" w:themeColor="accent1" w:themeShade="BF"/>
          <w:u w:val="single"/>
        </w:rPr>
        <w:t xml:space="preserve">státu určené </w:t>
      </w:r>
      <w:r w:rsidR="00DE138F">
        <w:rPr>
          <w:rFonts w:asciiTheme="minorHAnsi" w:eastAsia="Times New Roman" w:hAnsiTheme="minorHAnsi" w:cstheme="minorHAnsi"/>
          <w:b/>
          <w:color w:val="2E74B5" w:themeColor="accent1" w:themeShade="BF"/>
          <w:u w:val="single"/>
        </w:rPr>
        <w:t>na přípravu, výstavbu</w:t>
      </w:r>
      <w:r w:rsidR="0059639E">
        <w:rPr>
          <w:rFonts w:asciiTheme="minorHAnsi" w:eastAsia="Times New Roman" w:hAnsiTheme="minorHAnsi" w:cstheme="minorHAnsi"/>
          <w:b/>
          <w:color w:val="2E74B5" w:themeColor="accent1" w:themeShade="BF"/>
          <w:u w:val="single"/>
        </w:rPr>
        <w:t xml:space="preserve"> </w:t>
      </w:r>
      <w:r w:rsidR="003B426B">
        <w:rPr>
          <w:rFonts w:asciiTheme="minorHAnsi" w:eastAsia="Times New Roman" w:hAnsiTheme="minorHAnsi" w:cstheme="minorHAnsi"/>
          <w:b/>
          <w:color w:val="2E74B5" w:themeColor="accent1" w:themeShade="BF"/>
          <w:u w:val="single"/>
        </w:rPr>
        <w:br/>
      </w:r>
      <w:r w:rsidR="0059639E">
        <w:rPr>
          <w:rFonts w:asciiTheme="minorHAnsi" w:eastAsia="Times New Roman" w:hAnsiTheme="minorHAnsi" w:cstheme="minorHAnsi"/>
          <w:b/>
          <w:color w:val="2E74B5" w:themeColor="accent1" w:themeShade="BF"/>
          <w:u w:val="single"/>
        </w:rPr>
        <w:t>a provozování dálnice D4</w:t>
      </w:r>
      <w:r w:rsidR="00055ACA">
        <w:rPr>
          <w:rFonts w:asciiTheme="minorHAnsi" w:eastAsia="Times New Roman" w:hAnsiTheme="minorHAnsi" w:cstheme="minorHAnsi"/>
          <w:b/>
          <w:color w:val="2E74B5" w:themeColor="accent1" w:themeShade="BF"/>
          <w:u w:val="single"/>
        </w:rPr>
        <w:t xml:space="preserve"> formou partnerství </w:t>
      </w:r>
      <w:r w:rsidR="00993F23">
        <w:rPr>
          <w:rFonts w:asciiTheme="minorHAnsi" w:eastAsia="Times New Roman" w:hAnsiTheme="minorHAnsi" w:cstheme="minorHAnsi"/>
          <w:b/>
          <w:color w:val="2E74B5" w:themeColor="accent1" w:themeShade="BF"/>
          <w:u w:val="single"/>
        </w:rPr>
        <w:t xml:space="preserve">veřejného a soukromého sektoru </w:t>
      </w:r>
      <w:r w:rsidR="00CD6A08">
        <w:rPr>
          <w:rFonts w:asciiTheme="minorHAnsi" w:eastAsia="Times New Roman" w:hAnsiTheme="minorHAnsi" w:cstheme="minorHAnsi"/>
          <w:b/>
          <w:color w:val="2E74B5" w:themeColor="accent1" w:themeShade="BF"/>
          <w:u w:val="single"/>
        </w:rPr>
        <w:t>(PPP)</w:t>
      </w:r>
    </w:p>
    <w:p w14:paraId="2E1A7689" w14:textId="0161BD71" w:rsidR="00CD6A08" w:rsidRDefault="00A97D09" w:rsidP="001A2DB4">
      <w:pPr>
        <w:pStyle w:val="KOMtext"/>
      </w:pPr>
      <w:r w:rsidRPr="00757D7D">
        <w:t xml:space="preserve">Cílem kontroly bylo prověřit, zda byly peněžní prostředky státu určené na přípravu, výstavbu a provozování dálnice D4 formou projektu PPP vynaloženy účelně, hospodárně, efektivně </w:t>
      </w:r>
      <w:r w:rsidR="003B426B">
        <w:br/>
      </w:r>
      <w:r w:rsidRPr="00757D7D">
        <w:t>a v souladu s právními předpisy</w:t>
      </w:r>
      <w:r>
        <w:t>.</w:t>
      </w:r>
    </w:p>
    <w:p w14:paraId="705EF28A" w14:textId="3C26DF9E" w:rsidR="005D3C08" w:rsidRDefault="005D3C08" w:rsidP="001A2DB4">
      <w:pPr>
        <w:pStyle w:val="KOMtext"/>
      </w:pPr>
      <w:r w:rsidRPr="00757D7D">
        <w:t xml:space="preserve">Kontrolovanými osobami bylo MD a ŘSD. Kontrola probíhala v období od listopadu 2022 </w:t>
      </w:r>
      <w:r w:rsidR="003B426B">
        <w:br/>
      </w:r>
      <w:r w:rsidRPr="00757D7D">
        <w:t xml:space="preserve">do června 2023. Kontrolovaný objem u MD činil 40,636 mil. Kč v kontrolovaným období 2013 až 2023. Kontrola u MD byla zaměřena na proces výběru koncesionáře pro PPP projekt D4, nastavení smluvních vztahů mezi MD a koncesionářem a výhodnost PPP projektu D4. Dále </w:t>
      </w:r>
      <w:r w:rsidR="003B426B">
        <w:br/>
      </w:r>
      <w:r w:rsidRPr="00757D7D">
        <w:t xml:space="preserve">se kontrola zaměřila na výdaje související s poradenskou službou a na vliv PPP projektu D4 </w:t>
      </w:r>
      <w:r w:rsidR="003B426B">
        <w:br/>
      </w:r>
      <w:r w:rsidRPr="00757D7D">
        <w:t xml:space="preserve">na státní rozpočet. U ŘSD byl kontrole podroben proces přípravy stavby nových úseků dálnice D4 včetně souvisejících objektů. Dále se kontrola zaměřila na výdaje související </w:t>
      </w:r>
      <w:r w:rsidR="003B426B">
        <w:br/>
      </w:r>
      <w:r w:rsidRPr="00757D7D">
        <w:t>s majetkoprávní přípravou dálnice D4 v rozsahu projektu</w:t>
      </w:r>
      <w:r>
        <w:t xml:space="preserve"> PPP D4.</w:t>
      </w:r>
    </w:p>
    <w:p w14:paraId="22549AF5" w14:textId="22C977D5" w:rsidR="005D3C08" w:rsidRPr="00F65955" w:rsidRDefault="005D3C08" w:rsidP="001A2DB4">
      <w:pPr>
        <w:pStyle w:val="KOMtext"/>
      </w:pPr>
      <w:r w:rsidRPr="006B6D61">
        <w:t>Kontrolní závěr a stanovisko MD dosud nebyly projednány vládou ČR.</w:t>
      </w:r>
    </w:p>
    <w:p w14:paraId="6CBF0E88" w14:textId="77777777" w:rsidR="002C75E8" w:rsidRPr="003F0A7C" w:rsidRDefault="002C75E8" w:rsidP="002C75E8">
      <w:pPr>
        <w:pStyle w:val="KOMnadp5"/>
        <w:rPr>
          <w:rFonts w:eastAsia="Times New Roman"/>
        </w:rPr>
      </w:pPr>
      <w:r w:rsidRPr="003F0A7C">
        <w:rPr>
          <w:rFonts w:eastAsia="Times New Roman"/>
        </w:rPr>
        <w:t>Kontrolní zjištění</w:t>
      </w:r>
    </w:p>
    <w:p w14:paraId="7CABFABD" w14:textId="79EF0E09" w:rsidR="002C75E8" w:rsidRDefault="002A4337" w:rsidP="001A2DB4">
      <w:pPr>
        <w:pStyle w:val="KOMtext"/>
      </w:pPr>
      <w:r w:rsidRPr="00EA342B">
        <w:t>NKÚ v kontrolním závěru konstatoval</w:t>
      </w:r>
      <w:r>
        <w:t xml:space="preserve"> opoždění zahájení </w:t>
      </w:r>
      <w:r w:rsidRPr="00EA342B">
        <w:t xml:space="preserve">výstavby vybraných úseků dálnice D4 formou PPP projektu </w:t>
      </w:r>
      <w:r>
        <w:t xml:space="preserve">téměř o 4 roky, </w:t>
      </w:r>
      <w:r w:rsidRPr="00EA342B">
        <w:t>nedodrž</w:t>
      </w:r>
      <w:r>
        <w:t>ení</w:t>
      </w:r>
      <w:r w:rsidRPr="00EA342B">
        <w:t xml:space="preserve"> termín</w:t>
      </w:r>
      <w:r>
        <w:t>ů</w:t>
      </w:r>
      <w:r w:rsidRPr="00EA342B">
        <w:t xml:space="preserve"> vyplývající z koncesionářské smlouvy pro předání dílčích stavebních povolení u dvou úseků</w:t>
      </w:r>
      <w:r>
        <w:t xml:space="preserve">, nestanovení </w:t>
      </w:r>
      <w:r w:rsidRPr="00EA342B">
        <w:t>výdaj</w:t>
      </w:r>
      <w:r>
        <w:t>ů</w:t>
      </w:r>
      <w:r w:rsidRPr="00EA342B">
        <w:t xml:space="preserve"> na provoz, obnovu a údržbu dálnic pro potřeby PPP projektu</w:t>
      </w:r>
      <w:r w:rsidR="00EA76E6">
        <w:t>.</w:t>
      </w:r>
    </w:p>
    <w:p w14:paraId="31D4BF69" w14:textId="77777777" w:rsidR="00EA76E6" w:rsidRPr="003F0A7C" w:rsidRDefault="00EA76E6" w:rsidP="00EA76E6">
      <w:pPr>
        <w:pStyle w:val="KOMnadp5"/>
        <w:rPr>
          <w:rFonts w:eastAsia="Times New Roman"/>
        </w:rPr>
      </w:pPr>
      <w:r>
        <w:rPr>
          <w:rFonts w:eastAsia="Times New Roman"/>
        </w:rPr>
        <w:t>Opatření k nápravě</w:t>
      </w:r>
    </w:p>
    <w:p w14:paraId="37E05CE6" w14:textId="2493850B" w:rsidR="00230E8A" w:rsidRPr="0097213C" w:rsidRDefault="002A4337" w:rsidP="001A2DB4">
      <w:pPr>
        <w:pStyle w:val="KOMtext"/>
      </w:pPr>
      <w:r w:rsidRPr="00EA342B">
        <w:t>Opatření, která byla přijata k některým dílčím závěrům NKÚ, byla zpravidla již realizována, popřípadě jejich realizace průběžně probíhá. K uvedeným zjištěním byla uplatněna odborná stanoviska a vysvětlení. V materiálu, kter</w:t>
      </w:r>
      <w:r>
        <w:t>ý</w:t>
      </w:r>
      <w:r w:rsidRPr="00EA342B">
        <w:t xml:space="preserve"> bude projednán vládou </w:t>
      </w:r>
      <w:r>
        <w:t xml:space="preserve">se </w:t>
      </w:r>
      <w:r w:rsidRPr="00EA342B">
        <w:t xml:space="preserve">nápravná opatření </w:t>
      </w:r>
      <w:r>
        <w:t>týkají zejména p</w:t>
      </w:r>
      <w:r w:rsidRPr="00EA342B">
        <w:t>ř</w:t>
      </w:r>
      <w:r>
        <w:t>í</w:t>
      </w:r>
      <w:r w:rsidRPr="00EA342B">
        <w:t>prav</w:t>
      </w:r>
      <w:r>
        <w:t>ě</w:t>
      </w:r>
      <w:r w:rsidRPr="00EA342B">
        <w:t xml:space="preserve"> </w:t>
      </w:r>
      <w:r>
        <w:t xml:space="preserve">takových </w:t>
      </w:r>
      <w:r w:rsidRPr="00EA342B">
        <w:t>zadávací</w:t>
      </w:r>
      <w:r>
        <w:t>ch</w:t>
      </w:r>
      <w:r w:rsidRPr="00EA342B">
        <w:t xml:space="preserve"> podmín</w:t>
      </w:r>
      <w:r>
        <w:t>ek</w:t>
      </w:r>
      <w:r w:rsidRPr="00EA342B">
        <w:t xml:space="preserve"> pro výběr poradců pro jednotlivé projekty PPP, které budou obecně akceptovatelné trhem, což by mělo přispět ke snížení rizik prodlení v procesování jednotlivých veřejných zakázek na výběr poradců.</w:t>
      </w:r>
      <w:r>
        <w:t xml:space="preserve"> Dále bude snahou MD s</w:t>
      </w:r>
      <w:r w:rsidRPr="00EA342B">
        <w:t>nížit míru rizika státu ve smyslu závazků, které stran dokončení investorské přípravy na sebe přejímá.</w:t>
      </w:r>
      <w:r>
        <w:t xml:space="preserve"> Tzn. snažit se </w:t>
      </w:r>
      <w:r w:rsidRPr="00EA342B">
        <w:t>zajistit právní moc všech stavebních povolení před uzavřením koncesionářské smlouvy, včetně překonání okamžiku prekluzivní lhůty pro možnost podání správní žaloby</w:t>
      </w:r>
      <w:r w:rsidR="00EA76E6" w:rsidRPr="00C56F73">
        <w:t>.</w:t>
      </w:r>
    </w:p>
    <w:p w14:paraId="58FD2432" w14:textId="2FD34EBC" w:rsidR="007F57F4" w:rsidRPr="006B6D61" w:rsidRDefault="00230E8A" w:rsidP="00FE67C5">
      <w:pPr>
        <w:pStyle w:val="KOMnadp2"/>
      </w:pPr>
      <w:bookmarkStart w:id="1283" w:name="_Toc128397757"/>
      <w:bookmarkStart w:id="1284" w:name="_Toc128397890"/>
      <w:bookmarkStart w:id="1285" w:name="_Toc128398111"/>
      <w:bookmarkStart w:id="1286" w:name="_Toc128398451"/>
      <w:bookmarkStart w:id="1287" w:name="_Toc128398580"/>
      <w:bookmarkStart w:id="1288" w:name="_Toc128398793"/>
      <w:bookmarkStart w:id="1289" w:name="_Toc128400109"/>
      <w:bookmarkStart w:id="1290" w:name="_Toc128401349"/>
      <w:bookmarkStart w:id="1291" w:name="_Toc128401477"/>
      <w:bookmarkStart w:id="1292" w:name="_Toc128401964"/>
      <w:bookmarkStart w:id="1293" w:name="_Toc128397758"/>
      <w:bookmarkStart w:id="1294" w:name="_Toc128397891"/>
      <w:bookmarkStart w:id="1295" w:name="_Toc128398112"/>
      <w:bookmarkStart w:id="1296" w:name="_Toc128398452"/>
      <w:bookmarkStart w:id="1297" w:name="_Toc128398581"/>
      <w:bookmarkStart w:id="1298" w:name="_Toc128398794"/>
      <w:bookmarkStart w:id="1299" w:name="_Toc128400110"/>
      <w:bookmarkStart w:id="1300" w:name="_Toc128401350"/>
      <w:bookmarkStart w:id="1301" w:name="_Toc128401478"/>
      <w:bookmarkStart w:id="1302" w:name="_Toc128401965"/>
      <w:bookmarkStart w:id="1303" w:name="_Toc128397759"/>
      <w:bookmarkStart w:id="1304" w:name="_Toc128397892"/>
      <w:bookmarkStart w:id="1305" w:name="_Toc128398113"/>
      <w:bookmarkStart w:id="1306" w:name="_Toc128398453"/>
      <w:bookmarkStart w:id="1307" w:name="_Toc128398582"/>
      <w:bookmarkStart w:id="1308" w:name="_Toc128398795"/>
      <w:bookmarkStart w:id="1309" w:name="_Toc128400111"/>
      <w:bookmarkStart w:id="1310" w:name="_Toc128401351"/>
      <w:bookmarkStart w:id="1311" w:name="_Toc128401479"/>
      <w:bookmarkStart w:id="1312" w:name="_Toc128401966"/>
      <w:bookmarkStart w:id="1313" w:name="_Toc128400112"/>
      <w:bookmarkStart w:id="1314" w:name="_Toc162269294"/>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r w:rsidRPr="006B6D61">
        <w:t>Ve</w:t>
      </w:r>
      <w:r w:rsidR="004667F4" w:rsidRPr="006B6D61">
        <w:t>řejno</w:t>
      </w:r>
      <w:r w:rsidR="006B2364">
        <w:t>s</w:t>
      </w:r>
      <w:r w:rsidR="004667F4" w:rsidRPr="006B6D61">
        <w:t>právní kontroly provedené MD</w:t>
      </w:r>
      <w:bookmarkEnd w:id="1313"/>
      <w:bookmarkEnd w:id="1314"/>
    </w:p>
    <w:p w14:paraId="0368392F" w14:textId="5748F903" w:rsidR="005E66F3" w:rsidRPr="004465A9" w:rsidRDefault="006B2364" w:rsidP="005E66F3">
      <w:pPr>
        <w:pStyle w:val="KOMtext"/>
        <w:rPr>
          <w:b/>
          <w:bCs/>
          <w:color w:val="2E74B5" w:themeColor="accent1" w:themeShade="BF"/>
        </w:rPr>
      </w:pPr>
      <w:bookmarkStart w:id="1315" w:name="_Toc128397764"/>
      <w:bookmarkStart w:id="1316" w:name="_Toc128397897"/>
      <w:bookmarkStart w:id="1317" w:name="_Toc128398118"/>
      <w:bookmarkStart w:id="1318" w:name="_Toc128398458"/>
      <w:bookmarkStart w:id="1319" w:name="_Toc128398587"/>
      <w:bookmarkStart w:id="1320" w:name="_Toc128398800"/>
      <w:bookmarkStart w:id="1321" w:name="_Toc128400116"/>
      <w:bookmarkStart w:id="1322" w:name="_Toc128401356"/>
      <w:bookmarkStart w:id="1323" w:name="_Toc128401484"/>
      <w:bookmarkStart w:id="1324" w:name="_Toc128401971"/>
      <w:bookmarkStart w:id="1325" w:name="_Toc128400117"/>
      <w:bookmarkEnd w:id="1315"/>
      <w:bookmarkEnd w:id="1316"/>
      <w:bookmarkEnd w:id="1317"/>
      <w:bookmarkEnd w:id="1318"/>
      <w:bookmarkEnd w:id="1319"/>
      <w:bookmarkEnd w:id="1320"/>
      <w:bookmarkEnd w:id="1321"/>
      <w:bookmarkEnd w:id="1322"/>
      <w:bookmarkEnd w:id="1323"/>
      <w:bookmarkEnd w:id="1324"/>
      <w:r w:rsidRPr="004465A9">
        <w:rPr>
          <w:b/>
          <w:bCs/>
          <w:color w:val="2E74B5" w:themeColor="accent1" w:themeShade="BF"/>
        </w:rPr>
        <w:t>Veřejnosprávní kontroly provedené Řídícím orgánem OPD</w:t>
      </w:r>
    </w:p>
    <w:p w14:paraId="5A51B351"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t>Řídící orgán Operačního programu doprava (OPD) vykonává veřejnosprávní kontroly u příjemců finančních prostředků z tohoto programu. Systém kontrol zahrnuje:</w:t>
      </w:r>
    </w:p>
    <w:p w14:paraId="0B5919C6" w14:textId="77777777" w:rsidR="004465A9" w:rsidRPr="004465A9" w:rsidRDefault="004465A9" w:rsidP="004465A9">
      <w:pPr>
        <w:pStyle w:val="ODRKY"/>
        <w:spacing w:before="60" w:line="276" w:lineRule="auto"/>
        <w:rPr>
          <w:rFonts w:asciiTheme="minorHAnsi" w:hAnsiTheme="minorHAnsi" w:cstheme="minorHAnsi"/>
        </w:rPr>
      </w:pPr>
      <w:r w:rsidRPr="004465A9">
        <w:rPr>
          <w:rFonts w:asciiTheme="minorHAnsi" w:hAnsiTheme="minorHAnsi" w:cstheme="minorHAnsi"/>
        </w:rPr>
        <w:lastRenderedPageBreak/>
        <w:t>kontroly udržitelnosti (stálosti) operací,</w:t>
      </w:r>
    </w:p>
    <w:p w14:paraId="743E7141" w14:textId="77777777" w:rsidR="004465A9" w:rsidRPr="004465A9" w:rsidRDefault="004465A9" w:rsidP="004465A9">
      <w:pPr>
        <w:pStyle w:val="ODRKY"/>
        <w:spacing w:before="60" w:line="276" w:lineRule="auto"/>
        <w:rPr>
          <w:rFonts w:asciiTheme="minorHAnsi" w:hAnsiTheme="minorHAnsi" w:cstheme="minorHAnsi"/>
        </w:rPr>
      </w:pPr>
      <w:r w:rsidRPr="004465A9">
        <w:rPr>
          <w:rFonts w:asciiTheme="minorHAnsi" w:hAnsiTheme="minorHAnsi" w:cstheme="minorHAnsi"/>
        </w:rPr>
        <w:t>kontroly delegovaných pravomocí,</w:t>
      </w:r>
    </w:p>
    <w:p w14:paraId="1A8BD0E3" w14:textId="77777777" w:rsidR="004465A9" w:rsidRPr="004465A9" w:rsidRDefault="004465A9" w:rsidP="004465A9">
      <w:pPr>
        <w:pStyle w:val="ODRKY"/>
        <w:spacing w:before="60" w:line="276" w:lineRule="auto"/>
        <w:rPr>
          <w:rFonts w:asciiTheme="minorHAnsi" w:hAnsiTheme="minorHAnsi" w:cstheme="minorHAnsi"/>
        </w:rPr>
      </w:pPr>
      <w:r w:rsidRPr="004465A9">
        <w:rPr>
          <w:rFonts w:asciiTheme="minorHAnsi" w:hAnsiTheme="minorHAnsi" w:cstheme="minorHAnsi"/>
        </w:rPr>
        <w:t>kontroly fyzické realizace projektů na projektech administrovaných prostřednictvím Řídícího orgánu (mimo SFDI), vč. kontroly technické pomoci,</w:t>
      </w:r>
    </w:p>
    <w:p w14:paraId="00D95B20" w14:textId="77777777" w:rsidR="004465A9" w:rsidRPr="004465A9" w:rsidRDefault="004465A9" w:rsidP="004465A9">
      <w:pPr>
        <w:pStyle w:val="ODRKY"/>
        <w:spacing w:before="60" w:line="276" w:lineRule="auto"/>
        <w:rPr>
          <w:rFonts w:asciiTheme="minorHAnsi" w:hAnsiTheme="minorHAnsi" w:cstheme="minorHAnsi"/>
        </w:rPr>
      </w:pPr>
      <w:r w:rsidRPr="004465A9">
        <w:rPr>
          <w:rFonts w:asciiTheme="minorHAnsi" w:hAnsiTheme="minorHAnsi" w:cstheme="minorHAnsi"/>
        </w:rPr>
        <w:t>kontroly zadávání veřejných zakázek.</w:t>
      </w:r>
    </w:p>
    <w:p w14:paraId="2D89991E" w14:textId="77777777" w:rsidR="004465A9" w:rsidRPr="004465A9" w:rsidRDefault="004465A9" w:rsidP="004465A9">
      <w:pPr>
        <w:pStyle w:val="NADPIS40"/>
        <w:rPr>
          <w:rFonts w:asciiTheme="minorHAnsi" w:hAnsiTheme="minorHAnsi" w:cstheme="minorHAnsi"/>
          <w:b w:val="0"/>
          <w:bCs/>
        </w:rPr>
      </w:pPr>
      <w:r w:rsidRPr="004465A9">
        <w:rPr>
          <w:rFonts w:asciiTheme="minorHAnsi" w:hAnsiTheme="minorHAnsi" w:cstheme="minorHAnsi"/>
          <w:bCs/>
        </w:rPr>
        <w:t xml:space="preserve">OPD </w:t>
      </w:r>
      <w:proofErr w:type="gramStart"/>
      <w:r w:rsidRPr="004465A9">
        <w:rPr>
          <w:rFonts w:asciiTheme="minorHAnsi" w:hAnsiTheme="minorHAnsi" w:cstheme="minorHAnsi"/>
          <w:bCs/>
        </w:rPr>
        <w:t>2007 – 2013</w:t>
      </w:r>
      <w:proofErr w:type="gramEnd"/>
    </w:p>
    <w:p w14:paraId="12C3DA1C" w14:textId="77777777" w:rsidR="004465A9" w:rsidRPr="004465A9" w:rsidRDefault="004465A9" w:rsidP="004465A9">
      <w:pPr>
        <w:pStyle w:val="NADPIS50"/>
        <w:rPr>
          <w:rFonts w:asciiTheme="minorHAnsi" w:hAnsiTheme="minorHAnsi" w:cstheme="minorHAnsi"/>
        </w:rPr>
      </w:pPr>
      <w:bookmarkStart w:id="1326" w:name="_Toc61444084"/>
      <w:bookmarkStart w:id="1327" w:name="_Toc63071499"/>
      <w:r w:rsidRPr="004465A9">
        <w:rPr>
          <w:rFonts w:asciiTheme="minorHAnsi" w:hAnsiTheme="minorHAnsi" w:cstheme="minorHAnsi"/>
        </w:rPr>
        <w:t>Kontroly udržitelnosti (stálosti) operací</w:t>
      </w:r>
      <w:bookmarkEnd w:id="1326"/>
      <w:bookmarkEnd w:id="1327"/>
    </w:p>
    <w:p w14:paraId="7E932AB7" w14:textId="77777777" w:rsidR="004465A9" w:rsidRPr="004465A9" w:rsidRDefault="004465A9" w:rsidP="004465A9">
      <w:pPr>
        <w:pStyle w:val="TEXT"/>
        <w:spacing w:line="276" w:lineRule="auto"/>
        <w:ind w:firstLine="0"/>
        <w:rPr>
          <w:rFonts w:asciiTheme="minorHAnsi" w:hAnsiTheme="minorHAnsi" w:cstheme="minorHAnsi"/>
          <w:bCs/>
        </w:rPr>
      </w:pPr>
      <w:r w:rsidRPr="004465A9">
        <w:rPr>
          <w:rFonts w:asciiTheme="minorHAnsi" w:hAnsiTheme="minorHAnsi" w:cstheme="minorHAnsi"/>
        </w:rPr>
        <w:t xml:space="preserve">Dle plánu kontrolní činnosti 2023 byl ke kontrole udržitelnosti operací vybrán 1 projekt, který byl zároveň jediným projektem, kterému končila 10letá udržitelnost v nejbližším období. Při kontrolách udržitelnosti operací dokončených v roce 2023 nebyla identifikována </w:t>
      </w:r>
      <w:r w:rsidRPr="004465A9">
        <w:rPr>
          <w:rFonts w:asciiTheme="minorHAnsi" w:hAnsiTheme="minorHAnsi" w:cstheme="minorHAnsi"/>
          <w:bCs/>
        </w:rPr>
        <w:t>žádná zjištění.</w:t>
      </w:r>
    </w:p>
    <w:p w14:paraId="6EDA9C10" w14:textId="77777777" w:rsidR="004465A9" w:rsidRPr="004465A9" w:rsidRDefault="004465A9" w:rsidP="004465A9">
      <w:pPr>
        <w:pStyle w:val="TEXT"/>
        <w:spacing w:line="276" w:lineRule="auto"/>
        <w:rPr>
          <w:rFonts w:asciiTheme="minorHAnsi" w:hAnsiTheme="minorHAnsi" w:cstheme="minorHAnsi"/>
          <w:b/>
        </w:rPr>
      </w:pPr>
      <w:r w:rsidRPr="004465A9">
        <w:rPr>
          <w:rFonts w:asciiTheme="minorHAnsi" w:hAnsiTheme="minorHAnsi" w:cstheme="minorHAnsi"/>
          <w:bCs/>
        </w:rPr>
        <w:t xml:space="preserve">Plus ukončeny </w:t>
      </w:r>
      <w:r w:rsidRPr="004465A9">
        <w:rPr>
          <w:rFonts w:asciiTheme="minorHAnsi" w:hAnsiTheme="minorHAnsi" w:cstheme="minorHAnsi"/>
        </w:rPr>
        <w:t>kontroly udržitelnosti operací na 2 projektech OPD1.</w:t>
      </w:r>
    </w:p>
    <w:p w14:paraId="53A1F17F" w14:textId="77777777" w:rsidR="004465A9" w:rsidRPr="004465A9" w:rsidRDefault="004465A9" w:rsidP="004465A9">
      <w:pPr>
        <w:pStyle w:val="NADPIS40"/>
        <w:spacing w:line="276" w:lineRule="auto"/>
        <w:rPr>
          <w:rFonts w:asciiTheme="minorHAnsi" w:hAnsiTheme="minorHAnsi" w:cstheme="minorHAnsi"/>
          <w:b w:val="0"/>
          <w:bCs/>
        </w:rPr>
      </w:pPr>
      <w:bookmarkStart w:id="1328" w:name="_Toc61444085"/>
      <w:bookmarkStart w:id="1329" w:name="_Toc63071500"/>
      <w:r w:rsidRPr="004465A9">
        <w:rPr>
          <w:rFonts w:asciiTheme="minorHAnsi" w:hAnsiTheme="minorHAnsi" w:cstheme="minorHAnsi"/>
          <w:bCs/>
        </w:rPr>
        <w:t xml:space="preserve">OPD </w:t>
      </w:r>
      <w:proofErr w:type="gramStart"/>
      <w:r w:rsidRPr="004465A9">
        <w:rPr>
          <w:rFonts w:asciiTheme="minorHAnsi" w:hAnsiTheme="minorHAnsi" w:cstheme="minorHAnsi"/>
          <w:bCs/>
        </w:rPr>
        <w:t>2014 – 2020</w:t>
      </w:r>
      <w:bookmarkEnd w:id="1328"/>
      <w:bookmarkEnd w:id="1329"/>
      <w:proofErr w:type="gramEnd"/>
    </w:p>
    <w:p w14:paraId="06BA6D55" w14:textId="77777777" w:rsidR="004465A9" w:rsidRPr="004465A9" w:rsidRDefault="004465A9" w:rsidP="004465A9">
      <w:pPr>
        <w:pStyle w:val="TEXT"/>
        <w:spacing w:line="276" w:lineRule="auto"/>
        <w:ind w:firstLine="0"/>
        <w:rPr>
          <w:rFonts w:asciiTheme="minorHAnsi" w:hAnsiTheme="minorHAnsi" w:cstheme="minorHAnsi"/>
          <w:bCs/>
        </w:rPr>
      </w:pPr>
      <w:r w:rsidRPr="004465A9">
        <w:rPr>
          <w:rFonts w:asciiTheme="minorHAnsi" w:hAnsiTheme="minorHAnsi" w:cstheme="minorHAnsi"/>
          <w:bCs/>
        </w:rPr>
        <w:t xml:space="preserve">V rámci Operačního programu Doprava, programové období </w:t>
      </w:r>
      <w:proofErr w:type="gramStart"/>
      <w:r w:rsidRPr="004465A9">
        <w:rPr>
          <w:rFonts w:asciiTheme="minorHAnsi" w:hAnsiTheme="minorHAnsi" w:cstheme="minorHAnsi"/>
          <w:bCs/>
        </w:rPr>
        <w:t>2014 – 2020</w:t>
      </w:r>
      <w:proofErr w:type="gramEnd"/>
      <w:r w:rsidRPr="004465A9">
        <w:rPr>
          <w:rFonts w:asciiTheme="minorHAnsi" w:hAnsiTheme="minorHAnsi" w:cstheme="minorHAnsi"/>
          <w:bCs/>
        </w:rPr>
        <w:t xml:space="preserve"> byly v roce 2023 realizovány kontroly zadávání veřejných zakázek, kontroly fyzické realizace a kontroly stálosti operací. S ohledem na skutečnost, že v roce 2023 probíhala kontrola delegovaných pravomocí zahájená dne 8.12.2021, nebyla další kontrola plánována ani zahajována.</w:t>
      </w:r>
    </w:p>
    <w:p w14:paraId="39010157" w14:textId="77777777" w:rsidR="004465A9" w:rsidRPr="004465A9" w:rsidRDefault="004465A9" w:rsidP="004465A9">
      <w:pPr>
        <w:pStyle w:val="NADPIS50"/>
        <w:spacing w:line="276" w:lineRule="auto"/>
        <w:rPr>
          <w:rFonts w:asciiTheme="minorHAnsi" w:hAnsiTheme="minorHAnsi" w:cstheme="minorHAnsi"/>
        </w:rPr>
      </w:pPr>
      <w:r w:rsidRPr="004465A9">
        <w:rPr>
          <w:rFonts w:asciiTheme="minorHAnsi" w:hAnsiTheme="minorHAnsi" w:cstheme="minorHAnsi"/>
        </w:rPr>
        <w:t>Kontroly udržitelnosti (stálosti) operací</w:t>
      </w:r>
    </w:p>
    <w:p w14:paraId="769D2791"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t>V roce 2023 byla ukončena kontrola udržitelnosti operací na 1 projektu OPD2. Při kontrole nebyla identifikována žádná zjištění. Současně byly v roce 2023 zahájeny kontroly na 7 projektech.</w:t>
      </w:r>
    </w:p>
    <w:p w14:paraId="0603D207" w14:textId="77777777" w:rsidR="004465A9" w:rsidRPr="004465A9" w:rsidRDefault="004465A9" w:rsidP="004465A9">
      <w:pPr>
        <w:pStyle w:val="NADPIS50"/>
        <w:spacing w:line="276" w:lineRule="auto"/>
        <w:rPr>
          <w:rFonts w:asciiTheme="minorHAnsi" w:hAnsiTheme="minorHAnsi" w:cstheme="minorHAnsi"/>
        </w:rPr>
      </w:pPr>
      <w:bookmarkStart w:id="1330" w:name="_Toc61444089"/>
      <w:bookmarkStart w:id="1331" w:name="_Toc63071502"/>
      <w:r w:rsidRPr="004465A9">
        <w:rPr>
          <w:rFonts w:asciiTheme="minorHAnsi" w:hAnsiTheme="minorHAnsi" w:cstheme="minorHAnsi"/>
        </w:rPr>
        <w:t>Kontroly delegovaných pravomocí</w:t>
      </w:r>
    </w:p>
    <w:p w14:paraId="5B9CFCD4" w14:textId="77777777" w:rsidR="004465A9" w:rsidRPr="004465A9" w:rsidRDefault="004465A9" w:rsidP="004465A9">
      <w:pPr>
        <w:spacing w:line="276" w:lineRule="auto"/>
        <w:ind w:firstLine="720"/>
        <w:rPr>
          <w:rFonts w:cstheme="minorHAnsi"/>
          <w:sz w:val="24"/>
          <w:szCs w:val="24"/>
        </w:rPr>
      </w:pPr>
      <w:r w:rsidRPr="004465A9">
        <w:rPr>
          <w:rFonts w:cstheme="minorHAnsi"/>
          <w:sz w:val="24"/>
          <w:szCs w:val="24"/>
        </w:rPr>
        <w:t>V roce 2023 nebyla zahájena kontrola delegovaných pravomocí, protože v roce 2021 již byla zahájena jedna kontrola delegovaných pravomocí. Při kontrole byla identifikována tato zjištění:</w:t>
      </w:r>
    </w:p>
    <w:p w14:paraId="309C4A40" w14:textId="77777777" w:rsidR="004465A9" w:rsidRPr="004465A9" w:rsidRDefault="004465A9" w:rsidP="004465A9">
      <w:pPr>
        <w:pStyle w:val="TEXT"/>
        <w:spacing w:before="0" w:line="276" w:lineRule="auto"/>
        <w:ind w:left="709"/>
        <w:rPr>
          <w:rFonts w:asciiTheme="minorHAnsi" w:hAnsiTheme="minorHAnsi" w:cstheme="minorHAnsi"/>
        </w:rPr>
      </w:pPr>
      <w:r w:rsidRPr="004465A9">
        <w:rPr>
          <w:rFonts w:asciiTheme="minorHAnsi" w:hAnsiTheme="minorHAnsi" w:cstheme="minorHAnsi"/>
        </w:rPr>
        <w:t>1. Neodeslání ročního plánu 2021 na ŘO OPD.</w:t>
      </w:r>
    </w:p>
    <w:p w14:paraId="76D94F0A" w14:textId="77777777" w:rsidR="004465A9" w:rsidRPr="004465A9" w:rsidRDefault="004465A9" w:rsidP="004465A9">
      <w:pPr>
        <w:pStyle w:val="TEXT"/>
        <w:spacing w:before="0" w:line="276" w:lineRule="auto"/>
        <w:ind w:left="709"/>
        <w:rPr>
          <w:rFonts w:asciiTheme="minorHAnsi" w:hAnsiTheme="minorHAnsi" w:cstheme="minorHAnsi"/>
        </w:rPr>
      </w:pPr>
      <w:r w:rsidRPr="004465A9">
        <w:rPr>
          <w:rFonts w:asciiTheme="minorHAnsi" w:hAnsiTheme="minorHAnsi" w:cstheme="minorHAnsi"/>
        </w:rPr>
        <w:t>2. Neinformování ŘO OPD o ukončení veřejnosprávní kontroly u dvou projektů.</w:t>
      </w:r>
    </w:p>
    <w:p w14:paraId="09BA3204" w14:textId="77777777" w:rsidR="004465A9" w:rsidRPr="004465A9" w:rsidRDefault="004465A9" w:rsidP="004465A9">
      <w:pPr>
        <w:pStyle w:val="TEXT"/>
        <w:spacing w:before="0" w:line="276" w:lineRule="auto"/>
        <w:ind w:left="709"/>
        <w:rPr>
          <w:rFonts w:asciiTheme="minorHAnsi" w:hAnsiTheme="minorHAnsi" w:cstheme="minorHAnsi"/>
        </w:rPr>
      </w:pPr>
      <w:r w:rsidRPr="004465A9">
        <w:rPr>
          <w:rFonts w:asciiTheme="minorHAnsi" w:hAnsiTheme="minorHAnsi" w:cstheme="minorHAnsi"/>
        </w:rPr>
        <w:t>3. V případě dvou podezření na nesrovnalost neodeslal ZS informační email na ŘO O430.</w:t>
      </w:r>
    </w:p>
    <w:p w14:paraId="471D6ED6" w14:textId="77777777" w:rsidR="004465A9" w:rsidRPr="004465A9" w:rsidRDefault="004465A9" w:rsidP="004465A9">
      <w:pPr>
        <w:pStyle w:val="NADPIS50"/>
        <w:spacing w:line="276" w:lineRule="auto"/>
        <w:rPr>
          <w:rFonts w:asciiTheme="minorHAnsi" w:hAnsiTheme="minorHAnsi" w:cstheme="minorHAnsi"/>
        </w:rPr>
      </w:pPr>
      <w:r w:rsidRPr="004465A9">
        <w:rPr>
          <w:rFonts w:asciiTheme="minorHAnsi" w:hAnsiTheme="minorHAnsi" w:cstheme="minorHAnsi"/>
        </w:rPr>
        <w:t>Kontroly zadávání veřejných zakázek</w:t>
      </w:r>
      <w:bookmarkEnd w:id="1330"/>
      <w:bookmarkEnd w:id="1331"/>
      <w:r w:rsidRPr="004465A9">
        <w:rPr>
          <w:rFonts w:asciiTheme="minorHAnsi" w:hAnsiTheme="minorHAnsi" w:cstheme="minorHAnsi"/>
        </w:rPr>
        <w:t xml:space="preserve"> </w:t>
      </w:r>
    </w:p>
    <w:p w14:paraId="4F31E819"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t xml:space="preserve">V roce 2023 bylo zahájeno celkem 36 kontrol zadávání veřejných zakázek. Z nich bylo uzavřeno 20 a 16 bude dokončováno v průběhu roku 2024. </w:t>
      </w:r>
    </w:p>
    <w:p w14:paraId="48A1F78D"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t xml:space="preserve">V roce 2023 bylo ukončeno 20 kontrol zadávání veřejných zakázek, které byly zahájeny v roce 2022 (ve dvou případech v roce 2021). </w:t>
      </w:r>
    </w:p>
    <w:p w14:paraId="08A2A85A" w14:textId="77777777" w:rsidR="004465A9" w:rsidRPr="004465A9" w:rsidRDefault="004465A9" w:rsidP="004465A9">
      <w:pPr>
        <w:pStyle w:val="NADPIS50"/>
        <w:spacing w:line="276" w:lineRule="auto"/>
        <w:rPr>
          <w:rFonts w:asciiTheme="minorHAnsi" w:hAnsiTheme="minorHAnsi" w:cstheme="minorHAnsi"/>
        </w:rPr>
      </w:pPr>
      <w:r w:rsidRPr="004465A9">
        <w:rPr>
          <w:rFonts w:asciiTheme="minorHAnsi" w:hAnsiTheme="minorHAnsi" w:cstheme="minorHAnsi"/>
        </w:rPr>
        <w:t xml:space="preserve">Kontroly fyzické realizace </w:t>
      </w:r>
    </w:p>
    <w:p w14:paraId="63214D26"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lastRenderedPageBreak/>
        <w:t>V roce 2023 byla ukončena 1 kontrola fyzické realizace, 4 kontroly budou ukončeny v roce 2024.</w:t>
      </w:r>
    </w:p>
    <w:p w14:paraId="0F999D73" w14:textId="77777777" w:rsidR="004465A9" w:rsidRPr="004465A9" w:rsidRDefault="004465A9" w:rsidP="004465A9">
      <w:pPr>
        <w:pStyle w:val="NADPIS50"/>
        <w:spacing w:line="276" w:lineRule="auto"/>
        <w:rPr>
          <w:rFonts w:asciiTheme="minorHAnsi" w:hAnsiTheme="minorHAnsi" w:cstheme="minorHAnsi"/>
        </w:rPr>
      </w:pPr>
      <w:r w:rsidRPr="004465A9">
        <w:rPr>
          <w:rFonts w:asciiTheme="minorHAnsi" w:hAnsiTheme="minorHAnsi" w:cstheme="minorHAnsi"/>
        </w:rPr>
        <w:t>Kontroly Technické pomoci</w:t>
      </w:r>
    </w:p>
    <w:p w14:paraId="1339F4CF" w14:textId="77777777" w:rsidR="004465A9" w:rsidRPr="004465A9" w:rsidRDefault="004465A9" w:rsidP="004465A9">
      <w:pPr>
        <w:pStyle w:val="TEXT"/>
        <w:spacing w:line="276" w:lineRule="auto"/>
        <w:ind w:firstLine="0"/>
        <w:rPr>
          <w:rFonts w:asciiTheme="minorHAnsi" w:hAnsiTheme="minorHAnsi" w:cstheme="minorHAnsi"/>
          <w:bCs/>
        </w:rPr>
      </w:pPr>
      <w:r w:rsidRPr="004465A9">
        <w:rPr>
          <w:rFonts w:asciiTheme="minorHAnsi" w:hAnsiTheme="minorHAnsi" w:cstheme="minorHAnsi"/>
          <w:bCs/>
        </w:rPr>
        <w:t>V roce 2023 byly zahájeny 3 kontroly technické pomoci. V téže roce se podařilo ukončit 1 kontrolu fyzické realizace na projektu technické pomoci (CZ.04.4.125/0.0/0.0/15_005/0000001), tato byla ukončena bez zjištění.</w:t>
      </w:r>
    </w:p>
    <w:p w14:paraId="31716D3C" w14:textId="77777777" w:rsidR="004465A9" w:rsidRPr="004465A9" w:rsidRDefault="004465A9" w:rsidP="004465A9">
      <w:pPr>
        <w:pStyle w:val="NADPIS40"/>
        <w:spacing w:line="276" w:lineRule="auto"/>
        <w:rPr>
          <w:rFonts w:asciiTheme="minorHAnsi" w:hAnsiTheme="minorHAnsi" w:cstheme="minorHAnsi"/>
          <w:b w:val="0"/>
          <w:bCs/>
        </w:rPr>
      </w:pPr>
      <w:bookmarkStart w:id="1332" w:name="_Toc61444090"/>
      <w:bookmarkStart w:id="1333" w:name="_Toc63071503"/>
      <w:r w:rsidRPr="004465A9">
        <w:rPr>
          <w:rFonts w:asciiTheme="minorHAnsi" w:hAnsiTheme="minorHAnsi" w:cstheme="minorHAnsi"/>
          <w:bCs/>
        </w:rPr>
        <w:t xml:space="preserve">OPD </w:t>
      </w:r>
      <w:proofErr w:type="gramStart"/>
      <w:r w:rsidRPr="004465A9">
        <w:rPr>
          <w:rFonts w:asciiTheme="minorHAnsi" w:hAnsiTheme="minorHAnsi" w:cstheme="minorHAnsi"/>
          <w:bCs/>
        </w:rPr>
        <w:t>2021 – 2027</w:t>
      </w:r>
      <w:proofErr w:type="gramEnd"/>
    </w:p>
    <w:p w14:paraId="67786DF0"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bCs/>
        </w:rPr>
        <w:t xml:space="preserve">V </w:t>
      </w:r>
      <w:r w:rsidRPr="004465A9">
        <w:rPr>
          <w:rFonts w:asciiTheme="minorHAnsi" w:hAnsiTheme="minorHAnsi" w:cstheme="minorHAnsi"/>
        </w:rPr>
        <w:t>roce 2023 byly realizovány kontroly zadávání veřejných zakázek. Kontroly stálosti operací, delegovaných operací ani Technické pomoci pro toto programové období neprobíhaly.</w:t>
      </w:r>
    </w:p>
    <w:p w14:paraId="121E738C" w14:textId="77777777" w:rsidR="004465A9" w:rsidRPr="004465A9" w:rsidRDefault="004465A9" w:rsidP="004465A9">
      <w:pPr>
        <w:pStyle w:val="TEXT"/>
        <w:spacing w:line="276" w:lineRule="auto"/>
        <w:rPr>
          <w:rFonts w:asciiTheme="minorHAnsi" w:hAnsiTheme="minorHAnsi" w:cstheme="minorHAnsi"/>
          <w:i/>
          <w:iCs/>
          <w:u w:val="single"/>
        </w:rPr>
      </w:pPr>
      <w:r w:rsidRPr="004465A9">
        <w:rPr>
          <w:rFonts w:asciiTheme="minorHAnsi" w:hAnsiTheme="minorHAnsi" w:cstheme="minorHAnsi"/>
          <w:i/>
          <w:iCs/>
          <w:u w:val="single"/>
        </w:rPr>
        <w:t xml:space="preserve">Kontroly zadávání veřejných zakázek </w:t>
      </w:r>
    </w:p>
    <w:p w14:paraId="35436FCB"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t>V roce 2023 byly zahájeny 2 kontroly zadávání veřejných zakázek. Z nichž byly 2 uzavřeny. Obě tyto kontroly vzešly z plánu kontrolní činnosti na 2. pololetí 2023.</w:t>
      </w:r>
    </w:p>
    <w:p w14:paraId="77247F7B" w14:textId="77777777" w:rsidR="004465A9" w:rsidRPr="004465A9" w:rsidRDefault="004465A9" w:rsidP="004465A9">
      <w:pPr>
        <w:pStyle w:val="NADPIS40"/>
        <w:rPr>
          <w:rFonts w:asciiTheme="minorHAnsi" w:hAnsiTheme="minorHAnsi" w:cstheme="minorHAnsi"/>
          <w:b w:val="0"/>
          <w:bCs/>
        </w:rPr>
      </w:pPr>
      <w:r w:rsidRPr="004465A9">
        <w:rPr>
          <w:rFonts w:asciiTheme="minorHAnsi" w:hAnsiTheme="minorHAnsi" w:cstheme="minorHAnsi"/>
          <w:bCs/>
        </w:rPr>
        <w:t>Kontroly CEF</w:t>
      </w:r>
      <w:bookmarkEnd w:id="1332"/>
      <w:bookmarkEnd w:id="1333"/>
    </w:p>
    <w:p w14:paraId="4E3B8F7D" w14:textId="77777777" w:rsidR="004465A9" w:rsidRPr="004465A9" w:rsidRDefault="004465A9" w:rsidP="004465A9">
      <w:pPr>
        <w:pStyle w:val="TEXT"/>
        <w:spacing w:line="276" w:lineRule="auto"/>
        <w:ind w:firstLine="0"/>
        <w:rPr>
          <w:rFonts w:asciiTheme="minorHAnsi" w:hAnsiTheme="minorHAnsi" w:cstheme="minorHAnsi"/>
        </w:rPr>
      </w:pPr>
      <w:r w:rsidRPr="004465A9">
        <w:rPr>
          <w:rFonts w:asciiTheme="minorHAnsi" w:hAnsiTheme="minorHAnsi" w:cstheme="minorHAnsi"/>
        </w:rPr>
        <w:t xml:space="preserve">Z důvodu nárůstu agendy O 430 a souvisejícího značného vytížení pracovníků provádějících ověřování projektů byl majoritní příjemce Správa železnic, </w:t>
      </w:r>
      <w:proofErr w:type="spellStart"/>
      <w:r w:rsidRPr="004465A9">
        <w:rPr>
          <w:rFonts w:asciiTheme="minorHAnsi" w:hAnsiTheme="minorHAnsi" w:cstheme="minorHAnsi"/>
        </w:rPr>
        <w:t>s.o</w:t>
      </w:r>
      <w:proofErr w:type="spellEnd"/>
      <w:r w:rsidRPr="004465A9">
        <w:rPr>
          <w:rFonts w:asciiTheme="minorHAnsi" w:hAnsiTheme="minorHAnsi" w:cstheme="minorHAnsi"/>
        </w:rPr>
        <w:t>. informován o nutnosti provést v roce 2023ověřování výběrových/zadávacích řízení u projektů spolufinancovaných z nástroje CEF (</w:t>
      </w:r>
      <w:proofErr w:type="spellStart"/>
      <w:r w:rsidRPr="004465A9">
        <w:rPr>
          <w:rFonts w:asciiTheme="minorHAnsi" w:hAnsiTheme="minorHAnsi" w:cstheme="minorHAnsi"/>
        </w:rPr>
        <w:t>Connecting</w:t>
      </w:r>
      <w:proofErr w:type="spellEnd"/>
      <w:r w:rsidRPr="004465A9">
        <w:rPr>
          <w:rFonts w:asciiTheme="minorHAnsi" w:hAnsiTheme="minorHAnsi" w:cstheme="minorHAnsi"/>
        </w:rPr>
        <w:t xml:space="preserve"> </w:t>
      </w:r>
      <w:proofErr w:type="spellStart"/>
      <w:r w:rsidRPr="004465A9">
        <w:rPr>
          <w:rFonts w:asciiTheme="minorHAnsi" w:hAnsiTheme="minorHAnsi" w:cstheme="minorHAnsi"/>
        </w:rPr>
        <w:t>Europe</w:t>
      </w:r>
      <w:proofErr w:type="spellEnd"/>
      <w:r w:rsidRPr="004465A9">
        <w:rPr>
          <w:rFonts w:asciiTheme="minorHAnsi" w:hAnsiTheme="minorHAnsi" w:cstheme="minorHAnsi"/>
        </w:rPr>
        <w:t xml:space="preserve"> Facility) externím auditorem. Na projektech, kde již byly veřejné zakázky kontrolovány v minulých letech, prováděl ověřování výdajů a dodatků ke smlouvám Státní fond dopravní infrastruktury. Pro účely certifikace výdajů byly O 430 s využitím výstupů SFDI vystavovány auditorské zprávy k projektům s ukončenou realizací.</w:t>
      </w:r>
    </w:p>
    <w:p w14:paraId="5DFC8759" w14:textId="77777777" w:rsidR="004465A9" w:rsidRPr="004465A9" w:rsidRDefault="004465A9" w:rsidP="004465A9">
      <w:pPr>
        <w:pStyle w:val="NADPIS40"/>
        <w:rPr>
          <w:rFonts w:asciiTheme="minorHAnsi" w:hAnsiTheme="minorHAnsi" w:cstheme="minorHAnsi"/>
          <w:b w:val="0"/>
          <w:bCs/>
        </w:rPr>
      </w:pPr>
      <w:r w:rsidRPr="004465A9">
        <w:rPr>
          <w:rFonts w:asciiTheme="minorHAnsi" w:hAnsiTheme="minorHAnsi" w:cstheme="minorHAnsi"/>
          <w:bCs/>
        </w:rPr>
        <w:t>Opatření k nápravě</w:t>
      </w:r>
    </w:p>
    <w:p w14:paraId="2585CE98" w14:textId="06BBB82C" w:rsidR="004465A9" w:rsidRDefault="004465A9" w:rsidP="004465A9">
      <w:pPr>
        <w:pStyle w:val="KOMtext"/>
        <w:rPr>
          <w:rFonts w:cstheme="minorHAnsi"/>
          <w:szCs w:val="24"/>
        </w:rPr>
      </w:pPr>
      <w:r w:rsidRPr="004465A9">
        <w:rPr>
          <w:rFonts w:cstheme="minorHAnsi"/>
          <w:szCs w:val="24"/>
        </w:rPr>
        <w:t>V rámci ukončených kontrol ŘO v roce 2023 nebyla identifikována žádná systémová zjištění</w:t>
      </w:r>
      <w:r>
        <w:rPr>
          <w:rFonts w:cstheme="minorHAnsi"/>
          <w:szCs w:val="24"/>
        </w:rPr>
        <w:t>.</w:t>
      </w:r>
    </w:p>
    <w:p w14:paraId="6A951B5E" w14:textId="24D84F22" w:rsidR="004465A9" w:rsidRDefault="004465A9" w:rsidP="004465A9">
      <w:pPr>
        <w:pStyle w:val="KOMtext"/>
        <w:rPr>
          <w:b/>
          <w:bCs/>
          <w:color w:val="2E74B5" w:themeColor="accent1" w:themeShade="BF"/>
        </w:rPr>
      </w:pPr>
      <w:r w:rsidRPr="004465A9">
        <w:rPr>
          <w:b/>
          <w:bCs/>
          <w:color w:val="2E74B5" w:themeColor="accent1" w:themeShade="BF"/>
        </w:rPr>
        <w:t xml:space="preserve">Veřejnosprávní kontroly </w:t>
      </w:r>
      <w:r>
        <w:rPr>
          <w:b/>
          <w:bCs/>
          <w:color w:val="2E74B5" w:themeColor="accent1" w:themeShade="BF"/>
        </w:rPr>
        <w:t>podřízených organizací</w:t>
      </w:r>
    </w:p>
    <w:p w14:paraId="4B79CB45" w14:textId="77777777" w:rsidR="004465A9" w:rsidRPr="004465A9" w:rsidRDefault="004465A9" w:rsidP="004465A9">
      <w:pPr>
        <w:pStyle w:val="NADPIS40"/>
        <w:rPr>
          <w:rFonts w:asciiTheme="minorHAnsi" w:hAnsiTheme="minorHAnsi" w:cstheme="minorHAnsi"/>
        </w:rPr>
      </w:pPr>
      <w:r w:rsidRPr="004465A9">
        <w:rPr>
          <w:rFonts w:asciiTheme="minorHAnsi" w:hAnsiTheme="minorHAnsi" w:cstheme="minorHAnsi"/>
        </w:rPr>
        <w:t>Ředitelství silnic a dálnic ČR</w:t>
      </w:r>
    </w:p>
    <w:p w14:paraId="19608AF8" w14:textId="00441681" w:rsidR="004465A9" w:rsidRDefault="004465A9" w:rsidP="004465A9">
      <w:pPr>
        <w:pStyle w:val="KOMtext"/>
        <w:rPr>
          <w:rFonts w:cstheme="minorHAnsi"/>
        </w:rPr>
      </w:pPr>
      <w:r w:rsidRPr="004465A9">
        <w:rPr>
          <w:rFonts w:cstheme="minorHAnsi"/>
        </w:rPr>
        <w:t>V roce 2023 probíhala následná kontrola u Ředitelství silnic a dálnic ČR, jejímž předmětem je zejména zadávání veřejných zakázek ve vazbě na opatření přijatá na základě předchozí kontroly. Kontrola nebyla prozatím ukončena</w:t>
      </w:r>
      <w:r>
        <w:rPr>
          <w:rFonts w:cstheme="minorHAnsi"/>
        </w:rPr>
        <w:t>.</w:t>
      </w:r>
    </w:p>
    <w:p w14:paraId="4F200AAF" w14:textId="108E30E2" w:rsidR="004465A9" w:rsidRPr="004465A9" w:rsidRDefault="004465A9" w:rsidP="004465A9">
      <w:pPr>
        <w:pStyle w:val="KOMtext"/>
        <w:rPr>
          <w:b/>
          <w:bCs/>
          <w:color w:val="2E74B5" w:themeColor="accent1" w:themeShade="BF"/>
        </w:rPr>
      </w:pPr>
      <w:r w:rsidRPr="004465A9">
        <w:rPr>
          <w:b/>
          <w:bCs/>
          <w:color w:val="2E74B5" w:themeColor="accent1" w:themeShade="BF"/>
        </w:rPr>
        <w:t>Ostatní veřejnosprávní kontroly u příjemců veřejné podpory</w:t>
      </w:r>
    </w:p>
    <w:p w14:paraId="2FFD418A" w14:textId="77777777" w:rsidR="004465A9" w:rsidRPr="004465A9" w:rsidRDefault="004465A9" w:rsidP="004465A9">
      <w:pPr>
        <w:pStyle w:val="NADPIS40"/>
        <w:rPr>
          <w:rFonts w:asciiTheme="minorHAnsi" w:hAnsiTheme="minorHAnsi" w:cstheme="minorHAnsi"/>
        </w:rPr>
      </w:pPr>
      <w:r w:rsidRPr="004465A9">
        <w:rPr>
          <w:rFonts w:asciiTheme="minorHAnsi" w:hAnsiTheme="minorHAnsi" w:cstheme="minorHAnsi"/>
        </w:rPr>
        <w:t>Příjemci veřejné finanční podpory</w:t>
      </w:r>
      <w:r w:rsidRPr="004465A9" w:rsidDel="00B161C6">
        <w:rPr>
          <w:rFonts w:asciiTheme="minorHAnsi" w:hAnsiTheme="minorHAnsi" w:cstheme="minorHAnsi"/>
        </w:rPr>
        <w:t xml:space="preserve"> </w:t>
      </w:r>
    </w:p>
    <w:p w14:paraId="39F6112A" w14:textId="7B325529" w:rsidR="004465A9" w:rsidRPr="004465A9" w:rsidRDefault="004465A9" w:rsidP="004465A9">
      <w:pPr>
        <w:pStyle w:val="KOMtext"/>
        <w:rPr>
          <w:rFonts w:cstheme="minorHAnsi"/>
          <w:szCs w:val="24"/>
        </w:rPr>
      </w:pPr>
      <w:r w:rsidRPr="004465A9">
        <w:rPr>
          <w:rFonts w:cstheme="minorHAnsi"/>
        </w:rPr>
        <w:t>V roce 2023 byly provedeny 2 veřejnosprávní kontroly u příjemců veřejné finanční podpory z programu na podporu historických kolejových vozidel. Kontrolami nebyly zjištěny zásadní nedostatky.</w:t>
      </w:r>
    </w:p>
    <w:p w14:paraId="60877E2C" w14:textId="77777777" w:rsidR="006165E4" w:rsidRPr="006B6D61" w:rsidRDefault="006165E4" w:rsidP="00FE67C5">
      <w:pPr>
        <w:pStyle w:val="KOMnadp2"/>
      </w:pPr>
      <w:bookmarkStart w:id="1334" w:name="_Toc162269295"/>
      <w:r w:rsidRPr="006B6D61">
        <w:lastRenderedPageBreak/>
        <w:t>Interní audity</w:t>
      </w:r>
      <w:bookmarkEnd w:id="1325"/>
      <w:bookmarkEnd w:id="1334"/>
      <w:r w:rsidRPr="006B6D61">
        <w:t xml:space="preserve"> </w:t>
      </w:r>
    </w:p>
    <w:p w14:paraId="266ED333" w14:textId="43A90204" w:rsidR="00051CA9" w:rsidRPr="006B6D61" w:rsidRDefault="00A61165" w:rsidP="001A2DB4">
      <w:pPr>
        <w:pStyle w:val="KOMtext"/>
        <w:rPr>
          <w:szCs w:val="24"/>
        </w:rPr>
      </w:pPr>
      <w:r w:rsidRPr="006B6D61">
        <w:t xml:space="preserve">V roce </w:t>
      </w:r>
      <w:r w:rsidR="006B57DB" w:rsidRPr="006B6D61">
        <w:t xml:space="preserve">2023 </w:t>
      </w:r>
      <w:r w:rsidRPr="006B6D61">
        <w:t xml:space="preserve">byly dokončeny </w:t>
      </w:r>
      <w:r w:rsidR="006B57DB" w:rsidRPr="006B6D61">
        <w:t xml:space="preserve">4 </w:t>
      </w:r>
      <w:r w:rsidRPr="006B6D61">
        <w:t>interní audity:</w:t>
      </w:r>
    </w:p>
    <w:p w14:paraId="3BDCB1F6" w14:textId="7CF12344" w:rsidR="00077004" w:rsidRPr="006B6D61" w:rsidRDefault="000F31D1" w:rsidP="00E20BD6">
      <w:pPr>
        <w:pStyle w:val="KOMnadp3"/>
      </w:pPr>
      <w:bookmarkStart w:id="1335" w:name="_Toc162269296"/>
      <w:bookmarkStart w:id="1336" w:name="_Toc128400118"/>
      <w:r w:rsidRPr="006B6D61">
        <w:t>Audit</w:t>
      </w:r>
      <w:r w:rsidR="008F4987" w:rsidRPr="006B6D61">
        <w:t xml:space="preserve"> </w:t>
      </w:r>
      <w:r w:rsidR="00C36D85" w:rsidRPr="006B6D61">
        <w:t>systému plánování, evidence a nakládání s dlouhodobým majetkem státu</w:t>
      </w:r>
      <w:bookmarkEnd w:id="1335"/>
      <w:r w:rsidR="00C36D85" w:rsidRPr="006B6D61" w:rsidDel="00C36D85">
        <w:t xml:space="preserve"> </w:t>
      </w:r>
      <w:bookmarkEnd w:id="1336"/>
      <w:r w:rsidR="00077004" w:rsidRPr="006B6D61">
        <w:t xml:space="preserve"> </w:t>
      </w:r>
    </w:p>
    <w:p w14:paraId="3FC92E8B" w14:textId="77777777" w:rsidR="006919EC" w:rsidRPr="006919EC" w:rsidRDefault="006919EC" w:rsidP="001A2DB4">
      <w:pPr>
        <w:pStyle w:val="KOMtext"/>
      </w:pPr>
      <w:r w:rsidRPr="00AA165E">
        <w:t>Cílem auditu bylo prověřit nastavený systém plánování, evidence a nakládání s dlouhodobým majetkem státu, se kterým je příslušné hos</w:t>
      </w:r>
      <w:r w:rsidRPr="006919EC">
        <w:t xml:space="preserve">podařit Ministerstvo dopravy. </w:t>
      </w:r>
    </w:p>
    <w:p w14:paraId="240B4EAF" w14:textId="77777777" w:rsidR="006919EC" w:rsidRPr="006919EC" w:rsidRDefault="006919EC" w:rsidP="001A2DB4">
      <w:pPr>
        <w:pStyle w:val="KOMtext"/>
      </w:pPr>
      <w:r w:rsidRPr="006919EC">
        <w:t xml:space="preserve">Auditem bylo identifikováno celkem 7 zjištění, z toho 2 s vysokou mírou významnosti, 3 se střední mírou významnosti a 2 s nízkou mírou významnosti. Celkově byla auditovaná oblast hodnocena stupněm </w:t>
      </w:r>
      <w:proofErr w:type="gramStart"/>
      <w:r w:rsidRPr="006919EC">
        <w:t>3 – s</w:t>
      </w:r>
      <w:proofErr w:type="gramEnd"/>
      <w:r w:rsidRPr="006919EC">
        <w:t xml:space="preserve"> výhradou. </w:t>
      </w:r>
    </w:p>
    <w:p w14:paraId="60D64E4A" w14:textId="77777777" w:rsidR="006919EC" w:rsidRPr="006919EC" w:rsidRDefault="006919EC" w:rsidP="001A2DB4">
      <w:pPr>
        <w:pStyle w:val="KOMtext"/>
      </w:pPr>
      <w:r w:rsidRPr="006919EC">
        <w:t xml:space="preserve">Auditem byla identifikována následující zjištění: </w:t>
      </w:r>
    </w:p>
    <w:p w14:paraId="18864800" w14:textId="77777777" w:rsidR="006919EC" w:rsidRPr="006919EC" w:rsidRDefault="006919EC" w:rsidP="006B6D61">
      <w:pPr>
        <w:pStyle w:val="Default"/>
        <w:spacing w:after="87"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Organizační řád jednoznačně nevymezuje kompetence a rovněž nezachycuje všechny reálně prováděné činnosti spojené s evidencí a nakládáním s majetkem státu, se kterým je příslušné hospodařit Ministerstvo dopravy. </w:t>
      </w:r>
    </w:p>
    <w:p w14:paraId="7284D6AD" w14:textId="2EFAD573" w:rsidR="006919EC" w:rsidRPr="006919EC" w:rsidRDefault="006919EC" w:rsidP="006B6D61">
      <w:pPr>
        <w:pStyle w:val="Default"/>
        <w:spacing w:after="87"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Nedodržování postupů stanovených směrnicí č. 25/2004, absence dalších postupů </w:t>
      </w:r>
      <w:r w:rsidR="003B426B">
        <w:rPr>
          <w:rFonts w:asciiTheme="minorHAnsi" w:eastAsia="Times New Roman" w:hAnsiTheme="minorHAnsi"/>
          <w:color w:val="auto"/>
          <w:szCs w:val="20"/>
          <w:lang w:eastAsia="cs-CZ"/>
        </w:rPr>
        <w:br/>
      </w:r>
      <w:r w:rsidRPr="006919EC">
        <w:rPr>
          <w:rFonts w:asciiTheme="minorHAnsi" w:eastAsia="Times New Roman" w:hAnsiTheme="minorHAnsi"/>
          <w:color w:val="auto"/>
          <w:szCs w:val="20"/>
          <w:lang w:eastAsia="cs-CZ"/>
        </w:rPr>
        <w:t xml:space="preserve">a nastavení pravidel s vedením evidence majetku státu úzce spojených. </w:t>
      </w:r>
    </w:p>
    <w:p w14:paraId="6D2CB144" w14:textId="77777777" w:rsidR="006919EC" w:rsidRPr="006919EC" w:rsidRDefault="006919EC" w:rsidP="006B6D61">
      <w:pPr>
        <w:pStyle w:val="Default"/>
        <w:spacing w:after="87"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Nedodržení závazných postupů při inventarizaci majetku a závazků. </w:t>
      </w:r>
    </w:p>
    <w:p w14:paraId="669978CF" w14:textId="77777777" w:rsidR="006919EC" w:rsidRPr="006919EC" w:rsidRDefault="006919EC" w:rsidP="006B6D61">
      <w:pPr>
        <w:pStyle w:val="Default"/>
        <w:spacing w:after="87"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Nedostatečné technické nastavení parametrů aplikace IFS9 pro účely evidence majetku státu. </w:t>
      </w:r>
    </w:p>
    <w:p w14:paraId="28BC87D3" w14:textId="67DB66CE" w:rsidR="006919EC" w:rsidRPr="006919EC" w:rsidRDefault="006919EC" w:rsidP="006B6D61">
      <w:pPr>
        <w:pStyle w:val="Default"/>
        <w:spacing w:after="87"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Nezajištění zastupitelnosti odpovědného zaměstnance provádějícího činnosti spojené </w:t>
      </w:r>
      <w:r w:rsidR="003B426B">
        <w:rPr>
          <w:rFonts w:asciiTheme="minorHAnsi" w:eastAsia="Times New Roman" w:hAnsiTheme="minorHAnsi"/>
          <w:color w:val="auto"/>
          <w:szCs w:val="20"/>
          <w:lang w:eastAsia="cs-CZ"/>
        </w:rPr>
        <w:br/>
      </w:r>
      <w:r w:rsidRPr="006919EC">
        <w:rPr>
          <w:rFonts w:asciiTheme="minorHAnsi" w:eastAsia="Times New Roman" w:hAnsiTheme="minorHAnsi"/>
          <w:color w:val="auto"/>
          <w:szCs w:val="20"/>
          <w:lang w:eastAsia="cs-CZ"/>
        </w:rPr>
        <w:t xml:space="preserve">s nakládáním s majetkem státu. </w:t>
      </w:r>
    </w:p>
    <w:p w14:paraId="63B36F55" w14:textId="77777777" w:rsidR="006919EC" w:rsidRPr="006919EC" w:rsidRDefault="006919EC" w:rsidP="006B6D61">
      <w:pPr>
        <w:pStyle w:val="Default"/>
        <w:spacing w:after="87"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Absence pravidel upravujících činnost a fungování likvidační komise. </w:t>
      </w:r>
    </w:p>
    <w:p w14:paraId="75C30D3B" w14:textId="6703D85B" w:rsidR="006919EC" w:rsidRPr="006919EC" w:rsidRDefault="006919EC" w:rsidP="006B6D61">
      <w:pPr>
        <w:pStyle w:val="Default"/>
        <w:spacing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 Interní předpisy Ministerstva dopravy úzce související s nakládáním s majetkem státu neodpovídají současnému právnímu stavu a/nebo skutečně vykonávaným činnostem </w:t>
      </w:r>
      <w:r w:rsidR="003B426B">
        <w:rPr>
          <w:rFonts w:asciiTheme="minorHAnsi" w:eastAsia="Times New Roman" w:hAnsiTheme="minorHAnsi"/>
          <w:color w:val="auto"/>
          <w:szCs w:val="20"/>
          <w:lang w:eastAsia="cs-CZ"/>
        </w:rPr>
        <w:br/>
      </w:r>
      <w:r w:rsidRPr="006919EC">
        <w:rPr>
          <w:rFonts w:asciiTheme="minorHAnsi" w:eastAsia="Times New Roman" w:hAnsiTheme="minorHAnsi"/>
          <w:color w:val="auto"/>
          <w:szCs w:val="20"/>
          <w:lang w:eastAsia="cs-CZ"/>
        </w:rPr>
        <w:t xml:space="preserve">v Ministerstvu dopravy a obsahují již překonaná ustanovení. </w:t>
      </w:r>
    </w:p>
    <w:p w14:paraId="5912F684" w14:textId="77777777" w:rsidR="006919EC" w:rsidRPr="006919EC" w:rsidRDefault="006919EC" w:rsidP="001A2DB4">
      <w:pPr>
        <w:pStyle w:val="KOMtext"/>
      </w:pPr>
      <w:r w:rsidRPr="006919EC">
        <w:t xml:space="preserve">Stěžejní opatření k nápravě, jež byla auditovanými útvary na základě tohoto auditu přijata, jsou následující: </w:t>
      </w:r>
    </w:p>
    <w:p w14:paraId="47880C4E" w14:textId="19900E00" w:rsidR="006919EC" w:rsidRPr="006919EC" w:rsidRDefault="006919EC" w:rsidP="00E54955">
      <w:pPr>
        <w:pStyle w:val="Default"/>
        <w:numPr>
          <w:ilvl w:val="0"/>
          <w:numId w:val="41"/>
        </w:numPr>
        <w:spacing w:after="88"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a) změna Organizačního řádu Ministerstva dopravy, která jednoznačně </w:t>
      </w:r>
      <w:proofErr w:type="gramStart"/>
      <w:r w:rsidRPr="006919EC">
        <w:rPr>
          <w:rFonts w:asciiTheme="minorHAnsi" w:eastAsia="Times New Roman" w:hAnsiTheme="minorHAnsi"/>
          <w:color w:val="auto"/>
          <w:szCs w:val="20"/>
          <w:lang w:eastAsia="cs-CZ"/>
        </w:rPr>
        <w:t>určí</w:t>
      </w:r>
      <w:proofErr w:type="gramEnd"/>
      <w:r w:rsidRPr="006919EC">
        <w:rPr>
          <w:rFonts w:asciiTheme="minorHAnsi" w:eastAsia="Times New Roman" w:hAnsiTheme="minorHAnsi"/>
          <w:color w:val="auto"/>
          <w:szCs w:val="20"/>
          <w:lang w:eastAsia="cs-CZ"/>
        </w:rPr>
        <w:t xml:space="preserve"> působnost </w:t>
      </w:r>
      <w:r w:rsidR="003B426B">
        <w:rPr>
          <w:rFonts w:asciiTheme="minorHAnsi" w:eastAsia="Times New Roman" w:hAnsiTheme="minorHAnsi"/>
          <w:color w:val="auto"/>
          <w:szCs w:val="20"/>
          <w:lang w:eastAsia="cs-CZ"/>
        </w:rPr>
        <w:br/>
      </w:r>
      <w:r w:rsidRPr="006919EC">
        <w:rPr>
          <w:rFonts w:asciiTheme="minorHAnsi" w:eastAsia="Times New Roman" w:hAnsiTheme="minorHAnsi"/>
          <w:color w:val="auto"/>
          <w:szCs w:val="20"/>
          <w:lang w:eastAsia="cs-CZ"/>
        </w:rPr>
        <w:t xml:space="preserve">a kompetence v oblasti nakládání s majetkem státu, </w:t>
      </w:r>
    </w:p>
    <w:p w14:paraId="494CEAD2" w14:textId="77777777" w:rsidR="006919EC" w:rsidRPr="006919EC" w:rsidRDefault="006919EC" w:rsidP="00E54955">
      <w:pPr>
        <w:pStyle w:val="Default"/>
        <w:numPr>
          <w:ilvl w:val="0"/>
          <w:numId w:val="41"/>
        </w:numPr>
        <w:spacing w:after="88"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b) vydání nového vnitřního předpisu upravujícího nakládání s majetkem státu a zohledňujícího auditorská doporučení, </w:t>
      </w:r>
    </w:p>
    <w:p w14:paraId="26D95601" w14:textId="77777777" w:rsidR="006919EC" w:rsidRPr="006919EC" w:rsidRDefault="006919EC" w:rsidP="00E54955">
      <w:pPr>
        <w:pStyle w:val="Default"/>
        <w:numPr>
          <w:ilvl w:val="0"/>
          <w:numId w:val="41"/>
        </w:numPr>
        <w:spacing w:after="88"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c) zpracování závazné úpravy činnosti likvidační komise v Ministerstvu dopravy, </w:t>
      </w:r>
    </w:p>
    <w:p w14:paraId="7AC5246C" w14:textId="77777777" w:rsidR="006919EC" w:rsidRPr="006919EC" w:rsidRDefault="006919EC" w:rsidP="00E54955">
      <w:pPr>
        <w:pStyle w:val="Default"/>
        <w:numPr>
          <w:ilvl w:val="0"/>
          <w:numId w:val="41"/>
        </w:numPr>
        <w:spacing w:after="88"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d) proškolení členů dílčích inventarizačních komisí pro účely správného provedení inventury, </w:t>
      </w:r>
    </w:p>
    <w:p w14:paraId="78134F0C" w14:textId="41E85DCD" w:rsidR="006919EC" w:rsidRPr="006919EC" w:rsidRDefault="006919EC" w:rsidP="00E54955">
      <w:pPr>
        <w:pStyle w:val="Default"/>
        <w:numPr>
          <w:ilvl w:val="0"/>
          <w:numId w:val="41"/>
        </w:numPr>
        <w:spacing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lastRenderedPageBreak/>
        <w:t xml:space="preserve">e) vyhodnocení současných nedostatků ekonomického informačního systému vztahujících </w:t>
      </w:r>
      <w:r w:rsidR="007C3A53">
        <w:rPr>
          <w:rFonts w:asciiTheme="minorHAnsi" w:eastAsia="Times New Roman" w:hAnsiTheme="minorHAnsi"/>
          <w:color w:val="auto"/>
          <w:szCs w:val="20"/>
          <w:lang w:eastAsia="cs-CZ"/>
        </w:rPr>
        <w:br/>
      </w:r>
      <w:r w:rsidRPr="006919EC">
        <w:rPr>
          <w:rFonts w:asciiTheme="minorHAnsi" w:eastAsia="Times New Roman" w:hAnsiTheme="minorHAnsi"/>
          <w:color w:val="auto"/>
          <w:szCs w:val="20"/>
          <w:lang w:eastAsia="cs-CZ"/>
        </w:rPr>
        <w:t xml:space="preserve">se k vedení evidence majetku státu a zadání změnového požadavku ke zpracování dodavateli tohoto systému. </w:t>
      </w:r>
    </w:p>
    <w:p w14:paraId="17CC7D77" w14:textId="77777777" w:rsidR="006919EC" w:rsidRPr="006919EC" w:rsidRDefault="006919EC" w:rsidP="006B6D61">
      <w:pPr>
        <w:pStyle w:val="Default"/>
        <w:spacing w:line="276" w:lineRule="auto"/>
        <w:jc w:val="both"/>
        <w:rPr>
          <w:rFonts w:asciiTheme="minorHAnsi" w:eastAsia="Times New Roman" w:hAnsiTheme="minorHAnsi"/>
          <w:color w:val="auto"/>
          <w:szCs w:val="20"/>
          <w:lang w:eastAsia="cs-CZ"/>
        </w:rPr>
      </w:pPr>
    </w:p>
    <w:p w14:paraId="1AF60CAF" w14:textId="77777777" w:rsidR="006919EC" w:rsidRPr="006919EC" w:rsidRDefault="006919EC" w:rsidP="006B6D61">
      <w:pPr>
        <w:pStyle w:val="Default"/>
        <w:spacing w:line="276" w:lineRule="auto"/>
        <w:jc w:val="both"/>
        <w:rPr>
          <w:rFonts w:asciiTheme="minorHAnsi" w:eastAsia="Times New Roman" w:hAnsiTheme="minorHAnsi"/>
          <w:color w:val="auto"/>
          <w:szCs w:val="20"/>
          <w:lang w:eastAsia="cs-CZ"/>
        </w:rPr>
      </w:pPr>
      <w:r w:rsidRPr="006919EC">
        <w:rPr>
          <w:rFonts w:asciiTheme="minorHAnsi" w:eastAsia="Times New Roman" w:hAnsiTheme="minorHAnsi"/>
          <w:color w:val="auto"/>
          <w:szCs w:val="20"/>
          <w:lang w:eastAsia="cs-CZ"/>
        </w:rPr>
        <w:t xml:space="preserve">Akční plán k odstranění nedostatků a zmírnění rizik zjištěných auditem byl ministrem schválen 10. května 2023 (projednání Zprávy o auditu a Návrhu Akčního plánu s příslušnými vrchními řediteli sekcí bylo uskutečněno dne 11. dubna 2023). </w:t>
      </w:r>
    </w:p>
    <w:p w14:paraId="3835D617" w14:textId="338A08E7" w:rsidR="00C2580A" w:rsidRPr="0077128B" w:rsidRDefault="006919EC" w:rsidP="003F0A7C">
      <w:pPr>
        <w:pStyle w:val="KOMtext"/>
        <w:rPr>
          <w:color w:val="FF0000"/>
        </w:rPr>
      </w:pPr>
      <w:r w:rsidRPr="006919EC">
        <w:t xml:space="preserve">Přijatá opatření k nápravě jsou auditovanými útvary průběžně plněna. </w:t>
      </w:r>
    </w:p>
    <w:p w14:paraId="68EF6487" w14:textId="3FD00AD0" w:rsidR="00E142E4" w:rsidRPr="006B6D61" w:rsidRDefault="00077004" w:rsidP="00E20BD6">
      <w:pPr>
        <w:pStyle w:val="KOMnadp3"/>
        <w:rPr>
          <w:color w:val="FF0000"/>
          <w:sz w:val="32"/>
          <w:szCs w:val="32"/>
        </w:rPr>
      </w:pPr>
      <w:bookmarkStart w:id="1337" w:name="_Toc162269297"/>
      <w:bookmarkStart w:id="1338" w:name="_Toc128400119"/>
      <w:r w:rsidRPr="00C77A38">
        <w:t xml:space="preserve">Audit </w:t>
      </w:r>
      <w:r w:rsidR="00E142E4" w:rsidRPr="00C77A38">
        <w:t>systému přípravy a schvalování dopravních staveb</w:t>
      </w:r>
      <w:bookmarkEnd w:id="1337"/>
    </w:p>
    <w:p w14:paraId="3C91A102" w14:textId="77777777" w:rsidR="00E142E4" w:rsidRPr="00757D7D" w:rsidRDefault="00E142E4" w:rsidP="001A2DB4">
      <w:pPr>
        <w:pStyle w:val="KOMtext"/>
      </w:pPr>
      <w:r w:rsidRPr="00757D7D">
        <w:t xml:space="preserve">Cílem auditu bylo prověřit nastavený systém posuzování problematik souvisejících s přípravou a schvalováním investičních a neinvestičních akcí dopravní infrastruktury a dále také ověřit soulad prováděných postupů v průběhu přípravy a hodnocení investičních a neinvestičních akcí dopravní infrastruktury s vnitřními předpisy Ministerstva dopravy. </w:t>
      </w:r>
    </w:p>
    <w:p w14:paraId="39DAB027" w14:textId="0A63474F" w:rsidR="00E142E4" w:rsidRPr="00757D7D" w:rsidRDefault="00E142E4" w:rsidP="001A2DB4">
      <w:pPr>
        <w:pStyle w:val="KOMtext"/>
      </w:pPr>
      <w:r w:rsidRPr="00757D7D">
        <w:t xml:space="preserve">Auditem byla identifikována celkem 3 zjištění, z toho 2 se střední mírou významnosti </w:t>
      </w:r>
      <w:r w:rsidR="007C3A53">
        <w:br/>
      </w:r>
      <w:r w:rsidRPr="00757D7D">
        <w:t xml:space="preserve">a 1 s nízkou mírou významnosti. Celkově byla auditovaná oblast hodnocena stupněm 2 – vyhovující. </w:t>
      </w:r>
    </w:p>
    <w:p w14:paraId="15A4ADA0" w14:textId="77777777" w:rsidR="00E142E4" w:rsidRPr="00757D7D" w:rsidRDefault="00E142E4" w:rsidP="00E142E4">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Auditem byla identifikována následující zjištění: </w:t>
      </w:r>
    </w:p>
    <w:p w14:paraId="69A5845A" w14:textId="77777777" w:rsidR="00E142E4" w:rsidRPr="00757D7D" w:rsidRDefault="00E142E4" w:rsidP="00E142E4">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Těžkopádné a neefektivní postupy související s činnostmi Centrální komise Ministerstva dopravy. </w:t>
      </w:r>
    </w:p>
    <w:p w14:paraId="0DD35780" w14:textId="77777777" w:rsidR="00E142E4" w:rsidRPr="00757D7D" w:rsidRDefault="00E142E4" w:rsidP="00E142E4">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Nedostatky v realizovaných postupech oproti stanovené úpravě v interních předpisech Ministerstva dopravy a neaktuálnost interní úpravy. </w:t>
      </w:r>
    </w:p>
    <w:p w14:paraId="7FD08510" w14:textId="1DB36044" w:rsidR="00E142E4" w:rsidRPr="00757D7D" w:rsidRDefault="00E142E4" w:rsidP="00E142E4">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Administrativní nesrovnalosti a další pochybení a nedostatky při přípravě materiálů </w:t>
      </w:r>
      <w:r w:rsidR="007C3A53">
        <w:rPr>
          <w:rFonts w:asciiTheme="minorHAnsi" w:eastAsia="Times New Roman" w:hAnsiTheme="minorHAnsi"/>
          <w:color w:val="auto"/>
          <w:szCs w:val="20"/>
          <w:lang w:eastAsia="cs-CZ"/>
        </w:rPr>
        <w:br/>
      </w:r>
      <w:r w:rsidRPr="00757D7D">
        <w:rPr>
          <w:rFonts w:asciiTheme="minorHAnsi" w:eastAsia="Times New Roman" w:hAnsiTheme="minorHAnsi"/>
          <w:color w:val="auto"/>
          <w:szCs w:val="20"/>
          <w:lang w:eastAsia="cs-CZ"/>
        </w:rPr>
        <w:t xml:space="preserve">a prováděných postupech souvisejících s činností Centrální komise Ministerstva dopravy. </w:t>
      </w:r>
    </w:p>
    <w:p w14:paraId="7D8DC686" w14:textId="77777777" w:rsidR="00E142E4" w:rsidRPr="00757D7D" w:rsidRDefault="00E142E4" w:rsidP="00E142E4">
      <w:pPr>
        <w:pStyle w:val="Default"/>
        <w:spacing w:line="276" w:lineRule="auto"/>
        <w:jc w:val="both"/>
        <w:rPr>
          <w:rFonts w:asciiTheme="minorHAnsi" w:eastAsia="Times New Roman" w:hAnsiTheme="minorHAnsi"/>
          <w:color w:val="auto"/>
          <w:szCs w:val="20"/>
          <w:lang w:eastAsia="cs-CZ"/>
        </w:rPr>
      </w:pPr>
    </w:p>
    <w:p w14:paraId="4305EB81" w14:textId="77777777" w:rsidR="00E142E4" w:rsidRPr="00757D7D" w:rsidRDefault="00E142E4" w:rsidP="00E142E4">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Stěžejní opatření k nápravě, jež byla auditovanými útvary na základě tohoto auditu přijata, jsou následující: </w:t>
      </w:r>
    </w:p>
    <w:p w14:paraId="55289232" w14:textId="77777777" w:rsidR="00E142E4" w:rsidRPr="00757D7D" w:rsidRDefault="00E142E4" w:rsidP="00E54955">
      <w:pPr>
        <w:pStyle w:val="Default"/>
        <w:numPr>
          <w:ilvl w:val="0"/>
          <w:numId w:val="42"/>
        </w:numPr>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 zavedení jednotného informačního a manažerského systému a posouzení možnosti jeho napojení na systémy investorů a SFDI, </w:t>
      </w:r>
    </w:p>
    <w:p w14:paraId="107D7C4E" w14:textId="77777777" w:rsidR="00E142E4" w:rsidRPr="00757D7D" w:rsidRDefault="00E142E4" w:rsidP="00E54955">
      <w:pPr>
        <w:pStyle w:val="Default"/>
        <w:numPr>
          <w:ilvl w:val="0"/>
          <w:numId w:val="42"/>
        </w:numPr>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b) revize postupů a činností souvisejících s Centrální komisí v interních předpisech Ministerstva dopravy, </w:t>
      </w:r>
    </w:p>
    <w:p w14:paraId="391684A4" w14:textId="77777777" w:rsidR="00E142E4" w:rsidRPr="00757D7D" w:rsidRDefault="00E142E4" w:rsidP="00E54955">
      <w:pPr>
        <w:pStyle w:val="Default"/>
        <w:numPr>
          <w:ilvl w:val="0"/>
          <w:numId w:val="42"/>
        </w:numPr>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c) zavedení kontrolních mechanismů a stanovení postupů pro kontrolu a vyhodnocování naplnění podmínek resortními investorskými organizacemi před zahájením financování předmětné akce z rozpočtu SFDI, které udělila Centrální komise Ministerstva dopravy. </w:t>
      </w:r>
    </w:p>
    <w:p w14:paraId="2FEB6C48" w14:textId="77777777" w:rsidR="00E142E4" w:rsidRDefault="00E142E4" w:rsidP="00E142E4">
      <w:pPr>
        <w:pStyle w:val="Default"/>
        <w:spacing w:line="276" w:lineRule="auto"/>
        <w:jc w:val="both"/>
        <w:rPr>
          <w:rFonts w:asciiTheme="minorHAnsi" w:eastAsia="Times New Roman" w:hAnsiTheme="minorHAnsi"/>
          <w:color w:val="auto"/>
          <w:szCs w:val="20"/>
          <w:lang w:eastAsia="cs-CZ"/>
        </w:rPr>
      </w:pPr>
    </w:p>
    <w:p w14:paraId="75A5E4CA" w14:textId="69FC80F5" w:rsidR="00E142E4" w:rsidRDefault="00E142E4" w:rsidP="00E142E4">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Akční plán k odstranění nedostatků a zmírnění rizik zjištěných auditem byl ministrem schválen 12. prosince 2023 (projednání Zprávy o auditu a Návrhu Akčního plánu s příslušnými vrchními řediteli sekcí bylo uskutečněno dne 23. listopadu 2023). </w:t>
      </w:r>
    </w:p>
    <w:p w14:paraId="16EC1770" w14:textId="6021DF62" w:rsidR="00E11F3E" w:rsidRPr="00757D7D" w:rsidRDefault="00E11F3E" w:rsidP="00E142E4">
      <w:pPr>
        <w:pStyle w:val="Default"/>
        <w:spacing w:line="276" w:lineRule="auto"/>
        <w:jc w:val="both"/>
        <w:rPr>
          <w:rFonts w:asciiTheme="minorHAnsi" w:eastAsia="Times New Roman" w:hAnsiTheme="minorHAnsi"/>
          <w:color w:val="auto"/>
          <w:szCs w:val="20"/>
          <w:lang w:eastAsia="cs-CZ"/>
        </w:rPr>
      </w:pPr>
      <w:r>
        <w:rPr>
          <w:rFonts w:asciiTheme="minorHAnsi" w:eastAsia="Times New Roman" w:hAnsiTheme="minorHAnsi"/>
          <w:color w:val="auto"/>
          <w:szCs w:val="20"/>
          <w:lang w:eastAsia="cs-CZ"/>
        </w:rPr>
        <w:lastRenderedPageBreak/>
        <w:t>Přijatá opatření k nápravě jsou auditovanými útvary průběžně plněna.</w:t>
      </w:r>
    </w:p>
    <w:p w14:paraId="1E8F59C6" w14:textId="06300792" w:rsidR="00E142E4" w:rsidRPr="006B6D61" w:rsidRDefault="000A0B5A" w:rsidP="00E20BD6">
      <w:pPr>
        <w:pStyle w:val="KOMnadp3"/>
        <w:rPr>
          <w:color w:val="FF0000"/>
        </w:rPr>
      </w:pPr>
      <w:bookmarkStart w:id="1339" w:name="_Toc162269298"/>
      <w:r w:rsidRPr="006B6D61">
        <w:t>Audit prostředků výpočetní techniky</w:t>
      </w:r>
      <w:bookmarkEnd w:id="1339"/>
    </w:p>
    <w:p w14:paraId="619A35FF" w14:textId="77777777"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Cílem auditu bylo prověřit nastavený systém pořizování, evidence a nakládání s prostředky výpočetní techniky v Ministerstvu dopravy včetně vynakládání finančních prostředků na jejich pořízení. </w:t>
      </w:r>
    </w:p>
    <w:p w14:paraId="741651C6" w14:textId="77777777"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Auditem bylo identifikováno celkem 6 zjištění, z toho 3 s vysokou mírou významnosti, 1 se střední mírou významnosti a 2 s nízkou mírou významnosti. Celkově byla auditovaná oblast hodnocena stupněm </w:t>
      </w:r>
      <w:proofErr w:type="gramStart"/>
      <w:r w:rsidRPr="00757D7D">
        <w:rPr>
          <w:rFonts w:asciiTheme="minorHAnsi" w:eastAsia="Times New Roman" w:hAnsiTheme="minorHAnsi"/>
          <w:color w:val="auto"/>
          <w:szCs w:val="20"/>
          <w:lang w:eastAsia="cs-CZ"/>
        </w:rPr>
        <w:t>3 – s</w:t>
      </w:r>
      <w:proofErr w:type="gramEnd"/>
      <w:r w:rsidRPr="00757D7D">
        <w:rPr>
          <w:rFonts w:asciiTheme="minorHAnsi" w:eastAsia="Times New Roman" w:hAnsiTheme="minorHAnsi"/>
          <w:color w:val="auto"/>
          <w:szCs w:val="20"/>
          <w:lang w:eastAsia="cs-CZ"/>
        </w:rPr>
        <w:t xml:space="preserve"> výhradou. </w:t>
      </w:r>
    </w:p>
    <w:p w14:paraId="174C067A" w14:textId="77777777"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Auditem byla identifikována následující zjištění: </w:t>
      </w:r>
    </w:p>
    <w:p w14:paraId="5AA13F60" w14:textId="15F23520" w:rsidR="000D6E7D" w:rsidRPr="00757D7D" w:rsidRDefault="000D6E7D" w:rsidP="006B6D61">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Neaktuálnost a neúplnost údajů v evidenci majetku o prostředcích výpočetní techniky </w:t>
      </w:r>
      <w:r w:rsidR="001172D5">
        <w:rPr>
          <w:rFonts w:asciiTheme="minorHAnsi" w:eastAsia="Times New Roman" w:hAnsiTheme="minorHAnsi"/>
          <w:color w:val="auto"/>
          <w:szCs w:val="20"/>
          <w:lang w:eastAsia="cs-CZ"/>
        </w:rPr>
        <w:br/>
      </w:r>
      <w:r w:rsidRPr="00757D7D">
        <w:rPr>
          <w:rFonts w:asciiTheme="minorHAnsi" w:eastAsia="Times New Roman" w:hAnsiTheme="minorHAnsi"/>
          <w:color w:val="auto"/>
          <w:szCs w:val="20"/>
          <w:lang w:eastAsia="cs-CZ"/>
        </w:rPr>
        <w:t xml:space="preserve">a neposkytování včasných informací pro řádné vedení evidence majetku. </w:t>
      </w:r>
    </w:p>
    <w:p w14:paraId="77092388" w14:textId="77777777" w:rsidR="000D6E7D" w:rsidRPr="00757D7D" w:rsidRDefault="000D6E7D" w:rsidP="006B6D61">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Absence či neúplnost informací potřebných k zajištění řádného navrácení svěřených prostředků výpočetní techniky. </w:t>
      </w:r>
    </w:p>
    <w:p w14:paraId="34A51A8F" w14:textId="77777777" w:rsidR="000D6E7D" w:rsidRPr="00757D7D" w:rsidRDefault="000D6E7D" w:rsidP="006B6D61">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Nedostatečné provádění fyzické inventury prostředků výpočetní techniky a jejich nevhodná evidence pro účely inventarizace. </w:t>
      </w:r>
    </w:p>
    <w:p w14:paraId="3CF8A70F" w14:textId="77777777" w:rsidR="000D6E7D" w:rsidRPr="00757D7D" w:rsidRDefault="000D6E7D" w:rsidP="006B6D61">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Nedodržování postupů stanovených směrnicí č. 2/2020 a nejednotně stanovené postupy napříč interními předpisy. </w:t>
      </w:r>
    </w:p>
    <w:p w14:paraId="2A2DAC63" w14:textId="77777777" w:rsidR="000D6E7D" w:rsidRPr="00757D7D" w:rsidRDefault="000D6E7D" w:rsidP="006B6D61">
      <w:pPr>
        <w:pStyle w:val="Default"/>
        <w:spacing w:after="87"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Dílčí pochybení při administraci objednávek a veřejných zakázek na pořízení prostředků výpočetní techniky. </w:t>
      </w:r>
    </w:p>
    <w:p w14:paraId="353B25D0" w14:textId="77777777"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 Nedostatky v postupu při aktivaci a při vyřazování majetku. </w:t>
      </w:r>
    </w:p>
    <w:p w14:paraId="392659DB" w14:textId="77777777"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p>
    <w:p w14:paraId="0D5DE234" w14:textId="526FD41E"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Stěžejní opatření k nápravě, jež byla auditovanými útvary na základě tohoto auditu přijata, jsou následující: </w:t>
      </w:r>
    </w:p>
    <w:p w14:paraId="65BBA302" w14:textId="77777777" w:rsidR="000D6E7D" w:rsidRPr="00757D7D" w:rsidRDefault="000D6E7D" w:rsidP="00E54955">
      <w:pPr>
        <w:pStyle w:val="Default"/>
        <w:numPr>
          <w:ilvl w:val="0"/>
          <w:numId w:val="43"/>
        </w:numPr>
        <w:spacing w:after="88"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 sjednocení interní úpravy problematiky nakládání s majetkem státu, </w:t>
      </w:r>
    </w:p>
    <w:p w14:paraId="6A696475" w14:textId="77777777" w:rsidR="000D6E7D" w:rsidRPr="00757D7D" w:rsidRDefault="000D6E7D" w:rsidP="00E54955">
      <w:pPr>
        <w:pStyle w:val="Default"/>
        <w:numPr>
          <w:ilvl w:val="0"/>
          <w:numId w:val="43"/>
        </w:numPr>
        <w:spacing w:after="88"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b) dodržování nastavených interních pravidel, zejména ze strany Odboru ICT jakožto odpovědného útvaru za přidělování prostředků výpočetní techniky, </w:t>
      </w:r>
    </w:p>
    <w:p w14:paraId="683FC973" w14:textId="77777777" w:rsidR="000D6E7D" w:rsidRPr="00757D7D" w:rsidRDefault="000D6E7D" w:rsidP="00E54955">
      <w:pPr>
        <w:pStyle w:val="Default"/>
        <w:numPr>
          <w:ilvl w:val="0"/>
          <w:numId w:val="43"/>
        </w:numPr>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c) změna provádění inventarizace majetku. </w:t>
      </w:r>
    </w:p>
    <w:p w14:paraId="72201EA9" w14:textId="77777777" w:rsidR="000D6E7D" w:rsidRPr="00757D7D" w:rsidRDefault="000D6E7D" w:rsidP="006B6D61">
      <w:pPr>
        <w:pStyle w:val="Default"/>
        <w:spacing w:line="276" w:lineRule="auto"/>
        <w:jc w:val="both"/>
        <w:rPr>
          <w:rFonts w:asciiTheme="minorHAnsi" w:eastAsia="Times New Roman" w:hAnsiTheme="minorHAnsi"/>
          <w:color w:val="auto"/>
          <w:szCs w:val="20"/>
          <w:lang w:eastAsia="cs-CZ"/>
        </w:rPr>
      </w:pPr>
    </w:p>
    <w:p w14:paraId="55452A16" w14:textId="2F41A442" w:rsidR="000D6E7D" w:rsidRDefault="000D6E7D"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Akční plán k odstranění nedostatků a zmírnění rizik zjištěných auditem byl ministrem schválen 12. prosince 2023 (projednání Zprávy o auditu a Návrhu Akčního plánu s příslušnými vrchními řediteli sekcí bylo uskutečněno dne 9. listopadu 2023). </w:t>
      </w:r>
    </w:p>
    <w:p w14:paraId="044756EA" w14:textId="1B394960" w:rsidR="00E11F3E" w:rsidRPr="00757D7D" w:rsidRDefault="00E11F3E" w:rsidP="006B6D61">
      <w:pPr>
        <w:pStyle w:val="Default"/>
        <w:spacing w:line="276" w:lineRule="auto"/>
        <w:jc w:val="both"/>
        <w:rPr>
          <w:rFonts w:asciiTheme="minorHAnsi" w:eastAsia="Times New Roman" w:hAnsiTheme="minorHAnsi"/>
          <w:color w:val="auto"/>
          <w:szCs w:val="20"/>
          <w:lang w:eastAsia="cs-CZ"/>
        </w:rPr>
      </w:pPr>
      <w:r>
        <w:rPr>
          <w:rFonts w:asciiTheme="minorHAnsi" w:eastAsia="Times New Roman" w:hAnsiTheme="minorHAnsi"/>
          <w:color w:val="auto"/>
          <w:szCs w:val="20"/>
          <w:lang w:eastAsia="cs-CZ"/>
        </w:rPr>
        <w:t>Přijatá opatření k nápravě jsou auditovanými útvary průběžně plněna.</w:t>
      </w:r>
    </w:p>
    <w:p w14:paraId="0D182EDA" w14:textId="5A7AB3C4" w:rsidR="00077004" w:rsidRPr="006B6D61" w:rsidRDefault="00CE4C3C" w:rsidP="00E20BD6">
      <w:pPr>
        <w:pStyle w:val="KOMnadp3"/>
        <w:rPr>
          <w:color w:val="FF0000"/>
        </w:rPr>
      </w:pPr>
      <w:bookmarkStart w:id="1340" w:name="_Toc162269299"/>
      <w:r w:rsidRPr="006B6D61">
        <w:t>Audit kybernetické bezpečnosti</w:t>
      </w:r>
      <w:bookmarkEnd w:id="1340"/>
      <w:r w:rsidRPr="007A4922" w:rsidDel="003465A8">
        <w:rPr>
          <w:color w:val="FF0000"/>
        </w:rPr>
        <w:t xml:space="preserve"> </w:t>
      </w:r>
      <w:bookmarkEnd w:id="1338"/>
    </w:p>
    <w:p w14:paraId="2655E4CB" w14:textId="60D91A3B" w:rsidR="009D4DFB" w:rsidRPr="00757D7D" w:rsidRDefault="00C2580A"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Cílem auditu bylo </w:t>
      </w:r>
      <w:r>
        <w:rPr>
          <w:rFonts w:asciiTheme="minorHAnsi" w:eastAsia="Times New Roman" w:hAnsiTheme="minorHAnsi"/>
          <w:color w:val="auto"/>
          <w:szCs w:val="20"/>
          <w:lang w:eastAsia="cs-CZ"/>
        </w:rPr>
        <w:t>o</w:t>
      </w:r>
      <w:r w:rsidRPr="00757D7D">
        <w:rPr>
          <w:rFonts w:asciiTheme="minorHAnsi" w:eastAsia="Times New Roman" w:hAnsiTheme="minorHAnsi"/>
          <w:color w:val="auto"/>
          <w:szCs w:val="20"/>
          <w:lang w:eastAsia="cs-CZ"/>
        </w:rPr>
        <w:t xml:space="preserve">věřit soulad nastavení systému řízení bezpečnosti informací Ministerstva dopravy s požadavky vyhlášky č. 82/2018 Sb. </w:t>
      </w:r>
      <w:r w:rsidR="009D4DFB" w:rsidRPr="00757D7D">
        <w:rPr>
          <w:rFonts w:asciiTheme="minorHAnsi" w:eastAsia="Times New Roman" w:hAnsiTheme="minorHAnsi"/>
          <w:color w:val="auto"/>
          <w:szCs w:val="20"/>
          <w:lang w:eastAsia="cs-CZ"/>
        </w:rPr>
        <w:t xml:space="preserve">o kybernetické bezpečnosti (dále jen „VKB“) </w:t>
      </w:r>
      <w:r w:rsidR="001172D5">
        <w:rPr>
          <w:rFonts w:asciiTheme="minorHAnsi" w:eastAsia="Times New Roman" w:hAnsiTheme="minorHAnsi"/>
          <w:color w:val="auto"/>
          <w:szCs w:val="20"/>
          <w:lang w:eastAsia="cs-CZ"/>
        </w:rPr>
        <w:br/>
      </w:r>
      <w:r w:rsidR="009D4DFB" w:rsidRPr="00757D7D">
        <w:rPr>
          <w:rFonts w:asciiTheme="minorHAnsi" w:eastAsia="Times New Roman" w:hAnsiTheme="minorHAnsi"/>
          <w:color w:val="auto"/>
          <w:szCs w:val="20"/>
          <w:lang w:eastAsia="cs-CZ"/>
        </w:rPr>
        <w:t xml:space="preserve">a zhodnotit bezpečnost vývoje software (§ 11 a 13 VKB), bezpečnost aplikací (§ 25 VKB) </w:t>
      </w:r>
      <w:r w:rsidR="001172D5">
        <w:rPr>
          <w:rFonts w:asciiTheme="minorHAnsi" w:eastAsia="Times New Roman" w:hAnsiTheme="minorHAnsi"/>
          <w:color w:val="auto"/>
          <w:szCs w:val="20"/>
          <w:lang w:eastAsia="cs-CZ"/>
        </w:rPr>
        <w:br/>
      </w:r>
      <w:r w:rsidR="009D4DFB" w:rsidRPr="00757D7D">
        <w:rPr>
          <w:rFonts w:asciiTheme="minorHAnsi" w:eastAsia="Times New Roman" w:hAnsiTheme="minorHAnsi"/>
          <w:color w:val="auto"/>
          <w:szCs w:val="20"/>
          <w:lang w:eastAsia="cs-CZ"/>
        </w:rPr>
        <w:lastRenderedPageBreak/>
        <w:t xml:space="preserve">a zvládání kybernetických bezpečnostních událostí a incidentů (§ 14, 23, 24, 31 a 32 VKB), </w:t>
      </w:r>
      <w:r w:rsidR="001172D5">
        <w:rPr>
          <w:rFonts w:asciiTheme="minorHAnsi" w:eastAsia="Times New Roman" w:hAnsiTheme="minorHAnsi"/>
          <w:color w:val="auto"/>
          <w:szCs w:val="20"/>
          <w:lang w:eastAsia="cs-CZ"/>
        </w:rPr>
        <w:br/>
      </w:r>
      <w:r w:rsidR="009D4DFB" w:rsidRPr="00757D7D">
        <w:rPr>
          <w:rFonts w:asciiTheme="minorHAnsi" w:eastAsia="Times New Roman" w:hAnsiTheme="minorHAnsi"/>
          <w:color w:val="auto"/>
          <w:szCs w:val="20"/>
          <w:lang w:eastAsia="cs-CZ"/>
        </w:rPr>
        <w:t xml:space="preserve">a dále ověřit plnění opatření k nápravě přijatých v rámci auditů kybernetické bezpečnosti provedených v letech 2019, 2020, 2021 a 2022. </w:t>
      </w:r>
    </w:p>
    <w:p w14:paraId="48370103" w14:textId="77777777" w:rsidR="009D4DFB" w:rsidRPr="00757D7D" w:rsidRDefault="009D4DFB"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Auditem bylo identifikováno celkem 6 zjištění, z toho 2 s vysokou mírou významnosti, 3 se střední mírou významnosti a 1 s nízkou mírou významnosti. Celkově byla auditovaná oblast hodnocena stupněm </w:t>
      </w:r>
      <w:proofErr w:type="gramStart"/>
      <w:r w:rsidRPr="00757D7D">
        <w:rPr>
          <w:rFonts w:asciiTheme="minorHAnsi" w:eastAsia="Times New Roman" w:hAnsiTheme="minorHAnsi"/>
          <w:color w:val="auto"/>
          <w:szCs w:val="20"/>
          <w:lang w:eastAsia="cs-CZ"/>
        </w:rPr>
        <w:t>3 – s</w:t>
      </w:r>
      <w:proofErr w:type="gramEnd"/>
      <w:r w:rsidRPr="00757D7D">
        <w:rPr>
          <w:rFonts w:asciiTheme="minorHAnsi" w:eastAsia="Times New Roman" w:hAnsiTheme="minorHAnsi"/>
          <w:color w:val="auto"/>
          <w:szCs w:val="20"/>
          <w:lang w:eastAsia="cs-CZ"/>
        </w:rPr>
        <w:t xml:space="preserve"> výhradou. </w:t>
      </w:r>
    </w:p>
    <w:p w14:paraId="012EA297" w14:textId="03D02BBE" w:rsidR="009D4DFB" w:rsidRPr="00757D7D" w:rsidRDefault="009D4DFB"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Auditovanými útvary byla na základě identifikovaných zjištění přijata odpovídající opatření </w:t>
      </w:r>
      <w:r w:rsidR="001172D5">
        <w:rPr>
          <w:rFonts w:asciiTheme="minorHAnsi" w:eastAsia="Times New Roman" w:hAnsiTheme="minorHAnsi"/>
          <w:color w:val="auto"/>
          <w:szCs w:val="20"/>
          <w:lang w:eastAsia="cs-CZ"/>
        </w:rPr>
        <w:br/>
      </w:r>
      <w:r w:rsidRPr="00757D7D">
        <w:rPr>
          <w:rFonts w:asciiTheme="minorHAnsi" w:eastAsia="Times New Roman" w:hAnsiTheme="minorHAnsi"/>
          <w:color w:val="auto"/>
          <w:szCs w:val="20"/>
          <w:lang w:eastAsia="cs-CZ"/>
        </w:rPr>
        <w:t xml:space="preserve">k nápravě. </w:t>
      </w:r>
    </w:p>
    <w:p w14:paraId="75202DCE" w14:textId="77777777" w:rsidR="009D4DFB" w:rsidRPr="00757D7D" w:rsidRDefault="009D4DFB" w:rsidP="006B6D61">
      <w:pPr>
        <w:pStyle w:val="Default"/>
        <w:spacing w:line="276" w:lineRule="auto"/>
        <w:jc w:val="both"/>
        <w:rPr>
          <w:rFonts w:asciiTheme="minorHAnsi" w:eastAsia="Times New Roman" w:hAnsiTheme="minorHAnsi"/>
          <w:color w:val="auto"/>
          <w:szCs w:val="20"/>
          <w:lang w:eastAsia="cs-CZ"/>
        </w:rPr>
      </w:pPr>
      <w:r w:rsidRPr="00757D7D">
        <w:rPr>
          <w:rFonts w:asciiTheme="minorHAnsi" w:eastAsia="Times New Roman" w:hAnsiTheme="minorHAnsi"/>
          <w:color w:val="auto"/>
          <w:szCs w:val="20"/>
          <w:lang w:eastAsia="cs-CZ"/>
        </w:rPr>
        <w:t xml:space="preserve">Akční plán k odstranění nedostatků a zmírnění rizik zjištěných auditem byl ministrem schválen 12. prosince 2023 (projednání Zprávy o auditu a Návrhu Akčního plánu s příslušnými vrchními řediteli sekcí bylo uskutečněno dne 22. listopadu 2023). </w:t>
      </w:r>
    </w:p>
    <w:p w14:paraId="4E7813D0" w14:textId="6E8A2574" w:rsidR="003465A8" w:rsidRPr="006B6D61" w:rsidRDefault="009D4DFB" w:rsidP="00AA165E">
      <w:pPr>
        <w:pStyle w:val="KOMtext"/>
      </w:pPr>
      <w:r w:rsidRPr="00757D7D">
        <w:t>Přijatá opatření k nápravě jsou auditovanými útvary průběžně plněna.</w:t>
      </w:r>
    </w:p>
    <w:p w14:paraId="58ACF709" w14:textId="3E4FE449" w:rsidR="00C2580A" w:rsidRPr="006B6D61" w:rsidRDefault="00C2580A" w:rsidP="00FE67C5">
      <w:pPr>
        <w:pStyle w:val="KOMnadp2"/>
      </w:pPr>
      <w:bookmarkStart w:id="1341" w:name="_Toc128397768"/>
      <w:bookmarkStart w:id="1342" w:name="_Toc128397901"/>
      <w:bookmarkStart w:id="1343" w:name="_Toc128398122"/>
      <w:bookmarkStart w:id="1344" w:name="_Toc128398462"/>
      <w:bookmarkStart w:id="1345" w:name="_Toc128398591"/>
      <w:bookmarkStart w:id="1346" w:name="_Toc128398804"/>
      <w:bookmarkStart w:id="1347" w:name="_Toc128400120"/>
      <w:bookmarkStart w:id="1348" w:name="_Toc128401360"/>
      <w:bookmarkStart w:id="1349" w:name="_Toc128401488"/>
      <w:bookmarkStart w:id="1350" w:name="_Toc128401975"/>
      <w:bookmarkStart w:id="1351" w:name="_Toc128400121"/>
      <w:bookmarkStart w:id="1352" w:name="_Toc162269300"/>
      <w:bookmarkEnd w:id="1341"/>
      <w:bookmarkEnd w:id="1342"/>
      <w:bookmarkEnd w:id="1343"/>
      <w:bookmarkEnd w:id="1344"/>
      <w:bookmarkEnd w:id="1345"/>
      <w:bookmarkEnd w:id="1346"/>
      <w:bookmarkEnd w:id="1347"/>
      <w:bookmarkEnd w:id="1348"/>
      <w:bookmarkEnd w:id="1349"/>
      <w:bookmarkEnd w:id="1350"/>
      <w:r w:rsidRPr="006B6D61">
        <w:t>HLÁŠENÍ NESROVNALOSTÍ – KONTAKTNÍ BOD AFCOS</w:t>
      </w:r>
      <w:bookmarkEnd w:id="1351"/>
      <w:bookmarkEnd w:id="1352"/>
    </w:p>
    <w:p w14:paraId="7E8E045C" w14:textId="289DCDED" w:rsidR="00C2580A" w:rsidRPr="006B6D61" w:rsidRDefault="00B063D9" w:rsidP="003F0A7C">
      <w:pPr>
        <w:pStyle w:val="KOMtext"/>
      </w:pPr>
      <w:r w:rsidRPr="00D8178D">
        <w:t xml:space="preserve">Odbor </w:t>
      </w:r>
      <w:r w:rsidR="00C2580A" w:rsidRPr="00D8178D">
        <w:t xml:space="preserve">interního auditu </w:t>
      </w:r>
      <w:r w:rsidRPr="00D8178D">
        <w:t xml:space="preserve">a kontroly </w:t>
      </w:r>
      <w:r w:rsidR="00C2580A" w:rsidRPr="006B6D61">
        <w:t xml:space="preserve">plní funkci lokálního kontaktního bodu AFCOS </w:t>
      </w:r>
      <w:r w:rsidR="00DB50F7" w:rsidRPr="006B6D61">
        <w:br/>
      </w:r>
      <w:r w:rsidR="00C2580A" w:rsidRPr="006B6D61">
        <w:t xml:space="preserve">v Ministerstvu dopravy (Centrálním kontaktním bodem AFCOS v ČR </w:t>
      </w:r>
      <w:r w:rsidR="0080404D" w:rsidRPr="006B6D61">
        <w:t>je</w:t>
      </w:r>
      <w:r w:rsidR="00B81474">
        <w:t xml:space="preserve"> </w:t>
      </w:r>
      <w:r w:rsidR="00C2580A" w:rsidRPr="006B6D61">
        <w:t xml:space="preserve">v Ministerstvu financí odbor </w:t>
      </w:r>
      <w:r w:rsidR="00FB7B61" w:rsidRPr="00D8178D">
        <w:t>47 – Centrální harmonizační jednotka</w:t>
      </w:r>
      <w:r w:rsidR="00C2580A" w:rsidRPr="006B6D61">
        <w:t xml:space="preserve">). </w:t>
      </w:r>
      <w:r w:rsidR="00CC2685" w:rsidRPr="00D8178D">
        <w:t>Odbor interního auditu a kontroly</w:t>
      </w:r>
      <w:r w:rsidR="00C2580A" w:rsidRPr="00D8178D">
        <w:t xml:space="preserve"> </w:t>
      </w:r>
      <w:r w:rsidR="00C2580A" w:rsidRPr="006B6D61">
        <w:t xml:space="preserve">zajišťuje úkoly spojené se šetřením případů, kterými byly dotčeny finanční nebo ekonomické zájmy Evropské Unie, podává prostřednictvím Centrálního kontaktního bodu AFCOS v ČR Evropskému úřadu pro potírání podvodných jednání – OLAF (Office de </w:t>
      </w:r>
      <w:proofErr w:type="spellStart"/>
      <w:r w:rsidR="00C2580A" w:rsidRPr="006B6D61">
        <w:t>Lutte</w:t>
      </w:r>
      <w:proofErr w:type="spellEnd"/>
      <w:r w:rsidR="00C2580A" w:rsidRPr="006B6D61">
        <w:t xml:space="preserve"> Anti-</w:t>
      </w:r>
      <w:proofErr w:type="spellStart"/>
      <w:r w:rsidR="00C2580A" w:rsidRPr="006B6D61">
        <w:t>Fraude</w:t>
      </w:r>
      <w:proofErr w:type="spellEnd"/>
      <w:r w:rsidR="00C2580A" w:rsidRPr="006B6D61">
        <w:t>) čtvrtletní hlášení nesrovnalostí (nad 10 000 €), která jsou zpracovávána na základě podkladů od Řídícího orgánu Operačního programu Doprava (Odbor fondů EU</w:t>
      </w:r>
      <w:r w:rsidR="00691282" w:rsidRPr="006B6D61">
        <w:t xml:space="preserve"> Ministerstva dopravy</w:t>
      </w:r>
      <w:r w:rsidR="00C2580A" w:rsidRPr="006B6D61">
        <w:t>).</w:t>
      </w:r>
    </w:p>
    <w:p w14:paraId="2CFD37F0" w14:textId="48F1B478" w:rsidR="0049275E" w:rsidRPr="0077128B" w:rsidRDefault="00C2580A" w:rsidP="003F0A7C">
      <w:pPr>
        <w:pStyle w:val="KOMtext"/>
        <w:rPr>
          <w:color w:val="FF0000"/>
        </w:rPr>
      </w:pPr>
      <w:r w:rsidRPr="00757D7D">
        <w:t xml:space="preserve">V roce </w:t>
      </w:r>
      <w:r w:rsidR="00077C7D" w:rsidRPr="00757D7D">
        <w:t xml:space="preserve">2023 byla odeslána hlášení za 4. čtvrtletí 2022, kdy byly hlášeny 2 nesrovnalosti, </w:t>
      </w:r>
      <w:r w:rsidR="00B81474">
        <w:br/>
      </w:r>
      <w:r w:rsidR="00077C7D" w:rsidRPr="00757D7D">
        <w:t>za 1. čtvrtletí 2023 byla hlášena 1 nesrovnalost, za 2. čtvrtletí 2023 byly hlášeny 2 nesrovnalosti a za 3. čtvrtletí 2023 byla hlášena 1 nesrovnalost. Hlášení za 4. čtvrtletí 2023, kdy byly hlášeny 2 nesrovnalosti, odeslal Odbor interního auditu a kontroly Ministerstvu financí v lednu 202</w:t>
      </w:r>
      <w:r w:rsidR="00B563A9">
        <w:t>4.</w:t>
      </w:r>
    </w:p>
    <w:sectPr w:rsidR="0049275E" w:rsidRPr="0077128B">
      <w:footerReference w:type="default" r:id="rId14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3CE1F8" w14:textId="77777777" w:rsidR="002A0ABA" w:rsidRDefault="002A0ABA" w:rsidP="0032380E">
      <w:pPr>
        <w:spacing w:after="0" w:line="240" w:lineRule="auto"/>
      </w:pPr>
      <w:r>
        <w:separator/>
      </w:r>
    </w:p>
  </w:endnote>
  <w:endnote w:type="continuationSeparator" w:id="0">
    <w:p w14:paraId="62E50968" w14:textId="77777777" w:rsidR="002A0ABA" w:rsidRDefault="002A0ABA" w:rsidP="0032380E">
      <w:pPr>
        <w:spacing w:after="0" w:line="240" w:lineRule="auto"/>
      </w:pPr>
      <w:r>
        <w:continuationSeparator/>
      </w:r>
    </w:p>
  </w:endnote>
  <w:endnote w:type="continuationNotice" w:id="1">
    <w:p w14:paraId="22467F9B" w14:textId="77777777" w:rsidR="002A0ABA" w:rsidRDefault="002A0AB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EE"/>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938E9" w14:textId="77777777" w:rsidR="003441A9" w:rsidRDefault="003441A9">
    <w:pPr>
      <w:pStyle w:val="Zpat"/>
      <w:jc w:val="center"/>
    </w:pPr>
  </w:p>
  <w:p w14:paraId="0B490675" w14:textId="77777777" w:rsidR="003441A9" w:rsidRDefault="003441A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5867114"/>
      <w:docPartObj>
        <w:docPartGallery w:val="Page Numbers (Bottom of Page)"/>
        <w:docPartUnique/>
      </w:docPartObj>
    </w:sdtPr>
    <w:sdtEndPr/>
    <w:sdtContent>
      <w:p w14:paraId="0618D2CA" w14:textId="76FDE0C8" w:rsidR="003441A9" w:rsidRDefault="003441A9">
        <w:pPr>
          <w:pStyle w:val="Zpat"/>
          <w:jc w:val="center"/>
        </w:pPr>
        <w:r>
          <w:fldChar w:fldCharType="begin"/>
        </w:r>
        <w:r>
          <w:instrText>PAGE   \* MERGEFORMAT</w:instrText>
        </w:r>
        <w:r>
          <w:fldChar w:fldCharType="separate"/>
        </w:r>
        <w:r w:rsidR="005D74D1">
          <w:rPr>
            <w:noProof/>
          </w:rPr>
          <w:t>82</w:t>
        </w:r>
        <w:r>
          <w:fldChar w:fldCharType="end"/>
        </w:r>
      </w:p>
    </w:sdtContent>
  </w:sdt>
  <w:p w14:paraId="015B5226" w14:textId="77777777" w:rsidR="003441A9" w:rsidRDefault="003441A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8952C" w14:textId="77777777" w:rsidR="002A0ABA" w:rsidRDefault="002A0ABA" w:rsidP="0032380E">
      <w:pPr>
        <w:spacing w:after="0" w:line="240" w:lineRule="auto"/>
      </w:pPr>
      <w:r>
        <w:separator/>
      </w:r>
    </w:p>
  </w:footnote>
  <w:footnote w:type="continuationSeparator" w:id="0">
    <w:p w14:paraId="222BF9CF" w14:textId="77777777" w:rsidR="002A0ABA" w:rsidRDefault="002A0ABA" w:rsidP="0032380E">
      <w:pPr>
        <w:spacing w:after="0" w:line="240" w:lineRule="auto"/>
      </w:pPr>
      <w:r>
        <w:continuationSeparator/>
      </w:r>
    </w:p>
  </w:footnote>
  <w:footnote w:type="continuationNotice" w:id="1">
    <w:p w14:paraId="0CEA3289" w14:textId="77777777" w:rsidR="002A0ABA" w:rsidRDefault="002A0ABA">
      <w:pPr>
        <w:spacing w:after="0" w:line="240" w:lineRule="auto"/>
      </w:pPr>
    </w:p>
  </w:footnote>
  <w:footnote w:id="2">
    <w:p w14:paraId="63E9D64A" w14:textId="31086C13" w:rsidR="00662AD0" w:rsidRDefault="00662AD0">
      <w:pPr>
        <w:pStyle w:val="Textpoznpodarou"/>
      </w:pPr>
      <w:r>
        <w:rPr>
          <w:rStyle w:val="Znakapoznpodarou"/>
        </w:rPr>
        <w:footnoteRef/>
      </w:r>
      <w:r>
        <w:t xml:space="preserve"> </w:t>
      </w:r>
      <w:r w:rsidR="00662A26">
        <w:t>U s</w:t>
      </w:r>
      <w:r w:rsidR="00CB0BEE">
        <w:t>tarého i nového programu</w:t>
      </w:r>
    </w:p>
  </w:footnote>
  <w:footnote w:id="3">
    <w:p w14:paraId="5FE3EE2C" w14:textId="5385A327" w:rsidR="00785855" w:rsidRDefault="00785855">
      <w:pPr>
        <w:pStyle w:val="Textpoznpodarou"/>
      </w:pPr>
      <w:r>
        <w:rPr>
          <w:rStyle w:val="Znakapoznpodarou"/>
        </w:rPr>
        <w:footnoteRef/>
      </w:r>
      <w:r>
        <w:t xml:space="preserve"> Vyjma prostředků EU</w:t>
      </w:r>
      <w:r w:rsidR="00F6027E">
        <w:t xml:space="preserve"> uvedených v</w:t>
      </w:r>
      <w:r w:rsidR="004F4BD5">
        <w:t> </w:t>
      </w:r>
      <w:r w:rsidR="00F6027E">
        <w:t>předešlé</w:t>
      </w:r>
      <w:r w:rsidR="000B6166">
        <w:t xml:space="preserve"> části</w:t>
      </w:r>
      <w:r w:rsidR="004F4BD5">
        <w:t xml:space="preserve"> ve výši 2 645 tis. Kč.</w:t>
      </w:r>
    </w:p>
  </w:footnote>
  <w:footnote w:id="4">
    <w:p w14:paraId="0BD6C771" w14:textId="77777777" w:rsidR="00AE5443" w:rsidRPr="00D3010F" w:rsidRDefault="00AE5443" w:rsidP="00AE5443">
      <w:pPr>
        <w:pStyle w:val="Textpoznpodarou"/>
        <w:jc w:val="both"/>
        <w:rPr>
          <w:rFonts w:asciiTheme="minorHAnsi" w:hAnsiTheme="minorHAnsi" w:cstheme="minorHAnsi"/>
          <w:sz w:val="18"/>
          <w:szCs w:val="18"/>
        </w:rPr>
      </w:pPr>
      <w:r w:rsidRPr="00D3010F">
        <w:rPr>
          <w:rStyle w:val="Znakapoznpodarou"/>
          <w:rFonts w:asciiTheme="minorHAnsi" w:hAnsiTheme="minorHAnsi" w:cstheme="minorHAnsi"/>
          <w:sz w:val="18"/>
          <w:szCs w:val="18"/>
        </w:rPr>
        <w:footnoteRef/>
      </w:r>
      <w:r w:rsidRPr="00D3010F">
        <w:rPr>
          <w:rFonts w:asciiTheme="minorHAnsi" w:hAnsiTheme="minorHAnsi" w:cstheme="minorHAnsi"/>
          <w:sz w:val="18"/>
          <w:szCs w:val="18"/>
        </w:rPr>
        <w:t xml:space="preserve"> Nařízení Evropského parlamentu a Rady (EU) 2021/1060  </w:t>
      </w:r>
      <w:r w:rsidRPr="00D3010F">
        <w:rPr>
          <w:rFonts w:asciiTheme="minorHAnsi" w:hAnsiTheme="minorHAnsi" w:cstheme="minorHAnsi"/>
          <w:bCs/>
          <w:sz w:val="18"/>
          <w:szCs w:val="18"/>
        </w:rPr>
        <w:t xml:space="preserve">o společných ustanoveních pro Evropský fond pro regionální rozvoj, Evropský sociální fond plus, Fond soudržnosti, Fond pro spravedlivou transformaci a Evropský námořní, rybářský </w:t>
      </w:r>
      <w:r>
        <w:rPr>
          <w:rFonts w:asciiTheme="minorHAnsi" w:hAnsiTheme="minorHAnsi" w:cstheme="minorHAnsi"/>
          <w:bCs/>
          <w:sz w:val="18"/>
          <w:szCs w:val="18"/>
        </w:rPr>
        <w:br/>
      </w:r>
      <w:r w:rsidRPr="00D3010F">
        <w:rPr>
          <w:rFonts w:asciiTheme="minorHAnsi" w:hAnsiTheme="minorHAnsi" w:cstheme="minorHAnsi"/>
          <w:bCs/>
          <w:sz w:val="18"/>
          <w:szCs w:val="18"/>
        </w:rPr>
        <w:t>a akvakulturní fond a o finančních pravidlech pro tyto fondy a pro Azylový, migrační a integrační fond, Fond pro vnitřní bezpečnost a Nástroj pro finanční podporu správy hranic a vízové politiky</w:t>
      </w:r>
      <w:r w:rsidRPr="00D3010F">
        <w:rPr>
          <w:rFonts w:asciiTheme="minorHAnsi" w:hAnsiTheme="minorHAnsi" w:cstheme="minorHAnsi"/>
          <w:b/>
          <w:bCs/>
          <w:sz w:val="18"/>
          <w:szCs w:val="18"/>
        </w:rPr>
        <w:t xml:space="preserve"> </w:t>
      </w:r>
    </w:p>
  </w:footnote>
  <w:footnote w:id="5">
    <w:p w14:paraId="43F2EBDF" w14:textId="77777777" w:rsidR="00F5199D" w:rsidRDefault="00F5199D" w:rsidP="00F5199D">
      <w:pPr>
        <w:pStyle w:val="KOMtext"/>
        <w:spacing w:before="0" w:after="0"/>
        <w:rPr>
          <w:rFonts w:ascii="Calibri" w:eastAsia="Calibri" w:hAnsi="Calibri" w:cs="Calibri"/>
          <w:sz w:val="18"/>
          <w:szCs w:val="18"/>
        </w:rPr>
      </w:pPr>
      <w:r>
        <w:rPr>
          <w:rStyle w:val="Znakapoznpodarou"/>
          <w:sz w:val="18"/>
          <w:szCs w:val="18"/>
        </w:rPr>
        <w:t>[1]</w:t>
      </w:r>
      <w:r>
        <w:rPr>
          <w:sz w:val="18"/>
          <w:szCs w:val="18"/>
        </w:rPr>
        <w:t xml:space="preserve"> Většina kompenzací z kategorie „ostatní“ se týká pouze „komerčních“ spojů, jedná se zejména o kompenzaci za bezplatnou přepravu dětí do 6 let a zlevněné jízdné pro zdravotně postižené, držitele průkazu ZTP a ZTP/P.</w:t>
      </w:r>
    </w:p>
    <w:p w14:paraId="594F9FCE" w14:textId="77777777" w:rsidR="00F5199D" w:rsidRDefault="00F5199D" w:rsidP="00F5199D">
      <w:pPr>
        <w:pStyle w:val="Textpoznpodarou"/>
        <w:rPr>
          <w:rFonts w:eastAsia="Calibri"/>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5"/>
    <w:multiLevelType w:val="singleLevel"/>
    <w:tmpl w:val="00000015"/>
    <w:name w:val="WW8Num30"/>
    <w:lvl w:ilvl="0">
      <w:numFmt w:val="bullet"/>
      <w:lvlText w:val=""/>
      <w:lvlJc w:val="left"/>
      <w:pPr>
        <w:tabs>
          <w:tab w:val="num" w:pos="567"/>
        </w:tabs>
        <w:ind w:left="567" w:hanging="283"/>
      </w:pPr>
      <w:rPr>
        <w:rFonts w:ascii="Symbol" w:hAnsi="Symbol"/>
        <w:color w:val="auto"/>
        <w:position w:val="0"/>
        <w:sz w:val="24"/>
        <w:vertAlign w:val="baseline"/>
      </w:rPr>
    </w:lvl>
  </w:abstractNum>
  <w:abstractNum w:abstractNumId="1" w15:restartNumberingAfterBreak="0">
    <w:nsid w:val="00000016"/>
    <w:multiLevelType w:val="singleLevel"/>
    <w:tmpl w:val="04050001"/>
    <w:lvl w:ilvl="0">
      <w:start w:val="1"/>
      <w:numFmt w:val="bullet"/>
      <w:lvlText w:val=""/>
      <w:lvlJc w:val="left"/>
      <w:pPr>
        <w:ind w:left="720" w:hanging="360"/>
      </w:pPr>
      <w:rPr>
        <w:rFonts w:ascii="Symbol" w:hAnsi="Symbol" w:hint="default"/>
      </w:rPr>
    </w:lvl>
  </w:abstractNum>
  <w:abstractNum w:abstractNumId="2" w15:restartNumberingAfterBreak="0">
    <w:nsid w:val="0000004D"/>
    <w:multiLevelType w:val="singleLevel"/>
    <w:tmpl w:val="0000004D"/>
    <w:name w:val="WW8Num77"/>
    <w:lvl w:ilvl="0">
      <w:start w:val="1"/>
      <w:numFmt w:val="bullet"/>
      <w:lvlText w:val=""/>
      <w:lvlJc w:val="left"/>
      <w:pPr>
        <w:tabs>
          <w:tab w:val="num" w:pos="1069"/>
        </w:tabs>
        <w:ind w:left="1069" w:hanging="360"/>
      </w:pPr>
      <w:rPr>
        <w:rFonts w:ascii="Wingdings" w:hAnsi="Wingdings"/>
        <w:color w:val="auto"/>
      </w:rPr>
    </w:lvl>
  </w:abstractNum>
  <w:abstractNum w:abstractNumId="3" w15:restartNumberingAfterBreak="0">
    <w:nsid w:val="00000062"/>
    <w:multiLevelType w:val="singleLevel"/>
    <w:tmpl w:val="10A86810"/>
    <w:name w:val="WW8Num98"/>
    <w:lvl w:ilvl="0">
      <w:numFmt w:val="bullet"/>
      <w:lvlText w:val=""/>
      <w:lvlJc w:val="left"/>
      <w:pPr>
        <w:tabs>
          <w:tab w:val="num" w:pos="567"/>
        </w:tabs>
        <w:ind w:left="567" w:hanging="283"/>
      </w:pPr>
      <w:rPr>
        <w:rFonts w:ascii="Symbol" w:hAnsi="Symbol"/>
        <w:color w:val="auto"/>
        <w:vertAlign w:val="baseline"/>
      </w:rPr>
    </w:lvl>
  </w:abstractNum>
  <w:abstractNum w:abstractNumId="4" w15:restartNumberingAfterBreak="0">
    <w:nsid w:val="06936041"/>
    <w:multiLevelType w:val="hybridMultilevel"/>
    <w:tmpl w:val="A1A230BA"/>
    <w:lvl w:ilvl="0" w:tplc="0405000B">
      <w:start w:val="1"/>
      <w:numFmt w:val="bullet"/>
      <w:lvlText w:val=""/>
      <w:lvlJc w:val="left"/>
      <w:pPr>
        <w:ind w:left="765" w:hanging="360"/>
      </w:pPr>
      <w:rPr>
        <w:rFonts w:ascii="Wingdings" w:hAnsi="Wingdings"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5" w15:restartNumberingAfterBreak="0">
    <w:nsid w:val="0D4671C8"/>
    <w:multiLevelType w:val="hybridMultilevel"/>
    <w:tmpl w:val="AA28304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F253673"/>
    <w:multiLevelType w:val="hybridMultilevel"/>
    <w:tmpl w:val="4DA8A3DC"/>
    <w:lvl w:ilvl="0" w:tplc="F056CB7C">
      <w:numFmt w:val="bullet"/>
      <w:lvlText w:val="-"/>
      <w:lvlJc w:val="left"/>
      <w:pPr>
        <w:ind w:left="1428"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FCF3618"/>
    <w:multiLevelType w:val="hybridMultilevel"/>
    <w:tmpl w:val="D588574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C924B4"/>
    <w:multiLevelType w:val="hybridMultilevel"/>
    <w:tmpl w:val="8EA831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88147D3"/>
    <w:multiLevelType w:val="hybridMultilevel"/>
    <w:tmpl w:val="45A785E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9DA7D92"/>
    <w:multiLevelType w:val="hybridMultilevel"/>
    <w:tmpl w:val="3A2288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B221763"/>
    <w:multiLevelType w:val="hybridMultilevel"/>
    <w:tmpl w:val="C8C23302"/>
    <w:lvl w:ilvl="0" w:tplc="0405000B">
      <w:start w:val="1"/>
      <w:numFmt w:val="bullet"/>
      <w:lvlText w:val=""/>
      <w:lvlJc w:val="left"/>
      <w:pPr>
        <w:ind w:left="1429" w:hanging="360"/>
      </w:pPr>
      <w:rPr>
        <w:rFonts w:ascii="Wingdings" w:hAnsi="Wingding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2" w15:restartNumberingAfterBreak="0">
    <w:nsid w:val="1C4B15AF"/>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3" w15:restartNumberingAfterBreak="0">
    <w:nsid w:val="25BC4BC7"/>
    <w:multiLevelType w:val="hybridMultilevel"/>
    <w:tmpl w:val="8D1014E4"/>
    <w:name w:val="WW8Num9823"/>
    <w:lvl w:ilvl="0" w:tplc="04050001">
      <w:start w:val="1"/>
      <w:numFmt w:val="bullet"/>
      <w:lvlText w:val=""/>
      <w:lvlJc w:val="left"/>
      <w:pPr>
        <w:tabs>
          <w:tab w:val="num" w:pos="1428"/>
        </w:tabs>
        <w:ind w:left="1428" w:hanging="360"/>
      </w:pPr>
      <w:rPr>
        <w:rFonts w:ascii="Wingdings" w:hAnsi="Wingdings" w:hint="default"/>
      </w:rPr>
    </w:lvl>
    <w:lvl w:ilvl="1" w:tplc="04050003" w:tentative="1">
      <w:start w:val="1"/>
      <w:numFmt w:val="bullet"/>
      <w:lvlText w:val="o"/>
      <w:lvlJc w:val="left"/>
      <w:pPr>
        <w:tabs>
          <w:tab w:val="num" w:pos="2148"/>
        </w:tabs>
        <w:ind w:left="2148" w:hanging="360"/>
      </w:pPr>
      <w:rPr>
        <w:rFonts w:ascii="Courier New" w:hAnsi="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14" w15:restartNumberingAfterBreak="0">
    <w:nsid w:val="2C0D1CB9"/>
    <w:multiLevelType w:val="hybridMultilevel"/>
    <w:tmpl w:val="28A6C34A"/>
    <w:lvl w:ilvl="0" w:tplc="77BAAB32">
      <w:start w:val="1"/>
      <w:numFmt w:val="bullet"/>
      <w:pStyle w:val="KOMnadp5"/>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F1B651B"/>
    <w:multiLevelType w:val="hybridMultilevel"/>
    <w:tmpl w:val="3EA0013E"/>
    <w:lvl w:ilvl="0" w:tplc="F89C21C0">
      <w:start w:val="1"/>
      <w:numFmt w:val="bullet"/>
      <w:pStyle w:val="KOModrky"/>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15:restartNumberingAfterBreak="0">
    <w:nsid w:val="30C23023"/>
    <w:multiLevelType w:val="multilevel"/>
    <w:tmpl w:val="C4047A00"/>
    <w:styleLink w:val="Aktulnseznam2"/>
    <w:lvl w:ilvl="0">
      <w:start w:val="1"/>
      <w:numFmt w:val="decimal"/>
      <w:lvlText w:val="%1."/>
      <w:lvlJc w:val="left"/>
      <w:pPr>
        <w:ind w:left="720" w:hanging="360"/>
      </w:pPr>
      <w:rPr>
        <w:b/>
        <w:color w:val="auto"/>
      </w:rPr>
    </w:lvl>
    <w:lvl w:ilvl="1">
      <w:start w:val="1"/>
      <w:numFmt w:val="decimal"/>
      <w:lvlText w:val="%1.%2"/>
      <w:lvlJc w:val="left"/>
      <w:pPr>
        <w:ind w:left="360" w:hanging="360"/>
      </w:pPr>
      <w:rPr>
        <w:b/>
        <w:i w:val="0"/>
        <w:color w:val="auto"/>
      </w:rPr>
    </w:lvl>
    <w:lvl w:ilvl="2">
      <w:start w:val="1"/>
      <w:numFmt w:val="decimal"/>
      <w:lvlText w:val="%1.%2.%3"/>
      <w:lvlJc w:val="left"/>
      <w:pPr>
        <w:ind w:left="72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7" w15:restartNumberingAfterBreak="0">
    <w:nsid w:val="33E06314"/>
    <w:multiLevelType w:val="hybridMultilevel"/>
    <w:tmpl w:val="AEB84FD4"/>
    <w:lvl w:ilvl="0" w:tplc="FE3C0FF4">
      <w:start w:val="1"/>
      <w:numFmt w:val="bullet"/>
      <w:lvlText w:val=""/>
      <w:lvlJc w:val="left"/>
      <w:pPr>
        <w:ind w:left="720" w:hanging="360"/>
      </w:pPr>
      <w:rPr>
        <w:rFonts w:ascii="Wingdings" w:hAnsi="Wingdings"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7CE2B13"/>
    <w:multiLevelType w:val="hybridMultilevel"/>
    <w:tmpl w:val="EB5E15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8CC308A"/>
    <w:multiLevelType w:val="hybridMultilevel"/>
    <w:tmpl w:val="A662B1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D633A74"/>
    <w:multiLevelType w:val="hybridMultilevel"/>
    <w:tmpl w:val="8326C6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1723B9"/>
    <w:multiLevelType w:val="hybridMultilevel"/>
    <w:tmpl w:val="EC60D728"/>
    <w:lvl w:ilvl="0" w:tplc="B538CA1C">
      <w:start w:val="1"/>
      <w:numFmt w:val="bullet"/>
      <w:lvlText w:val=""/>
      <w:lvlJc w:val="left"/>
      <w:pPr>
        <w:ind w:left="1125" w:hanging="360"/>
      </w:pPr>
      <w:rPr>
        <w:rFonts w:ascii="Wingdings" w:hAnsi="Wingdings" w:hint="default"/>
        <w:color w:val="auto"/>
      </w:rPr>
    </w:lvl>
    <w:lvl w:ilvl="1" w:tplc="04050003" w:tentative="1">
      <w:start w:val="1"/>
      <w:numFmt w:val="bullet"/>
      <w:lvlText w:val="o"/>
      <w:lvlJc w:val="left"/>
      <w:pPr>
        <w:ind w:left="1845" w:hanging="360"/>
      </w:pPr>
      <w:rPr>
        <w:rFonts w:ascii="Courier New" w:hAnsi="Courier New" w:cs="Courier New" w:hint="default"/>
      </w:rPr>
    </w:lvl>
    <w:lvl w:ilvl="2" w:tplc="04050005" w:tentative="1">
      <w:start w:val="1"/>
      <w:numFmt w:val="bullet"/>
      <w:lvlText w:val=""/>
      <w:lvlJc w:val="left"/>
      <w:pPr>
        <w:ind w:left="2565" w:hanging="360"/>
      </w:pPr>
      <w:rPr>
        <w:rFonts w:ascii="Wingdings" w:hAnsi="Wingdings" w:hint="default"/>
      </w:rPr>
    </w:lvl>
    <w:lvl w:ilvl="3" w:tplc="04050001" w:tentative="1">
      <w:start w:val="1"/>
      <w:numFmt w:val="bullet"/>
      <w:lvlText w:val=""/>
      <w:lvlJc w:val="left"/>
      <w:pPr>
        <w:ind w:left="3285" w:hanging="360"/>
      </w:pPr>
      <w:rPr>
        <w:rFonts w:ascii="Symbol" w:hAnsi="Symbol" w:hint="default"/>
      </w:rPr>
    </w:lvl>
    <w:lvl w:ilvl="4" w:tplc="04050003" w:tentative="1">
      <w:start w:val="1"/>
      <w:numFmt w:val="bullet"/>
      <w:lvlText w:val="o"/>
      <w:lvlJc w:val="left"/>
      <w:pPr>
        <w:ind w:left="4005" w:hanging="360"/>
      </w:pPr>
      <w:rPr>
        <w:rFonts w:ascii="Courier New" w:hAnsi="Courier New" w:cs="Courier New" w:hint="default"/>
      </w:rPr>
    </w:lvl>
    <w:lvl w:ilvl="5" w:tplc="04050005" w:tentative="1">
      <w:start w:val="1"/>
      <w:numFmt w:val="bullet"/>
      <w:lvlText w:val=""/>
      <w:lvlJc w:val="left"/>
      <w:pPr>
        <w:ind w:left="4725" w:hanging="360"/>
      </w:pPr>
      <w:rPr>
        <w:rFonts w:ascii="Wingdings" w:hAnsi="Wingdings" w:hint="default"/>
      </w:rPr>
    </w:lvl>
    <w:lvl w:ilvl="6" w:tplc="04050001" w:tentative="1">
      <w:start w:val="1"/>
      <w:numFmt w:val="bullet"/>
      <w:lvlText w:val=""/>
      <w:lvlJc w:val="left"/>
      <w:pPr>
        <w:ind w:left="5445" w:hanging="360"/>
      </w:pPr>
      <w:rPr>
        <w:rFonts w:ascii="Symbol" w:hAnsi="Symbol" w:hint="default"/>
      </w:rPr>
    </w:lvl>
    <w:lvl w:ilvl="7" w:tplc="04050003" w:tentative="1">
      <w:start w:val="1"/>
      <w:numFmt w:val="bullet"/>
      <w:lvlText w:val="o"/>
      <w:lvlJc w:val="left"/>
      <w:pPr>
        <w:ind w:left="6165" w:hanging="360"/>
      </w:pPr>
      <w:rPr>
        <w:rFonts w:ascii="Courier New" w:hAnsi="Courier New" w:cs="Courier New" w:hint="default"/>
      </w:rPr>
    </w:lvl>
    <w:lvl w:ilvl="8" w:tplc="04050005" w:tentative="1">
      <w:start w:val="1"/>
      <w:numFmt w:val="bullet"/>
      <w:lvlText w:val=""/>
      <w:lvlJc w:val="left"/>
      <w:pPr>
        <w:ind w:left="6885" w:hanging="360"/>
      </w:pPr>
      <w:rPr>
        <w:rFonts w:ascii="Wingdings" w:hAnsi="Wingdings" w:hint="default"/>
      </w:rPr>
    </w:lvl>
  </w:abstractNum>
  <w:abstractNum w:abstractNumId="22" w15:restartNumberingAfterBreak="0">
    <w:nsid w:val="43747773"/>
    <w:multiLevelType w:val="hybridMultilevel"/>
    <w:tmpl w:val="11E0162C"/>
    <w:lvl w:ilvl="0" w:tplc="DB2224EA">
      <w:start w:val="1"/>
      <w:numFmt w:val="bullet"/>
      <w:lvlText w:val=""/>
      <w:lvlJc w:val="left"/>
      <w:pPr>
        <w:ind w:left="1287" w:hanging="360"/>
      </w:pPr>
      <w:rPr>
        <w:rFonts w:ascii="Wingdings" w:hAnsi="Wingdings" w:hint="default"/>
        <w:color w:val="auto"/>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3" w15:restartNumberingAfterBreak="0">
    <w:nsid w:val="476657FA"/>
    <w:multiLevelType w:val="hybridMultilevel"/>
    <w:tmpl w:val="6F64DC54"/>
    <w:lvl w:ilvl="0" w:tplc="25C698F2">
      <w:start w:val="1"/>
      <w:numFmt w:val="bullet"/>
      <w:lvlText w:val=""/>
      <w:lvlJc w:val="left"/>
      <w:pPr>
        <w:ind w:left="786" w:hanging="360"/>
      </w:pPr>
      <w:rPr>
        <w:rFonts w:ascii="Wingdings" w:hAnsi="Wingdings"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B787344"/>
    <w:multiLevelType w:val="multilevel"/>
    <w:tmpl w:val="176CFBA6"/>
    <w:lvl w:ilvl="0">
      <w:start w:val="1"/>
      <w:numFmt w:val="decimal"/>
      <w:pStyle w:val="NADPIS10"/>
      <w:lvlText w:val="%1."/>
      <w:lvlJc w:val="left"/>
      <w:pPr>
        <w:tabs>
          <w:tab w:val="num" w:pos="709"/>
        </w:tabs>
        <w:ind w:left="709" w:hanging="709"/>
      </w:pPr>
      <w:rPr>
        <w:rFonts w:hint="default"/>
      </w:rPr>
    </w:lvl>
    <w:lvl w:ilvl="1">
      <w:start w:val="1"/>
      <w:numFmt w:val="decimal"/>
      <w:pStyle w:val="NADPIS20"/>
      <w:lvlText w:val="%1.%2."/>
      <w:lvlJc w:val="left"/>
      <w:pPr>
        <w:tabs>
          <w:tab w:val="num" w:pos="4679"/>
        </w:tabs>
        <w:ind w:left="4679" w:hanging="709"/>
      </w:pPr>
      <w:rPr>
        <w:rFonts w:hint="default"/>
      </w:rPr>
    </w:lvl>
    <w:lvl w:ilvl="2">
      <w:start w:val="1"/>
      <w:numFmt w:val="decimal"/>
      <w:pStyle w:val="NADPIS30"/>
      <w:lvlText w:val="%1.%2.%3."/>
      <w:lvlJc w:val="left"/>
      <w:pPr>
        <w:tabs>
          <w:tab w:val="num" w:pos="709"/>
        </w:tabs>
        <w:ind w:left="709" w:hanging="709"/>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5" w15:restartNumberingAfterBreak="0">
    <w:nsid w:val="4E6A6F32"/>
    <w:multiLevelType w:val="hybridMultilevel"/>
    <w:tmpl w:val="65641EE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FF240E4"/>
    <w:multiLevelType w:val="hybridMultilevel"/>
    <w:tmpl w:val="6764E3FC"/>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1E57AB6"/>
    <w:multiLevelType w:val="hybridMultilevel"/>
    <w:tmpl w:val="D1A07FF8"/>
    <w:lvl w:ilvl="0" w:tplc="81E01108">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8377CFE"/>
    <w:multiLevelType w:val="hybridMultilevel"/>
    <w:tmpl w:val="11DD1115"/>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5ADF6DC8"/>
    <w:multiLevelType w:val="hybridMultilevel"/>
    <w:tmpl w:val="1790750C"/>
    <w:lvl w:ilvl="0" w:tplc="04050001">
      <w:start w:val="1"/>
      <w:numFmt w:val="bullet"/>
      <w:lvlText w:val=""/>
      <w:lvlJc w:val="left"/>
      <w:pPr>
        <w:ind w:left="644"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C28360A"/>
    <w:multiLevelType w:val="hybridMultilevel"/>
    <w:tmpl w:val="DBF84E8A"/>
    <w:lvl w:ilvl="0" w:tplc="069CF9CC">
      <w:start w:val="1"/>
      <w:numFmt w:val="bullet"/>
      <w:pStyle w:val="ODRKY"/>
      <w:lvlText w:val="-"/>
      <w:lvlJc w:val="left"/>
      <w:pPr>
        <w:tabs>
          <w:tab w:val="num" w:pos="1066"/>
        </w:tabs>
        <w:ind w:left="1066" w:hanging="357"/>
      </w:pPr>
      <w:rPr>
        <w:rFonts w:ascii="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1250BEB"/>
    <w:multiLevelType w:val="hybridMultilevel"/>
    <w:tmpl w:val="CF22EE1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16F38EB"/>
    <w:multiLevelType w:val="hybridMultilevel"/>
    <w:tmpl w:val="BD2E2BBE"/>
    <w:lvl w:ilvl="0" w:tplc="E5245304">
      <w:start w:val="1"/>
      <w:numFmt w:val="bullet"/>
      <w:lvlText w:val=""/>
      <w:lvlJc w:val="left"/>
      <w:pPr>
        <w:tabs>
          <w:tab w:val="num" w:pos="720"/>
        </w:tabs>
        <w:ind w:left="720" w:hanging="360"/>
      </w:pPr>
      <w:rPr>
        <w:rFonts w:ascii="Symbol" w:hAnsi="Symbol" w:hint="default"/>
      </w:rPr>
    </w:lvl>
    <w:lvl w:ilvl="1" w:tplc="36107BA0">
      <w:start w:val="1"/>
      <w:numFmt w:val="bullet"/>
      <w:lvlText w:val="o"/>
      <w:lvlJc w:val="left"/>
      <w:pPr>
        <w:tabs>
          <w:tab w:val="num" w:pos="1440"/>
        </w:tabs>
        <w:ind w:left="1440" w:hanging="360"/>
      </w:pPr>
      <w:rPr>
        <w:rFonts w:ascii="Courier New" w:hAnsi="Courier New" w:cs="Courier New" w:hint="default"/>
      </w:rPr>
    </w:lvl>
    <w:lvl w:ilvl="2" w:tplc="2D60228E">
      <w:start w:val="1"/>
      <w:numFmt w:val="bullet"/>
      <w:lvlText w:val=""/>
      <w:lvlJc w:val="left"/>
      <w:pPr>
        <w:tabs>
          <w:tab w:val="num" w:pos="2160"/>
        </w:tabs>
        <w:ind w:left="2160" w:hanging="360"/>
      </w:pPr>
      <w:rPr>
        <w:rFonts w:ascii="Wingdings" w:hAnsi="Wingdings" w:hint="default"/>
      </w:rPr>
    </w:lvl>
    <w:lvl w:ilvl="3" w:tplc="08B422B8">
      <w:start w:val="1"/>
      <w:numFmt w:val="bullet"/>
      <w:lvlText w:val=""/>
      <w:lvlJc w:val="left"/>
      <w:pPr>
        <w:tabs>
          <w:tab w:val="num" w:pos="2880"/>
        </w:tabs>
        <w:ind w:left="2880" w:hanging="360"/>
      </w:pPr>
      <w:rPr>
        <w:rFonts w:ascii="Symbol" w:hAnsi="Symbol" w:hint="default"/>
      </w:rPr>
    </w:lvl>
    <w:lvl w:ilvl="4" w:tplc="46AA784E">
      <w:start w:val="1"/>
      <w:numFmt w:val="bullet"/>
      <w:lvlText w:val="o"/>
      <w:lvlJc w:val="left"/>
      <w:pPr>
        <w:tabs>
          <w:tab w:val="num" w:pos="3600"/>
        </w:tabs>
        <w:ind w:left="3600" w:hanging="360"/>
      </w:pPr>
      <w:rPr>
        <w:rFonts w:ascii="Courier New" w:hAnsi="Courier New" w:cs="Courier New" w:hint="default"/>
      </w:rPr>
    </w:lvl>
    <w:lvl w:ilvl="5" w:tplc="D11A6AC6">
      <w:start w:val="1"/>
      <w:numFmt w:val="bullet"/>
      <w:lvlText w:val=""/>
      <w:lvlJc w:val="left"/>
      <w:pPr>
        <w:tabs>
          <w:tab w:val="num" w:pos="4320"/>
        </w:tabs>
        <w:ind w:left="4320" w:hanging="360"/>
      </w:pPr>
      <w:rPr>
        <w:rFonts w:ascii="Wingdings" w:hAnsi="Wingdings" w:hint="default"/>
      </w:rPr>
    </w:lvl>
    <w:lvl w:ilvl="6" w:tplc="BC00C0FC">
      <w:start w:val="1"/>
      <w:numFmt w:val="bullet"/>
      <w:lvlText w:val=""/>
      <w:lvlJc w:val="left"/>
      <w:pPr>
        <w:tabs>
          <w:tab w:val="num" w:pos="5040"/>
        </w:tabs>
        <w:ind w:left="5040" w:hanging="360"/>
      </w:pPr>
      <w:rPr>
        <w:rFonts w:ascii="Symbol" w:hAnsi="Symbol" w:hint="default"/>
      </w:rPr>
    </w:lvl>
    <w:lvl w:ilvl="7" w:tplc="3F342CA6">
      <w:start w:val="1"/>
      <w:numFmt w:val="bullet"/>
      <w:lvlText w:val="o"/>
      <w:lvlJc w:val="left"/>
      <w:pPr>
        <w:tabs>
          <w:tab w:val="num" w:pos="5760"/>
        </w:tabs>
        <w:ind w:left="5760" w:hanging="360"/>
      </w:pPr>
      <w:rPr>
        <w:rFonts w:ascii="Courier New" w:hAnsi="Courier New" w:cs="Courier New" w:hint="default"/>
      </w:rPr>
    </w:lvl>
    <w:lvl w:ilvl="8" w:tplc="65E8D9A4">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22274E0"/>
    <w:multiLevelType w:val="hybridMultilevel"/>
    <w:tmpl w:val="20E41CBE"/>
    <w:lvl w:ilvl="0" w:tplc="0405000B">
      <w:start w:val="1"/>
      <w:numFmt w:val="bullet"/>
      <w:lvlText w:val=""/>
      <w:lvlJc w:val="left"/>
      <w:pPr>
        <w:ind w:left="781" w:hanging="360"/>
      </w:pPr>
      <w:rPr>
        <w:rFonts w:ascii="Wingdings" w:hAnsi="Wingdings" w:hint="default"/>
      </w:rPr>
    </w:lvl>
    <w:lvl w:ilvl="1" w:tplc="04050003" w:tentative="1">
      <w:start w:val="1"/>
      <w:numFmt w:val="bullet"/>
      <w:lvlText w:val="o"/>
      <w:lvlJc w:val="left"/>
      <w:pPr>
        <w:ind w:left="1501" w:hanging="360"/>
      </w:pPr>
      <w:rPr>
        <w:rFonts w:ascii="Courier New" w:hAnsi="Courier New" w:cs="Courier New" w:hint="default"/>
      </w:rPr>
    </w:lvl>
    <w:lvl w:ilvl="2" w:tplc="04050005" w:tentative="1">
      <w:start w:val="1"/>
      <w:numFmt w:val="bullet"/>
      <w:lvlText w:val=""/>
      <w:lvlJc w:val="left"/>
      <w:pPr>
        <w:ind w:left="2221" w:hanging="360"/>
      </w:pPr>
      <w:rPr>
        <w:rFonts w:ascii="Wingdings" w:hAnsi="Wingdings" w:hint="default"/>
      </w:rPr>
    </w:lvl>
    <w:lvl w:ilvl="3" w:tplc="04050001" w:tentative="1">
      <w:start w:val="1"/>
      <w:numFmt w:val="bullet"/>
      <w:lvlText w:val=""/>
      <w:lvlJc w:val="left"/>
      <w:pPr>
        <w:ind w:left="2941" w:hanging="360"/>
      </w:pPr>
      <w:rPr>
        <w:rFonts w:ascii="Symbol" w:hAnsi="Symbol" w:hint="default"/>
      </w:rPr>
    </w:lvl>
    <w:lvl w:ilvl="4" w:tplc="04050003" w:tentative="1">
      <w:start w:val="1"/>
      <w:numFmt w:val="bullet"/>
      <w:lvlText w:val="o"/>
      <w:lvlJc w:val="left"/>
      <w:pPr>
        <w:ind w:left="3661" w:hanging="360"/>
      </w:pPr>
      <w:rPr>
        <w:rFonts w:ascii="Courier New" w:hAnsi="Courier New" w:cs="Courier New" w:hint="default"/>
      </w:rPr>
    </w:lvl>
    <w:lvl w:ilvl="5" w:tplc="04050005" w:tentative="1">
      <w:start w:val="1"/>
      <w:numFmt w:val="bullet"/>
      <w:lvlText w:val=""/>
      <w:lvlJc w:val="left"/>
      <w:pPr>
        <w:ind w:left="4381" w:hanging="360"/>
      </w:pPr>
      <w:rPr>
        <w:rFonts w:ascii="Wingdings" w:hAnsi="Wingdings" w:hint="default"/>
      </w:rPr>
    </w:lvl>
    <w:lvl w:ilvl="6" w:tplc="04050001" w:tentative="1">
      <w:start w:val="1"/>
      <w:numFmt w:val="bullet"/>
      <w:lvlText w:val=""/>
      <w:lvlJc w:val="left"/>
      <w:pPr>
        <w:ind w:left="5101" w:hanging="360"/>
      </w:pPr>
      <w:rPr>
        <w:rFonts w:ascii="Symbol" w:hAnsi="Symbol" w:hint="default"/>
      </w:rPr>
    </w:lvl>
    <w:lvl w:ilvl="7" w:tplc="04050003" w:tentative="1">
      <w:start w:val="1"/>
      <w:numFmt w:val="bullet"/>
      <w:lvlText w:val="o"/>
      <w:lvlJc w:val="left"/>
      <w:pPr>
        <w:ind w:left="5821" w:hanging="360"/>
      </w:pPr>
      <w:rPr>
        <w:rFonts w:ascii="Courier New" w:hAnsi="Courier New" w:cs="Courier New" w:hint="default"/>
      </w:rPr>
    </w:lvl>
    <w:lvl w:ilvl="8" w:tplc="04050005" w:tentative="1">
      <w:start w:val="1"/>
      <w:numFmt w:val="bullet"/>
      <w:lvlText w:val=""/>
      <w:lvlJc w:val="left"/>
      <w:pPr>
        <w:ind w:left="6541" w:hanging="360"/>
      </w:pPr>
      <w:rPr>
        <w:rFonts w:ascii="Wingdings" w:hAnsi="Wingdings" w:hint="default"/>
      </w:rPr>
    </w:lvl>
  </w:abstractNum>
  <w:abstractNum w:abstractNumId="34" w15:restartNumberingAfterBreak="0">
    <w:nsid w:val="64270103"/>
    <w:multiLevelType w:val="multilevel"/>
    <w:tmpl w:val="C4047A00"/>
    <w:styleLink w:val="Aktulnseznam1"/>
    <w:lvl w:ilvl="0">
      <w:start w:val="1"/>
      <w:numFmt w:val="decimal"/>
      <w:lvlText w:val="%1."/>
      <w:lvlJc w:val="left"/>
      <w:pPr>
        <w:ind w:left="720" w:hanging="360"/>
      </w:pPr>
      <w:rPr>
        <w:b/>
        <w:color w:val="auto"/>
      </w:rPr>
    </w:lvl>
    <w:lvl w:ilvl="1">
      <w:start w:val="1"/>
      <w:numFmt w:val="decimal"/>
      <w:lvlText w:val="%1.%2"/>
      <w:lvlJc w:val="left"/>
      <w:pPr>
        <w:ind w:left="720" w:hanging="360"/>
      </w:pPr>
      <w:rPr>
        <w:b/>
        <w:i w:val="0"/>
        <w:color w:val="auto"/>
      </w:rPr>
    </w:lvl>
    <w:lvl w:ilvl="2">
      <w:start w:val="1"/>
      <w:numFmt w:val="decimal"/>
      <w:lvlText w:val="%1.%2.%3"/>
      <w:lvlJc w:val="left"/>
      <w:pPr>
        <w:ind w:left="72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35" w15:restartNumberingAfterBreak="0">
    <w:nsid w:val="68055770"/>
    <w:multiLevelType w:val="hybridMultilevel"/>
    <w:tmpl w:val="38E628A6"/>
    <w:lvl w:ilvl="0" w:tplc="0405000B">
      <w:start w:val="1"/>
      <w:numFmt w:val="bullet"/>
      <w:lvlText w:val=""/>
      <w:lvlJc w:val="left"/>
      <w:pPr>
        <w:ind w:left="1287" w:hanging="360"/>
      </w:pPr>
      <w:rPr>
        <w:rFonts w:ascii="Wingdings" w:hAnsi="Wingdings" w:hint="default"/>
        <w:color w:val="auto"/>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6" w15:restartNumberingAfterBreak="0">
    <w:nsid w:val="681C3C16"/>
    <w:multiLevelType w:val="hybridMultilevel"/>
    <w:tmpl w:val="93AE260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6B7419C4"/>
    <w:multiLevelType w:val="hybridMultilevel"/>
    <w:tmpl w:val="6790770C"/>
    <w:lvl w:ilvl="0" w:tplc="81E01108">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D4073EE"/>
    <w:multiLevelType w:val="hybridMultilevel"/>
    <w:tmpl w:val="979EFCE4"/>
    <w:lvl w:ilvl="0" w:tplc="DB5607D2">
      <w:start w:val="1"/>
      <w:numFmt w:val="bullet"/>
      <w:lvlText w:val=""/>
      <w:lvlJc w:val="left"/>
      <w:pPr>
        <w:tabs>
          <w:tab w:val="num" w:pos="1080"/>
        </w:tabs>
        <w:ind w:left="1080" w:hanging="360"/>
      </w:pPr>
      <w:rPr>
        <w:rFonts w:ascii="Wingdings" w:hAnsi="Wingdings" w:hint="default"/>
      </w:rPr>
    </w:lvl>
    <w:lvl w:ilvl="1" w:tplc="4A96AC7C" w:tentative="1">
      <w:start w:val="1"/>
      <w:numFmt w:val="bullet"/>
      <w:lvlText w:val="o"/>
      <w:lvlJc w:val="left"/>
      <w:pPr>
        <w:tabs>
          <w:tab w:val="num" w:pos="1800"/>
        </w:tabs>
        <w:ind w:left="1800" w:hanging="360"/>
      </w:pPr>
      <w:rPr>
        <w:rFonts w:ascii="Courier New" w:hAnsi="Courier New" w:cs="Courier New" w:hint="default"/>
      </w:rPr>
    </w:lvl>
    <w:lvl w:ilvl="2" w:tplc="9CA877E8" w:tentative="1">
      <w:start w:val="1"/>
      <w:numFmt w:val="bullet"/>
      <w:lvlText w:val=""/>
      <w:lvlJc w:val="left"/>
      <w:pPr>
        <w:tabs>
          <w:tab w:val="num" w:pos="2520"/>
        </w:tabs>
        <w:ind w:left="2520" w:hanging="360"/>
      </w:pPr>
      <w:rPr>
        <w:rFonts w:ascii="Wingdings" w:hAnsi="Wingdings" w:hint="default"/>
      </w:rPr>
    </w:lvl>
    <w:lvl w:ilvl="3" w:tplc="811C8F00" w:tentative="1">
      <w:start w:val="1"/>
      <w:numFmt w:val="bullet"/>
      <w:lvlText w:val=""/>
      <w:lvlJc w:val="left"/>
      <w:pPr>
        <w:tabs>
          <w:tab w:val="num" w:pos="3240"/>
        </w:tabs>
        <w:ind w:left="3240" w:hanging="360"/>
      </w:pPr>
      <w:rPr>
        <w:rFonts w:ascii="Symbol" w:hAnsi="Symbol" w:hint="default"/>
      </w:rPr>
    </w:lvl>
    <w:lvl w:ilvl="4" w:tplc="93188CF0" w:tentative="1">
      <w:start w:val="1"/>
      <w:numFmt w:val="bullet"/>
      <w:lvlText w:val="o"/>
      <w:lvlJc w:val="left"/>
      <w:pPr>
        <w:tabs>
          <w:tab w:val="num" w:pos="3960"/>
        </w:tabs>
        <w:ind w:left="3960" w:hanging="360"/>
      </w:pPr>
      <w:rPr>
        <w:rFonts w:ascii="Courier New" w:hAnsi="Courier New" w:cs="Courier New" w:hint="default"/>
      </w:rPr>
    </w:lvl>
    <w:lvl w:ilvl="5" w:tplc="6EE82092" w:tentative="1">
      <w:start w:val="1"/>
      <w:numFmt w:val="bullet"/>
      <w:lvlText w:val=""/>
      <w:lvlJc w:val="left"/>
      <w:pPr>
        <w:tabs>
          <w:tab w:val="num" w:pos="4680"/>
        </w:tabs>
        <w:ind w:left="4680" w:hanging="360"/>
      </w:pPr>
      <w:rPr>
        <w:rFonts w:ascii="Wingdings" w:hAnsi="Wingdings" w:hint="default"/>
      </w:rPr>
    </w:lvl>
    <w:lvl w:ilvl="6" w:tplc="DE16953A" w:tentative="1">
      <w:start w:val="1"/>
      <w:numFmt w:val="bullet"/>
      <w:lvlText w:val=""/>
      <w:lvlJc w:val="left"/>
      <w:pPr>
        <w:tabs>
          <w:tab w:val="num" w:pos="5400"/>
        </w:tabs>
        <w:ind w:left="5400" w:hanging="360"/>
      </w:pPr>
      <w:rPr>
        <w:rFonts w:ascii="Symbol" w:hAnsi="Symbol" w:hint="default"/>
      </w:rPr>
    </w:lvl>
    <w:lvl w:ilvl="7" w:tplc="472AA3FA" w:tentative="1">
      <w:start w:val="1"/>
      <w:numFmt w:val="bullet"/>
      <w:lvlText w:val="o"/>
      <w:lvlJc w:val="left"/>
      <w:pPr>
        <w:tabs>
          <w:tab w:val="num" w:pos="6120"/>
        </w:tabs>
        <w:ind w:left="6120" w:hanging="360"/>
      </w:pPr>
      <w:rPr>
        <w:rFonts w:ascii="Courier New" w:hAnsi="Courier New" w:cs="Courier New" w:hint="default"/>
      </w:rPr>
    </w:lvl>
    <w:lvl w:ilvl="8" w:tplc="5282D85A"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6DCA28EB"/>
    <w:multiLevelType w:val="hybridMultilevel"/>
    <w:tmpl w:val="D9EE2F3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50B6D7A"/>
    <w:multiLevelType w:val="hybridMultilevel"/>
    <w:tmpl w:val="58ECAF08"/>
    <w:lvl w:ilvl="0" w:tplc="04050001">
      <w:start w:val="1"/>
      <w:numFmt w:val="bullet"/>
      <w:lvlText w:val=""/>
      <w:lvlJc w:val="left"/>
      <w:pPr>
        <w:ind w:left="768" w:hanging="360"/>
      </w:pPr>
      <w:rPr>
        <w:rFonts w:ascii="Symbol" w:hAnsi="Symbol" w:hint="default"/>
      </w:rPr>
    </w:lvl>
    <w:lvl w:ilvl="1" w:tplc="04050003" w:tentative="1">
      <w:start w:val="1"/>
      <w:numFmt w:val="bullet"/>
      <w:lvlText w:val="o"/>
      <w:lvlJc w:val="left"/>
      <w:pPr>
        <w:ind w:left="1488" w:hanging="360"/>
      </w:pPr>
      <w:rPr>
        <w:rFonts w:ascii="Courier New" w:hAnsi="Courier New" w:cs="Courier New" w:hint="default"/>
      </w:rPr>
    </w:lvl>
    <w:lvl w:ilvl="2" w:tplc="04050005" w:tentative="1">
      <w:start w:val="1"/>
      <w:numFmt w:val="bullet"/>
      <w:lvlText w:val=""/>
      <w:lvlJc w:val="left"/>
      <w:pPr>
        <w:ind w:left="2208" w:hanging="360"/>
      </w:pPr>
      <w:rPr>
        <w:rFonts w:ascii="Wingdings" w:hAnsi="Wingdings" w:hint="default"/>
      </w:rPr>
    </w:lvl>
    <w:lvl w:ilvl="3" w:tplc="04050001" w:tentative="1">
      <w:start w:val="1"/>
      <w:numFmt w:val="bullet"/>
      <w:lvlText w:val=""/>
      <w:lvlJc w:val="left"/>
      <w:pPr>
        <w:ind w:left="2928" w:hanging="360"/>
      </w:pPr>
      <w:rPr>
        <w:rFonts w:ascii="Symbol" w:hAnsi="Symbol" w:hint="default"/>
      </w:rPr>
    </w:lvl>
    <w:lvl w:ilvl="4" w:tplc="04050003" w:tentative="1">
      <w:start w:val="1"/>
      <w:numFmt w:val="bullet"/>
      <w:lvlText w:val="o"/>
      <w:lvlJc w:val="left"/>
      <w:pPr>
        <w:ind w:left="3648" w:hanging="360"/>
      </w:pPr>
      <w:rPr>
        <w:rFonts w:ascii="Courier New" w:hAnsi="Courier New" w:cs="Courier New" w:hint="default"/>
      </w:rPr>
    </w:lvl>
    <w:lvl w:ilvl="5" w:tplc="04050005" w:tentative="1">
      <w:start w:val="1"/>
      <w:numFmt w:val="bullet"/>
      <w:lvlText w:val=""/>
      <w:lvlJc w:val="left"/>
      <w:pPr>
        <w:ind w:left="4368" w:hanging="360"/>
      </w:pPr>
      <w:rPr>
        <w:rFonts w:ascii="Wingdings" w:hAnsi="Wingdings" w:hint="default"/>
      </w:rPr>
    </w:lvl>
    <w:lvl w:ilvl="6" w:tplc="04050001" w:tentative="1">
      <w:start w:val="1"/>
      <w:numFmt w:val="bullet"/>
      <w:lvlText w:val=""/>
      <w:lvlJc w:val="left"/>
      <w:pPr>
        <w:ind w:left="5088" w:hanging="360"/>
      </w:pPr>
      <w:rPr>
        <w:rFonts w:ascii="Symbol" w:hAnsi="Symbol" w:hint="default"/>
      </w:rPr>
    </w:lvl>
    <w:lvl w:ilvl="7" w:tplc="04050003" w:tentative="1">
      <w:start w:val="1"/>
      <w:numFmt w:val="bullet"/>
      <w:lvlText w:val="o"/>
      <w:lvlJc w:val="left"/>
      <w:pPr>
        <w:ind w:left="5808" w:hanging="360"/>
      </w:pPr>
      <w:rPr>
        <w:rFonts w:ascii="Courier New" w:hAnsi="Courier New" w:cs="Courier New" w:hint="default"/>
      </w:rPr>
    </w:lvl>
    <w:lvl w:ilvl="8" w:tplc="04050005" w:tentative="1">
      <w:start w:val="1"/>
      <w:numFmt w:val="bullet"/>
      <w:lvlText w:val=""/>
      <w:lvlJc w:val="left"/>
      <w:pPr>
        <w:ind w:left="6528" w:hanging="360"/>
      </w:pPr>
      <w:rPr>
        <w:rFonts w:ascii="Wingdings" w:hAnsi="Wingdings" w:hint="default"/>
      </w:rPr>
    </w:lvl>
  </w:abstractNum>
  <w:abstractNum w:abstractNumId="41" w15:restartNumberingAfterBreak="0">
    <w:nsid w:val="75DA0E92"/>
    <w:multiLevelType w:val="hybridMultilevel"/>
    <w:tmpl w:val="425A020A"/>
    <w:lvl w:ilvl="0" w:tplc="04050001">
      <w:start w:val="1"/>
      <w:numFmt w:val="bullet"/>
      <w:lvlText w:val=""/>
      <w:lvlJc w:val="left"/>
      <w:pPr>
        <w:ind w:left="927" w:hanging="360"/>
      </w:pPr>
      <w:rPr>
        <w:rFonts w:ascii="Symbol" w:hAnsi="Symbo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42" w15:restartNumberingAfterBreak="0">
    <w:nsid w:val="7639604B"/>
    <w:multiLevelType w:val="hybridMultilevel"/>
    <w:tmpl w:val="019714F2"/>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78CA2295"/>
    <w:multiLevelType w:val="hybridMultilevel"/>
    <w:tmpl w:val="C3182B28"/>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AE97E14"/>
    <w:multiLevelType w:val="hybridMultilevel"/>
    <w:tmpl w:val="9836F630"/>
    <w:lvl w:ilvl="0" w:tplc="4A7002E6">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5" w15:restartNumberingAfterBreak="0">
    <w:nsid w:val="7B360DA9"/>
    <w:multiLevelType w:val="hybridMultilevel"/>
    <w:tmpl w:val="7962437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7C14693C"/>
    <w:multiLevelType w:val="multilevel"/>
    <w:tmpl w:val="ABEADA5C"/>
    <w:lvl w:ilvl="0">
      <w:start w:val="1"/>
      <w:numFmt w:val="decimal"/>
      <w:pStyle w:val="KOMNadp1"/>
      <w:lvlText w:val="%1"/>
      <w:lvlJc w:val="left"/>
      <w:pPr>
        <w:ind w:left="284" w:hanging="284"/>
      </w:pPr>
      <w:rPr>
        <w:rFonts w:hint="default"/>
      </w:rPr>
    </w:lvl>
    <w:lvl w:ilvl="1">
      <w:start w:val="1"/>
      <w:numFmt w:val="decimal"/>
      <w:pStyle w:val="KOMnadp2"/>
      <w:lvlText w:val="%1.%2."/>
      <w:lvlJc w:val="left"/>
      <w:pPr>
        <w:ind w:left="568" w:hanging="284"/>
      </w:pPr>
    </w:lvl>
    <w:lvl w:ilvl="2">
      <w:start w:val="1"/>
      <w:numFmt w:val="decimal"/>
      <w:pStyle w:val="KOMnadp3"/>
      <w:lvlText w:val="%1.%2.%3."/>
      <w:lvlJc w:val="left"/>
      <w:pPr>
        <w:ind w:left="3544" w:hanging="284"/>
      </w:pPr>
      <w:rPr>
        <w:color w:val="0070C0"/>
        <w:sz w:val="24"/>
        <w:szCs w:val="24"/>
      </w:rPr>
    </w:lvl>
    <w:lvl w:ilvl="3">
      <w:start w:val="1"/>
      <w:numFmt w:val="decimal"/>
      <w:lvlText w:val="%1.%2.%3.%4."/>
      <w:lvlJc w:val="left"/>
      <w:pPr>
        <w:ind w:left="1136" w:hanging="284"/>
      </w:pPr>
      <w:rPr>
        <w:rFonts w:hint="default"/>
      </w:rPr>
    </w:lvl>
    <w:lvl w:ilvl="4">
      <w:start w:val="1"/>
      <w:numFmt w:val="decimal"/>
      <w:lvlText w:val="%1.%2.%3.%4.%5."/>
      <w:lvlJc w:val="left"/>
      <w:pPr>
        <w:ind w:left="1420" w:hanging="284"/>
      </w:pPr>
      <w:rPr>
        <w:rFonts w:hint="default"/>
      </w:rPr>
    </w:lvl>
    <w:lvl w:ilvl="5">
      <w:start w:val="1"/>
      <w:numFmt w:val="decimal"/>
      <w:lvlText w:val="%1.%2.%3.%4.%5.%6."/>
      <w:lvlJc w:val="left"/>
      <w:pPr>
        <w:ind w:left="1704" w:hanging="284"/>
      </w:pPr>
      <w:rPr>
        <w:rFonts w:hint="default"/>
      </w:rPr>
    </w:lvl>
    <w:lvl w:ilvl="6">
      <w:start w:val="1"/>
      <w:numFmt w:val="decimal"/>
      <w:lvlText w:val="%1.%2.%3.%4.%5.%6.%7."/>
      <w:lvlJc w:val="left"/>
      <w:pPr>
        <w:ind w:left="1988" w:hanging="284"/>
      </w:pPr>
      <w:rPr>
        <w:rFonts w:hint="default"/>
      </w:rPr>
    </w:lvl>
    <w:lvl w:ilvl="7">
      <w:start w:val="1"/>
      <w:numFmt w:val="decimal"/>
      <w:lvlText w:val="%1.%2.%3.%4.%5.%6.%7.%8."/>
      <w:lvlJc w:val="left"/>
      <w:pPr>
        <w:ind w:left="2272" w:hanging="284"/>
      </w:pPr>
      <w:rPr>
        <w:rFonts w:hint="default"/>
      </w:rPr>
    </w:lvl>
    <w:lvl w:ilvl="8">
      <w:start w:val="1"/>
      <w:numFmt w:val="decimal"/>
      <w:lvlText w:val="%1.%2.%3.%4.%5.%6.%7.%8.%9."/>
      <w:lvlJc w:val="left"/>
      <w:pPr>
        <w:ind w:left="2556" w:hanging="284"/>
      </w:pPr>
      <w:rPr>
        <w:rFonts w:hint="default"/>
      </w:rPr>
    </w:lvl>
  </w:abstractNum>
  <w:abstractNum w:abstractNumId="47" w15:restartNumberingAfterBreak="0">
    <w:nsid w:val="7F930A33"/>
    <w:multiLevelType w:val="hybridMultilevel"/>
    <w:tmpl w:val="09A680AC"/>
    <w:lvl w:ilvl="0" w:tplc="0405000B">
      <w:start w:val="1"/>
      <w:numFmt w:val="bullet"/>
      <w:lvlText w:val=""/>
      <w:lvlJc w:val="left"/>
      <w:pPr>
        <w:ind w:left="1429" w:hanging="360"/>
      </w:pPr>
      <w:rPr>
        <w:rFonts w:ascii="Wingdings" w:hAnsi="Wingding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abstractNumId w:val="10"/>
  </w:num>
  <w:num w:numId="2">
    <w:abstractNumId w:val="19"/>
  </w:num>
  <w:num w:numId="3">
    <w:abstractNumId w:val="20"/>
  </w:num>
  <w:num w:numId="4">
    <w:abstractNumId w:val="14"/>
  </w:num>
  <w:num w:numId="5">
    <w:abstractNumId w:val="18"/>
  </w:num>
  <w:num w:numId="6">
    <w:abstractNumId w:val="37"/>
  </w:num>
  <w:num w:numId="7">
    <w:abstractNumId w:val="27"/>
  </w:num>
  <w:num w:numId="8">
    <w:abstractNumId w:val="15"/>
  </w:num>
  <w:num w:numId="9">
    <w:abstractNumId w:val="17"/>
  </w:num>
  <w:num w:numId="10">
    <w:abstractNumId w:val="5"/>
  </w:num>
  <w:num w:numId="11">
    <w:abstractNumId w:val="25"/>
  </w:num>
  <w:num w:numId="12">
    <w:abstractNumId w:val="33"/>
  </w:num>
  <w:num w:numId="13">
    <w:abstractNumId w:val="44"/>
  </w:num>
  <w:num w:numId="14">
    <w:abstractNumId w:val="2"/>
  </w:num>
  <w:num w:numId="15">
    <w:abstractNumId w:val="38"/>
  </w:num>
  <w:num w:numId="16">
    <w:abstractNumId w:val="0"/>
  </w:num>
  <w:num w:numId="17">
    <w:abstractNumId w:val="6"/>
  </w:num>
  <w:num w:numId="18">
    <w:abstractNumId w:val="47"/>
  </w:num>
  <w:num w:numId="19">
    <w:abstractNumId w:val="11"/>
  </w:num>
  <w:num w:numId="20">
    <w:abstractNumId w:val="1"/>
  </w:num>
  <w:num w:numId="21">
    <w:abstractNumId w:val="40"/>
  </w:num>
  <w:num w:numId="22">
    <w:abstractNumId w:val="3"/>
  </w:num>
  <w:num w:numId="23">
    <w:abstractNumId w:val="32"/>
  </w:num>
  <w:num w:numId="24">
    <w:abstractNumId w:val="39"/>
  </w:num>
  <w:num w:numId="25">
    <w:abstractNumId w:val="45"/>
  </w:num>
  <w:num w:numId="26">
    <w:abstractNumId w:val="7"/>
  </w:num>
  <w:num w:numId="27">
    <w:abstractNumId w:val="34"/>
  </w:num>
  <w:num w:numId="28">
    <w:abstractNumId w:val="16"/>
  </w:num>
  <w:num w:numId="29">
    <w:abstractNumId w:val="24"/>
  </w:num>
  <w:num w:numId="30">
    <w:abstractNumId w:val="30"/>
  </w:num>
  <w:num w:numId="31">
    <w:abstractNumId w:val="12"/>
  </w:num>
  <w:num w:numId="32">
    <w:abstractNumId w:val="8"/>
  </w:num>
  <w:num w:numId="33">
    <w:abstractNumId w:val="41"/>
  </w:num>
  <w:num w:numId="34">
    <w:abstractNumId w:val="4"/>
  </w:num>
  <w:num w:numId="35">
    <w:abstractNumId w:val="36"/>
  </w:num>
  <w:num w:numId="36">
    <w:abstractNumId w:val="23"/>
  </w:num>
  <w:num w:numId="37">
    <w:abstractNumId w:val="22"/>
  </w:num>
  <w:num w:numId="38">
    <w:abstractNumId w:val="21"/>
  </w:num>
  <w:num w:numId="39">
    <w:abstractNumId w:val="35"/>
  </w:num>
  <w:num w:numId="40">
    <w:abstractNumId w:val="46"/>
  </w:num>
  <w:num w:numId="41">
    <w:abstractNumId w:val="42"/>
  </w:num>
  <w:num w:numId="42">
    <w:abstractNumId w:val="9"/>
  </w:num>
  <w:num w:numId="43">
    <w:abstractNumId w:val="28"/>
  </w:num>
  <w:num w:numId="44">
    <w:abstractNumId w:val="43"/>
  </w:num>
  <w:num w:numId="45">
    <w:abstractNumId w:val="29"/>
  </w:num>
  <w:num w:numId="46">
    <w:abstractNumId w:val="26"/>
  </w:num>
  <w:num w:numId="47">
    <w:abstractNumId w:val="3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trackedChanges" w:enforcement="0"/>
  <w:defaultTabStop w:val="284"/>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275E"/>
    <w:rsid w:val="000004F5"/>
    <w:rsid w:val="00000665"/>
    <w:rsid w:val="00000BF5"/>
    <w:rsid w:val="00000D75"/>
    <w:rsid w:val="00000F1E"/>
    <w:rsid w:val="0000132C"/>
    <w:rsid w:val="00002387"/>
    <w:rsid w:val="00002578"/>
    <w:rsid w:val="00002795"/>
    <w:rsid w:val="00002986"/>
    <w:rsid w:val="00003155"/>
    <w:rsid w:val="00003B0A"/>
    <w:rsid w:val="00003E63"/>
    <w:rsid w:val="00003F18"/>
    <w:rsid w:val="00004D66"/>
    <w:rsid w:val="00005095"/>
    <w:rsid w:val="000056C4"/>
    <w:rsid w:val="000056F5"/>
    <w:rsid w:val="0000580A"/>
    <w:rsid w:val="000058DA"/>
    <w:rsid w:val="00006BF2"/>
    <w:rsid w:val="00006F77"/>
    <w:rsid w:val="00006FE5"/>
    <w:rsid w:val="000100B0"/>
    <w:rsid w:val="000109E9"/>
    <w:rsid w:val="00010D1F"/>
    <w:rsid w:val="00011A77"/>
    <w:rsid w:val="00012169"/>
    <w:rsid w:val="000127C9"/>
    <w:rsid w:val="00012EF9"/>
    <w:rsid w:val="00013633"/>
    <w:rsid w:val="00013820"/>
    <w:rsid w:val="00013ECC"/>
    <w:rsid w:val="000141DD"/>
    <w:rsid w:val="00014529"/>
    <w:rsid w:val="00014D3A"/>
    <w:rsid w:val="00014E83"/>
    <w:rsid w:val="00015BCE"/>
    <w:rsid w:val="0001654B"/>
    <w:rsid w:val="00016600"/>
    <w:rsid w:val="000168CD"/>
    <w:rsid w:val="000168E6"/>
    <w:rsid w:val="00016EC3"/>
    <w:rsid w:val="000174AE"/>
    <w:rsid w:val="000175DB"/>
    <w:rsid w:val="00017961"/>
    <w:rsid w:val="00017F06"/>
    <w:rsid w:val="0002096F"/>
    <w:rsid w:val="00020ECB"/>
    <w:rsid w:val="00022116"/>
    <w:rsid w:val="0002221C"/>
    <w:rsid w:val="0002285E"/>
    <w:rsid w:val="0002308C"/>
    <w:rsid w:val="00023116"/>
    <w:rsid w:val="000245CE"/>
    <w:rsid w:val="00025505"/>
    <w:rsid w:val="000256D3"/>
    <w:rsid w:val="00025FB0"/>
    <w:rsid w:val="00025FD3"/>
    <w:rsid w:val="00026362"/>
    <w:rsid w:val="00026B50"/>
    <w:rsid w:val="00026DBC"/>
    <w:rsid w:val="00026FB1"/>
    <w:rsid w:val="0002794E"/>
    <w:rsid w:val="00027A76"/>
    <w:rsid w:val="00030ECC"/>
    <w:rsid w:val="00032247"/>
    <w:rsid w:val="00032457"/>
    <w:rsid w:val="000325BE"/>
    <w:rsid w:val="000326D8"/>
    <w:rsid w:val="0003282F"/>
    <w:rsid w:val="000329CB"/>
    <w:rsid w:val="00032D2A"/>
    <w:rsid w:val="00032F32"/>
    <w:rsid w:val="000331C3"/>
    <w:rsid w:val="00033848"/>
    <w:rsid w:val="00033DFE"/>
    <w:rsid w:val="00035402"/>
    <w:rsid w:val="00035B11"/>
    <w:rsid w:val="00035D81"/>
    <w:rsid w:val="00036576"/>
    <w:rsid w:val="000369EB"/>
    <w:rsid w:val="00036B70"/>
    <w:rsid w:val="00036C83"/>
    <w:rsid w:val="000376E1"/>
    <w:rsid w:val="000378BF"/>
    <w:rsid w:val="000378FC"/>
    <w:rsid w:val="000378FD"/>
    <w:rsid w:val="00037EB1"/>
    <w:rsid w:val="000406BC"/>
    <w:rsid w:val="00040B05"/>
    <w:rsid w:val="00040F39"/>
    <w:rsid w:val="00041280"/>
    <w:rsid w:val="00041405"/>
    <w:rsid w:val="00041BBE"/>
    <w:rsid w:val="000423A5"/>
    <w:rsid w:val="00042422"/>
    <w:rsid w:val="0004388F"/>
    <w:rsid w:val="00043B98"/>
    <w:rsid w:val="00043CAB"/>
    <w:rsid w:val="000440B8"/>
    <w:rsid w:val="000443A9"/>
    <w:rsid w:val="00045416"/>
    <w:rsid w:val="000454AE"/>
    <w:rsid w:val="000456B5"/>
    <w:rsid w:val="000459BC"/>
    <w:rsid w:val="00045FF5"/>
    <w:rsid w:val="00046CB7"/>
    <w:rsid w:val="0004722C"/>
    <w:rsid w:val="00047743"/>
    <w:rsid w:val="00051494"/>
    <w:rsid w:val="000517D8"/>
    <w:rsid w:val="0005187F"/>
    <w:rsid w:val="00051CA9"/>
    <w:rsid w:val="000521E2"/>
    <w:rsid w:val="0005255A"/>
    <w:rsid w:val="00052E45"/>
    <w:rsid w:val="000530E1"/>
    <w:rsid w:val="0005415B"/>
    <w:rsid w:val="00054795"/>
    <w:rsid w:val="000547C9"/>
    <w:rsid w:val="000548D0"/>
    <w:rsid w:val="00054A8C"/>
    <w:rsid w:val="00054EA0"/>
    <w:rsid w:val="00055217"/>
    <w:rsid w:val="00055425"/>
    <w:rsid w:val="000559A6"/>
    <w:rsid w:val="00055ACA"/>
    <w:rsid w:val="00056076"/>
    <w:rsid w:val="000566BF"/>
    <w:rsid w:val="00056F5C"/>
    <w:rsid w:val="000570B0"/>
    <w:rsid w:val="00057849"/>
    <w:rsid w:val="00057B99"/>
    <w:rsid w:val="00060075"/>
    <w:rsid w:val="00060D84"/>
    <w:rsid w:val="00061039"/>
    <w:rsid w:val="00061570"/>
    <w:rsid w:val="00062392"/>
    <w:rsid w:val="000625E8"/>
    <w:rsid w:val="00062782"/>
    <w:rsid w:val="000627D1"/>
    <w:rsid w:val="00062CF3"/>
    <w:rsid w:val="00062E36"/>
    <w:rsid w:val="000631BC"/>
    <w:rsid w:val="000637CC"/>
    <w:rsid w:val="00063D6E"/>
    <w:rsid w:val="00064E94"/>
    <w:rsid w:val="00065252"/>
    <w:rsid w:val="00066ABC"/>
    <w:rsid w:val="00066CA0"/>
    <w:rsid w:val="000673B0"/>
    <w:rsid w:val="00067DFE"/>
    <w:rsid w:val="0007079C"/>
    <w:rsid w:val="00070AD3"/>
    <w:rsid w:val="00070B70"/>
    <w:rsid w:val="00070D90"/>
    <w:rsid w:val="00070E98"/>
    <w:rsid w:val="000712A5"/>
    <w:rsid w:val="00071754"/>
    <w:rsid w:val="00072890"/>
    <w:rsid w:val="00072E95"/>
    <w:rsid w:val="00073317"/>
    <w:rsid w:val="00074604"/>
    <w:rsid w:val="000747FD"/>
    <w:rsid w:val="00074CB1"/>
    <w:rsid w:val="00075C82"/>
    <w:rsid w:val="0007649C"/>
    <w:rsid w:val="00076557"/>
    <w:rsid w:val="00077004"/>
    <w:rsid w:val="000771AB"/>
    <w:rsid w:val="00077C7D"/>
    <w:rsid w:val="00080C60"/>
    <w:rsid w:val="00080D2F"/>
    <w:rsid w:val="00081226"/>
    <w:rsid w:val="00081439"/>
    <w:rsid w:val="00081BD0"/>
    <w:rsid w:val="00081FC7"/>
    <w:rsid w:val="00083041"/>
    <w:rsid w:val="0008322E"/>
    <w:rsid w:val="00083E98"/>
    <w:rsid w:val="00084270"/>
    <w:rsid w:val="00084781"/>
    <w:rsid w:val="00084AE8"/>
    <w:rsid w:val="00084D6F"/>
    <w:rsid w:val="000854D7"/>
    <w:rsid w:val="00085731"/>
    <w:rsid w:val="00085ADB"/>
    <w:rsid w:val="000862A4"/>
    <w:rsid w:val="00086328"/>
    <w:rsid w:val="00087171"/>
    <w:rsid w:val="0008719A"/>
    <w:rsid w:val="00087363"/>
    <w:rsid w:val="000901B6"/>
    <w:rsid w:val="00090583"/>
    <w:rsid w:val="000914D5"/>
    <w:rsid w:val="00091712"/>
    <w:rsid w:val="00092649"/>
    <w:rsid w:val="0009281C"/>
    <w:rsid w:val="00092E3A"/>
    <w:rsid w:val="00093D7A"/>
    <w:rsid w:val="000943EC"/>
    <w:rsid w:val="00094488"/>
    <w:rsid w:val="00094D65"/>
    <w:rsid w:val="000954F5"/>
    <w:rsid w:val="00095C43"/>
    <w:rsid w:val="00095E43"/>
    <w:rsid w:val="00096022"/>
    <w:rsid w:val="00096182"/>
    <w:rsid w:val="00096446"/>
    <w:rsid w:val="00096659"/>
    <w:rsid w:val="00096D37"/>
    <w:rsid w:val="00097010"/>
    <w:rsid w:val="00097694"/>
    <w:rsid w:val="0009799D"/>
    <w:rsid w:val="00097DCC"/>
    <w:rsid w:val="000A05C3"/>
    <w:rsid w:val="000A0B5A"/>
    <w:rsid w:val="000A0BCD"/>
    <w:rsid w:val="000A0CB2"/>
    <w:rsid w:val="000A1085"/>
    <w:rsid w:val="000A11BA"/>
    <w:rsid w:val="000A12B8"/>
    <w:rsid w:val="000A1418"/>
    <w:rsid w:val="000A1AA3"/>
    <w:rsid w:val="000A1C6F"/>
    <w:rsid w:val="000A1D27"/>
    <w:rsid w:val="000A1F9E"/>
    <w:rsid w:val="000A2154"/>
    <w:rsid w:val="000A26EA"/>
    <w:rsid w:val="000A2BBB"/>
    <w:rsid w:val="000A3A02"/>
    <w:rsid w:val="000A3A4B"/>
    <w:rsid w:val="000A3B1F"/>
    <w:rsid w:val="000A3CBC"/>
    <w:rsid w:val="000A4C4C"/>
    <w:rsid w:val="000A4D65"/>
    <w:rsid w:val="000A4DAA"/>
    <w:rsid w:val="000A518F"/>
    <w:rsid w:val="000A55F6"/>
    <w:rsid w:val="000A6044"/>
    <w:rsid w:val="000A6243"/>
    <w:rsid w:val="000A6287"/>
    <w:rsid w:val="000A62DF"/>
    <w:rsid w:val="000B08CD"/>
    <w:rsid w:val="000B0986"/>
    <w:rsid w:val="000B0D76"/>
    <w:rsid w:val="000B0FB0"/>
    <w:rsid w:val="000B1399"/>
    <w:rsid w:val="000B15C1"/>
    <w:rsid w:val="000B18F1"/>
    <w:rsid w:val="000B23C6"/>
    <w:rsid w:val="000B26E4"/>
    <w:rsid w:val="000B29DC"/>
    <w:rsid w:val="000B3266"/>
    <w:rsid w:val="000B3734"/>
    <w:rsid w:val="000B3969"/>
    <w:rsid w:val="000B4248"/>
    <w:rsid w:val="000B426B"/>
    <w:rsid w:val="000B47AC"/>
    <w:rsid w:val="000B499E"/>
    <w:rsid w:val="000B5C5B"/>
    <w:rsid w:val="000B6144"/>
    <w:rsid w:val="000B6166"/>
    <w:rsid w:val="000B6F6D"/>
    <w:rsid w:val="000B7334"/>
    <w:rsid w:val="000C0613"/>
    <w:rsid w:val="000C0FE0"/>
    <w:rsid w:val="000C17C2"/>
    <w:rsid w:val="000C185D"/>
    <w:rsid w:val="000C1AB1"/>
    <w:rsid w:val="000C1B78"/>
    <w:rsid w:val="000C2000"/>
    <w:rsid w:val="000C2EF2"/>
    <w:rsid w:val="000C3D0F"/>
    <w:rsid w:val="000C4718"/>
    <w:rsid w:val="000C526E"/>
    <w:rsid w:val="000C569E"/>
    <w:rsid w:val="000C6415"/>
    <w:rsid w:val="000C656C"/>
    <w:rsid w:val="000C6DAE"/>
    <w:rsid w:val="000C779E"/>
    <w:rsid w:val="000C7B06"/>
    <w:rsid w:val="000C7FBB"/>
    <w:rsid w:val="000D0440"/>
    <w:rsid w:val="000D04C0"/>
    <w:rsid w:val="000D05B7"/>
    <w:rsid w:val="000D07E7"/>
    <w:rsid w:val="000D10F4"/>
    <w:rsid w:val="000D1585"/>
    <w:rsid w:val="000D1D5C"/>
    <w:rsid w:val="000D1E48"/>
    <w:rsid w:val="000D209F"/>
    <w:rsid w:val="000D23B3"/>
    <w:rsid w:val="000D318A"/>
    <w:rsid w:val="000D3608"/>
    <w:rsid w:val="000D3B28"/>
    <w:rsid w:val="000D3BF9"/>
    <w:rsid w:val="000D3C11"/>
    <w:rsid w:val="000D3D98"/>
    <w:rsid w:val="000D4248"/>
    <w:rsid w:val="000D42CD"/>
    <w:rsid w:val="000D48A5"/>
    <w:rsid w:val="000D5A87"/>
    <w:rsid w:val="000D5FA5"/>
    <w:rsid w:val="000D62F9"/>
    <w:rsid w:val="000D6E7D"/>
    <w:rsid w:val="000D7547"/>
    <w:rsid w:val="000D760E"/>
    <w:rsid w:val="000D7A65"/>
    <w:rsid w:val="000D7DB7"/>
    <w:rsid w:val="000E0593"/>
    <w:rsid w:val="000E0A81"/>
    <w:rsid w:val="000E1C32"/>
    <w:rsid w:val="000E1C5C"/>
    <w:rsid w:val="000E216C"/>
    <w:rsid w:val="000E21A9"/>
    <w:rsid w:val="000E2A2D"/>
    <w:rsid w:val="000E2C5E"/>
    <w:rsid w:val="000E32FE"/>
    <w:rsid w:val="000E36E1"/>
    <w:rsid w:val="000E378B"/>
    <w:rsid w:val="000E38E9"/>
    <w:rsid w:val="000E3DD8"/>
    <w:rsid w:val="000E3F1C"/>
    <w:rsid w:val="000E40AB"/>
    <w:rsid w:val="000E486E"/>
    <w:rsid w:val="000E4DB3"/>
    <w:rsid w:val="000E4E3E"/>
    <w:rsid w:val="000E5026"/>
    <w:rsid w:val="000E5457"/>
    <w:rsid w:val="000E582A"/>
    <w:rsid w:val="000E5ED6"/>
    <w:rsid w:val="000E68A0"/>
    <w:rsid w:val="000E6994"/>
    <w:rsid w:val="000E708C"/>
    <w:rsid w:val="000E72E8"/>
    <w:rsid w:val="000E7933"/>
    <w:rsid w:val="000E7BD9"/>
    <w:rsid w:val="000E7F5C"/>
    <w:rsid w:val="000F05B8"/>
    <w:rsid w:val="000F0BDF"/>
    <w:rsid w:val="000F1985"/>
    <w:rsid w:val="000F2110"/>
    <w:rsid w:val="000F229E"/>
    <w:rsid w:val="000F27F4"/>
    <w:rsid w:val="000F28E9"/>
    <w:rsid w:val="000F2B5A"/>
    <w:rsid w:val="000F2BC4"/>
    <w:rsid w:val="000F31D1"/>
    <w:rsid w:val="000F3238"/>
    <w:rsid w:val="000F3E0B"/>
    <w:rsid w:val="000F3FE1"/>
    <w:rsid w:val="000F4111"/>
    <w:rsid w:val="000F45BB"/>
    <w:rsid w:val="000F4602"/>
    <w:rsid w:val="000F4E74"/>
    <w:rsid w:val="000F616B"/>
    <w:rsid w:val="000F6347"/>
    <w:rsid w:val="000F6FD0"/>
    <w:rsid w:val="000F7EA4"/>
    <w:rsid w:val="0010017C"/>
    <w:rsid w:val="001007D3"/>
    <w:rsid w:val="00100C9E"/>
    <w:rsid w:val="001016C4"/>
    <w:rsid w:val="00101939"/>
    <w:rsid w:val="00101B1D"/>
    <w:rsid w:val="00101B37"/>
    <w:rsid w:val="00101C10"/>
    <w:rsid w:val="0010219A"/>
    <w:rsid w:val="001023C2"/>
    <w:rsid w:val="001023D7"/>
    <w:rsid w:val="00102507"/>
    <w:rsid w:val="00102935"/>
    <w:rsid w:val="00102B20"/>
    <w:rsid w:val="00104AE0"/>
    <w:rsid w:val="001053EE"/>
    <w:rsid w:val="00105542"/>
    <w:rsid w:val="00105E0F"/>
    <w:rsid w:val="0010641D"/>
    <w:rsid w:val="00106782"/>
    <w:rsid w:val="00106A76"/>
    <w:rsid w:val="00106AA5"/>
    <w:rsid w:val="00107026"/>
    <w:rsid w:val="001075C4"/>
    <w:rsid w:val="00111302"/>
    <w:rsid w:val="00111729"/>
    <w:rsid w:val="0011206D"/>
    <w:rsid w:val="001128B2"/>
    <w:rsid w:val="001136D0"/>
    <w:rsid w:val="001138B6"/>
    <w:rsid w:val="00113CAA"/>
    <w:rsid w:val="00114497"/>
    <w:rsid w:val="00114910"/>
    <w:rsid w:val="00114B03"/>
    <w:rsid w:val="00114C29"/>
    <w:rsid w:val="0011531A"/>
    <w:rsid w:val="001157AE"/>
    <w:rsid w:val="00116A40"/>
    <w:rsid w:val="00116EC4"/>
    <w:rsid w:val="001172D5"/>
    <w:rsid w:val="00117F20"/>
    <w:rsid w:val="00120597"/>
    <w:rsid w:val="001205BC"/>
    <w:rsid w:val="001209D3"/>
    <w:rsid w:val="00121C34"/>
    <w:rsid w:val="00122475"/>
    <w:rsid w:val="00122909"/>
    <w:rsid w:val="00122E2F"/>
    <w:rsid w:val="00122FA6"/>
    <w:rsid w:val="001231FF"/>
    <w:rsid w:val="0012389F"/>
    <w:rsid w:val="00123C14"/>
    <w:rsid w:val="001242C7"/>
    <w:rsid w:val="00124813"/>
    <w:rsid w:val="001258F6"/>
    <w:rsid w:val="00125B98"/>
    <w:rsid w:val="00125EF7"/>
    <w:rsid w:val="001271D0"/>
    <w:rsid w:val="00127255"/>
    <w:rsid w:val="00127BE9"/>
    <w:rsid w:val="00127E70"/>
    <w:rsid w:val="001304BA"/>
    <w:rsid w:val="0013064F"/>
    <w:rsid w:val="00130920"/>
    <w:rsid w:val="001316D4"/>
    <w:rsid w:val="00132292"/>
    <w:rsid w:val="0013229E"/>
    <w:rsid w:val="00133585"/>
    <w:rsid w:val="0013398F"/>
    <w:rsid w:val="0013420F"/>
    <w:rsid w:val="0013430A"/>
    <w:rsid w:val="00134D18"/>
    <w:rsid w:val="0013523E"/>
    <w:rsid w:val="00135708"/>
    <w:rsid w:val="0013579B"/>
    <w:rsid w:val="001358ED"/>
    <w:rsid w:val="00135ED0"/>
    <w:rsid w:val="001363B2"/>
    <w:rsid w:val="00136509"/>
    <w:rsid w:val="00136A61"/>
    <w:rsid w:val="00136D81"/>
    <w:rsid w:val="001371E2"/>
    <w:rsid w:val="001373F8"/>
    <w:rsid w:val="0013772E"/>
    <w:rsid w:val="0013779C"/>
    <w:rsid w:val="00137A0B"/>
    <w:rsid w:val="00137A96"/>
    <w:rsid w:val="00140100"/>
    <w:rsid w:val="001406EF"/>
    <w:rsid w:val="00141114"/>
    <w:rsid w:val="001412B1"/>
    <w:rsid w:val="00141529"/>
    <w:rsid w:val="00141531"/>
    <w:rsid w:val="0014181B"/>
    <w:rsid w:val="00141E06"/>
    <w:rsid w:val="00141E77"/>
    <w:rsid w:val="0014237B"/>
    <w:rsid w:val="001424F7"/>
    <w:rsid w:val="0014287B"/>
    <w:rsid w:val="0014342E"/>
    <w:rsid w:val="00143A6A"/>
    <w:rsid w:val="00144CBF"/>
    <w:rsid w:val="001454F7"/>
    <w:rsid w:val="0014563C"/>
    <w:rsid w:val="00145CA5"/>
    <w:rsid w:val="00146433"/>
    <w:rsid w:val="001467F4"/>
    <w:rsid w:val="00146DF1"/>
    <w:rsid w:val="00150AB3"/>
    <w:rsid w:val="00150D9C"/>
    <w:rsid w:val="00150E38"/>
    <w:rsid w:val="0015140D"/>
    <w:rsid w:val="00151980"/>
    <w:rsid w:val="00151FA0"/>
    <w:rsid w:val="0015232B"/>
    <w:rsid w:val="001524FF"/>
    <w:rsid w:val="001532E1"/>
    <w:rsid w:val="00153382"/>
    <w:rsid w:val="0015423E"/>
    <w:rsid w:val="00154BE8"/>
    <w:rsid w:val="00154F3B"/>
    <w:rsid w:val="00155288"/>
    <w:rsid w:val="00156170"/>
    <w:rsid w:val="0015626C"/>
    <w:rsid w:val="00156C32"/>
    <w:rsid w:val="001605D7"/>
    <w:rsid w:val="001606A1"/>
    <w:rsid w:val="00160B80"/>
    <w:rsid w:val="00160BB5"/>
    <w:rsid w:val="0016110A"/>
    <w:rsid w:val="0016196D"/>
    <w:rsid w:val="001621FB"/>
    <w:rsid w:val="001624C0"/>
    <w:rsid w:val="00162698"/>
    <w:rsid w:val="00162B5C"/>
    <w:rsid w:val="00162C73"/>
    <w:rsid w:val="00164770"/>
    <w:rsid w:val="00164D83"/>
    <w:rsid w:val="0016571A"/>
    <w:rsid w:val="00165742"/>
    <w:rsid w:val="001659F4"/>
    <w:rsid w:val="00165C25"/>
    <w:rsid w:val="0016638E"/>
    <w:rsid w:val="001677F2"/>
    <w:rsid w:val="00167FEF"/>
    <w:rsid w:val="00170544"/>
    <w:rsid w:val="00170DCC"/>
    <w:rsid w:val="00171463"/>
    <w:rsid w:val="001716F3"/>
    <w:rsid w:val="001725E3"/>
    <w:rsid w:val="00173427"/>
    <w:rsid w:val="0017343E"/>
    <w:rsid w:val="00173586"/>
    <w:rsid w:val="00173A52"/>
    <w:rsid w:val="00173C21"/>
    <w:rsid w:val="00173C34"/>
    <w:rsid w:val="00173E6E"/>
    <w:rsid w:val="0017415E"/>
    <w:rsid w:val="001743A6"/>
    <w:rsid w:val="00175D88"/>
    <w:rsid w:val="00176207"/>
    <w:rsid w:val="001762A2"/>
    <w:rsid w:val="00177484"/>
    <w:rsid w:val="00177559"/>
    <w:rsid w:val="0017776B"/>
    <w:rsid w:val="00181250"/>
    <w:rsid w:val="001816CD"/>
    <w:rsid w:val="00181F01"/>
    <w:rsid w:val="0018251A"/>
    <w:rsid w:val="001827F0"/>
    <w:rsid w:val="001830EF"/>
    <w:rsid w:val="001834AA"/>
    <w:rsid w:val="00183796"/>
    <w:rsid w:val="0018407A"/>
    <w:rsid w:val="00184D1B"/>
    <w:rsid w:val="0018553F"/>
    <w:rsid w:val="001857EB"/>
    <w:rsid w:val="00185FFB"/>
    <w:rsid w:val="001862F0"/>
    <w:rsid w:val="001866BF"/>
    <w:rsid w:val="00186F26"/>
    <w:rsid w:val="00186F7A"/>
    <w:rsid w:val="001872B1"/>
    <w:rsid w:val="001877B6"/>
    <w:rsid w:val="00187FC3"/>
    <w:rsid w:val="00190055"/>
    <w:rsid w:val="00190294"/>
    <w:rsid w:val="0019064E"/>
    <w:rsid w:val="0019070A"/>
    <w:rsid w:val="00190991"/>
    <w:rsid w:val="00191003"/>
    <w:rsid w:val="00191582"/>
    <w:rsid w:val="00191591"/>
    <w:rsid w:val="00191761"/>
    <w:rsid w:val="001918E9"/>
    <w:rsid w:val="00191CDE"/>
    <w:rsid w:val="001921D9"/>
    <w:rsid w:val="00192321"/>
    <w:rsid w:val="00192DF5"/>
    <w:rsid w:val="00193238"/>
    <w:rsid w:val="001936D4"/>
    <w:rsid w:val="00195076"/>
    <w:rsid w:val="0019515C"/>
    <w:rsid w:val="001955E9"/>
    <w:rsid w:val="0019565A"/>
    <w:rsid w:val="001967F3"/>
    <w:rsid w:val="001975CD"/>
    <w:rsid w:val="001A0946"/>
    <w:rsid w:val="001A0A81"/>
    <w:rsid w:val="001A0C7E"/>
    <w:rsid w:val="001A0CCE"/>
    <w:rsid w:val="001A1506"/>
    <w:rsid w:val="001A1734"/>
    <w:rsid w:val="001A184C"/>
    <w:rsid w:val="001A1912"/>
    <w:rsid w:val="001A19B9"/>
    <w:rsid w:val="001A19FA"/>
    <w:rsid w:val="001A26B0"/>
    <w:rsid w:val="001A27C3"/>
    <w:rsid w:val="001A28FB"/>
    <w:rsid w:val="001A2DB4"/>
    <w:rsid w:val="001A431F"/>
    <w:rsid w:val="001A4336"/>
    <w:rsid w:val="001A5112"/>
    <w:rsid w:val="001A543E"/>
    <w:rsid w:val="001A57DB"/>
    <w:rsid w:val="001A5812"/>
    <w:rsid w:val="001A63A6"/>
    <w:rsid w:val="001A6944"/>
    <w:rsid w:val="001A6B28"/>
    <w:rsid w:val="001A6D97"/>
    <w:rsid w:val="001A6E16"/>
    <w:rsid w:val="001A701C"/>
    <w:rsid w:val="001A7E70"/>
    <w:rsid w:val="001B0E3C"/>
    <w:rsid w:val="001B1323"/>
    <w:rsid w:val="001B171D"/>
    <w:rsid w:val="001B1FC1"/>
    <w:rsid w:val="001B2132"/>
    <w:rsid w:val="001B33F7"/>
    <w:rsid w:val="001B376F"/>
    <w:rsid w:val="001B3B16"/>
    <w:rsid w:val="001B3FDC"/>
    <w:rsid w:val="001B437D"/>
    <w:rsid w:val="001B4523"/>
    <w:rsid w:val="001B4580"/>
    <w:rsid w:val="001B45BB"/>
    <w:rsid w:val="001B473E"/>
    <w:rsid w:val="001B47FE"/>
    <w:rsid w:val="001B4A7E"/>
    <w:rsid w:val="001B4A99"/>
    <w:rsid w:val="001B4C03"/>
    <w:rsid w:val="001B50B7"/>
    <w:rsid w:val="001B570C"/>
    <w:rsid w:val="001B5D4C"/>
    <w:rsid w:val="001B60B6"/>
    <w:rsid w:val="001B72A9"/>
    <w:rsid w:val="001B7AD8"/>
    <w:rsid w:val="001C0207"/>
    <w:rsid w:val="001C070D"/>
    <w:rsid w:val="001C0A06"/>
    <w:rsid w:val="001C19EB"/>
    <w:rsid w:val="001C216A"/>
    <w:rsid w:val="001C27A7"/>
    <w:rsid w:val="001C46B0"/>
    <w:rsid w:val="001C47A6"/>
    <w:rsid w:val="001C536C"/>
    <w:rsid w:val="001C5A07"/>
    <w:rsid w:val="001C5A32"/>
    <w:rsid w:val="001C6A6B"/>
    <w:rsid w:val="001C7501"/>
    <w:rsid w:val="001C7600"/>
    <w:rsid w:val="001C77B9"/>
    <w:rsid w:val="001C78F8"/>
    <w:rsid w:val="001C7A7E"/>
    <w:rsid w:val="001C7D85"/>
    <w:rsid w:val="001D11CE"/>
    <w:rsid w:val="001D2080"/>
    <w:rsid w:val="001D20D9"/>
    <w:rsid w:val="001D247A"/>
    <w:rsid w:val="001D2492"/>
    <w:rsid w:val="001D2667"/>
    <w:rsid w:val="001D381D"/>
    <w:rsid w:val="001D4525"/>
    <w:rsid w:val="001D4EB8"/>
    <w:rsid w:val="001D551D"/>
    <w:rsid w:val="001D5D46"/>
    <w:rsid w:val="001D6168"/>
    <w:rsid w:val="001D6654"/>
    <w:rsid w:val="001D735E"/>
    <w:rsid w:val="001D7884"/>
    <w:rsid w:val="001D793A"/>
    <w:rsid w:val="001D7F14"/>
    <w:rsid w:val="001E0627"/>
    <w:rsid w:val="001E090C"/>
    <w:rsid w:val="001E0CCA"/>
    <w:rsid w:val="001E14C6"/>
    <w:rsid w:val="001E1792"/>
    <w:rsid w:val="001E18FE"/>
    <w:rsid w:val="001E206C"/>
    <w:rsid w:val="001E2149"/>
    <w:rsid w:val="001E234F"/>
    <w:rsid w:val="001E23EA"/>
    <w:rsid w:val="001E252D"/>
    <w:rsid w:val="001E262B"/>
    <w:rsid w:val="001E3403"/>
    <w:rsid w:val="001E34FF"/>
    <w:rsid w:val="001E3867"/>
    <w:rsid w:val="001E391C"/>
    <w:rsid w:val="001E3FCA"/>
    <w:rsid w:val="001E44CB"/>
    <w:rsid w:val="001E4576"/>
    <w:rsid w:val="001E49DC"/>
    <w:rsid w:val="001E52E8"/>
    <w:rsid w:val="001E5765"/>
    <w:rsid w:val="001E5D10"/>
    <w:rsid w:val="001E618A"/>
    <w:rsid w:val="001E647E"/>
    <w:rsid w:val="001E69D0"/>
    <w:rsid w:val="001E6CED"/>
    <w:rsid w:val="001E7BAE"/>
    <w:rsid w:val="001E7CA9"/>
    <w:rsid w:val="001E7CD8"/>
    <w:rsid w:val="001E7D31"/>
    <w:rsid w:val="001F1343"/>
    <w:rsid w:val="001F13F7"/>
    <w:rsid w:val="001F17CB"/>
    <w:rsid w:val="001F1892"/>
    <w:rsid w:val="001F1A4C"/>
    <w:rsid w:val="001F1B01"/>
    <w:rsid w:val="001F27FD"/>
    <w:rsid w:val="001F2A7C"/>
    <w:rsid w:val="001F3437"/>
    <w:rsid w:val="001F35E5"/>
    <w:rsid w:val="001F3834"/>
    <w:rsid w:val="001F3DBB"/>
    <w:rsid w:val="001F4954"/>
    <w:rsid w:val="001F5192"/>
    <w:rsid w:val="001F521B"/>
    <w:rsid w:val="001F60D2"/>
    <w:rsid w:val="001F6642"/>
    <w:rsid w:val="001F69BC"/>
    <w:rsid w:val="001F6A20"/>
    <w:rsid w:val="001F6C81"/>
    <w:rsid w:val="001F6E1D"/>
    <w:rsid w:val="001F73BA"/>
    <w:rsid w:val="001F7E84"/>
    <w:rsid w:val="002007EF"/>
    <w:rsid w:val="00200A69"/>
    <w:rsid w:val="00200A74"/>
    <w:rsid w:val="00202DC2"/>
    <w:rsid w:val="00202E64"/>
    <w:rsid w:val="00204221"/>
    <w:rsid w:val="0020730A"/>
    <w:rsid w:val="0020799D"/>
    <w:rsid w:val="00207C55"/>
    <w:rsid w:val="00207CA3"/>
    <w:rsid w:val="00210074"/>
    <w:rsid w:val="0021038E"/>
    <w:rsid w:val="0021169E"/>
    <w:rsid w:val="00211AB0"/>
    <w:rsid w:val="0021272A"/>
    <w:rsid w:val="00212851"/>
    <w:rsid w:val="00212DBF"/>
    <w:rsid w:val="00213C8D"/>
    <w:rsid w:val="0021462A"/>
    <w:rsid w:val="00214C83"/>
    <w:rsid w:val="00214E10"/>
    <w:rsid w:val="002154C2"/>
    <w:rsid w:val="00215636"/>
    <w:rsid w:val="002158E5"/>
    <w:rsid w:val="00215AE7"/>
    <w:rsid w:val="00215D65"/>
    <w:rsid w:val="00215EAB"/>
    <w:rsid w:val="00216203"/>
    <w:rsid w:val="00216430"/>
    <w:rsid w:val="002176D0"/>
    <w:rsid w:val="00217F61"/>
    <w:rsid w:val="00220106"/>
    <w:rsid w:val="00220A08"/>
    <w:rsid w:val="0022165A"/>
    <w:rsid w:val="00221ECF"/>
    <w:rsid w:val="002221AA"/>
    <w:rsid w:val="0022237B"/>
    <w:rsid w:val="00222A67"/>
    <w:rsid w:val="00222AC8"/>
    <w:rsid w:val="00222E75"/>
    <w:rsid w:val="002231B1"/>
    <w:rsid w:val="002234E6"/>
    <w:rsid w:val="00223577"/>
    <w:rsid w:val="00223811"/>
    <w:rsid w:val="00223974"/>
    <w:rsid w:val="00223A26"/>
    <w:rsid w:val="00223C22"/>
    <w:rsid w:val="00224389"/>
    <w:rsid w:val="0022443F"/>
    <w:rsid w:val="00224713"/>
    <w:rsid w:val="002253DD"/>
    <w:rsid w:val="0022549D"/>
    <w:rsid w:val="002261CE"/>
    <w:rsid w:val="00226C2F"/>
    <w:rsid w:val="002277B1"/>
    <w:rsid w:val="00227C27"/>
    <w:rsid w:val="00230E8A"/>
    <w:rsid w:val="00230F82"/>
    <w:rsid w:val="00231202"/>
    <w:rsid w:val="002321B4"/>
    <w:rsid w:val="00232B41"/>
    <w:rsid w:val="00232BF7"/>
    <w:rsid w:val="00232D2D"/>
    <w:rsid w:val="0023333D"/>
    <w:rsid w:val="002336AB"/>
    <w:rsid w:val="00234654"/>
    <w:rsid w:val="00235144"/>
    <w:rsid w:val="00235198"/>
    <w:rsid w:val="00235461"/>
    <w:rsid w:val="00240D84"/>
    <w:rsid w:val="00241D24"/>
    <w:rsid w:val="00242316"/>
    <w:rsid w:val="00242A0B"/>
    <w:rsid w:val="00242CEE"/>
    <w:rsid w:val="002435E9"/>
    <w:rsid w:val="0024392C"/>
    <w:rsid w:val="00244867"/>
    <w:rsid w:val="00245D3E"/>
    <w:rsid w:val="00245E4C"/>
    <w:rsid w:val="00246547"/>
    <w:rsid w:val="00246A4D"/>
    <w:rsid w:val="00246A95"/>
    <w:rsid w:val="00246A9F"/>
    <w:rsid w:val="002472EC"/>
    <w:rsid w:val="002474A0"/>
    <w:rsid w:val="0024796B"/>
    <w:rsid w:val="00247A9D"/>
    <w:rsid w:val="00247B06"/>
    <w:rsid w:val="0025006B"/>
    <w:rsid w:val="0025028A"/>
    <w:rsid w:val="00250494"/>
    <w:rsid w:val="00250BB3"/>
    <w:rsid w:val="002510AC"/>
    <w:rsid w:val="00251377"/>
    <w:rsid w:val="00251386"/>
    <w:rsid w:val="00251543"/>
    <w:rsid w:val="00251639"/>
    <w:rsid w:val="00252574"/>
    <w:rsid w:val="0025267E"/>
    <w:rsid w:val="00252987"/>
    <w:rsid w:val="0025332A"/>
    <w:rsid w:val="0025342C"/>
    <w:rsid w:val="002534B8"/>
    <w:rsid w:val="00253658"/>
    <w:rsid w:val="00253C04"/>
    <w:rsid w:val="0025430A"/>
    <w:rsid w:val="00255AB1"/>
    <w:rsid w:val="00255C04"/>
    <w:rsid w:val="00255DAF"/>
    <w:rsid w:val="00255E39"/>
    <w:rsid w:val="0025605E"/>
    <w:rsid w:val="00256507"/>
    <w:rsid w:val="002567BE"/>
    <w:rsid w:val="002568B5"/>
    <w:rsid w:val="002576B1"/>
    <w:rsid w:val="00257C36"/>
    <w:rsid w:val="00260E4B"/>
    <w:rsid w:val="00261D04"/>
    <w:rsid w:val="00262F54"/>
    <w:rsid w:val="002634AD"/>
    <w:rsid w:val="00263686"/>
    <w:rsid w:val="002638DE"/>
    <w:rsid w:val="002644B1"/>
    <w:rsid w:val="002657E8"/>
    <w:rsid w:val="00265EF4"/>
    <w:rsid w:val="00265F74"/>
    <w:rsid w:val="00266A89"/>
    <w:rsid w:val="00267267"/>
    <w:rsid w:val="00267821"/>
    <w:rsid w:val="00267BC1"/>
    <w:rsid w:val="00267BEE"/>
    <w:rsid w:val="00267CB4"/>
    <w:rsid w:val="002701A5"/>
    <w:rsid w:val="0027099A"/>
    <w:rsid w:val="00270DA4"/>
    <w:rsid w:val="00271236"/>
    <w:rsid w:val="002717DC"/>
    <w:rsid w:val="002718BB"/>
    <w:rsid w:val="002723D3"/>
    <w:rsid w:val="002733C6"/>
    <w:rsid w:val="00273710"/>
    <w:rsid w:val="0027378A"/>
    <w:rsid w:val="00273F5A"/>
    <w:rsid w:val="00274310"/>
    <w:rsid w:val="00274593"/>
    <w:rsid w:val="00274766"/>
    <w:rsid w:val="002748AE"/>
    <w:rsid w:val="00275528"/>
    <w:rsid w:val="002759D2"/>
    <w:rsid w:val="00275A0F"/>
    <w:rsid w:val="00275BD5"/>
    <w:rsid w:val="00275F45"/>
    <w:rsid w:val="00276A64"/>
    <w:rsid w:val="00276D6B"/>
    <w:rsid w:val="00276D89"/>
    <w:rsid w:val="002779D6"/>
    <w:rsid w:val="002779DF"/>
    <w:rsid w:val="00277DB2"/>
    <w:rsid w:val="00280379"/>
    <w:rsid w:val="002808D3"/>
    <w:rsid w:val="00280944"/>
    <w:rsid w:val="002809AC"/>
    <w:rsid w:val="00281153"/>
    <w:rsid w:val="0028196A"/>
    <w:rsid w:val="00282681"/>
    <w:rsid w:val="00282754"/>
    <w:rsid w:val="00282A7D"/>
    <w:rsid w:val="00283637"/>
    <w:rsid w:val="00283DB8"/>
    <w:rsid w:val="0028446B"/>
    <w:rsid w:val="00284B05"/>
    <w:rsid w:val="00285766"/>
    <w:rsid w:val="00285BC7"/>
    <w:rsid w:val="0028611A"/>
    <w:rsid w:val="00291440"/>
    <w:rsid w:val="00291F26"/>
    <w:rsid w:val="0029206A"/>
    <w:rsid w:val="00292B2D"/>
    <w:rsid w:val="00292D79"/>
    <w:rsid w:val="002931A0"/>
    <w:rsid w:val="00293F45"/>
    <w:rsid w:val="00293F5A"/>
    <w:rsid w:val="00295E70"/>
    <w:rsid w:val="002965EB"/>
    <w:rsid w:val="00296633"/>
    <w:rsid w:val="00296AA1"/>
    <w:rsid w:val="00296C4D"/>
    <w:rsid w:val="002971C8"/>
    <w:rsid w:val="002974AA"/>
    <w:rsid w:val="002976A1"/>
    <w:rsid w:val="00297C42"/>
    <w:rsid w:val="002A036C"/>
    <w:rsid w:val="002A070C"/>
    <w:rsid w:val="002A0ABA"/>
    <w:rsid w:val="002A0C77"/>
    <w:rsid w:val="002A0E5C"/>
    <w:rsid w:val="002A133D"/>
    <w:rsid w:val="002A21A7"/>
    <w:rsid w:val="002A22DF"/>
    <w:rsid w:val="002A3774"/>
    <w:rsid w:val="002A39D9"/>
    <w:rsid w:val="002A3A99"/>
    <w:rsid w:val="002A3B05"/>
    <w:rsid w:val="002A4337"/>
    <w:rsid w:val="002A472F"/>
    <w:rsid w:val="002A4D88"/>
    <w:rsid w:val="002A4F64"/>
    <w:rsid w:val="002A541A"/>
    <w:rsid w:val="002A56CB"/>
    <w:rsid w:val="002A5B14"/>
    <w:rsid w:val="002A5FB0"/>
    <w:rsid w:val="002A78DF"/>
    <w:rsid w:val="002B05A2"/>
    <w:rsid w:val="002B06EB"/>
    <w:rsid w:val="002B08D2"/>
    <w:rsid w:val="002B1046"/>
    <w:rsid w:val="002B1F7B"/>
    <w:rsid w:val="002B30B7"/>
    <w:rsid w:val="002B374C"/>
    <w:rsid w:val="002B4442"/>
    <w:rsid w:val="002B4891"/>
    <w:rsid w:val="002B501A"/>
    <w:rsid w:val="002B53E4"/>
    <w:rsid w:val="002B5904"/>
    <w:rsid w:val="002B5B92"/>
    <w:rsid w:val="002B5E8C"/>
    <w:rsid w:val="002B5E8E"/>
    <w:rsid w:val="002B5EC8"/>
    <w:rsid w:val="002B6713"/>
    <w:rsid w:val="002B6D01"/>
    <w:rsid w:val="002B6DD5"/>
    <w:rsid w:val="002B6DFE"/>
    <w:rsid w:val="002B707B"/>
    <w:rsid w:val="002B7366"/>
    <w:rsid w:val="002B73BB"/>
    <w:rsid w:val="002B781F"/>
    <w:rsid w:val="002C0003"/>
    <w:rsid w:val="002C007B"/>
    <w:rsid w:val="002C03F8"/>
    <w:rsid w:val="002C08DE"/>
    <w:rsid w:val="002C095B"/>
    <w:rsid w:val="002C0999"/>
    <w:rsid w:val="002C0C0C"/>
    <w:rsid w:val="002C0F0D"/>
    <w:rsid w:val="002C0F9B"/>
    <w:rsid w:val="002C15BC"/>
    <w:rsid w:val="002C2989"/>
    <w:rsid w:val="002C2CF3"/>
    <w:rsid w:val="002C2F29"/>
    <w:rsid w:val="002C2F86"/>
    <w:rsid w:val="002C335B"/>
    <w:rsid w:val="002C3A23"/>
    <w:rsid w:val="002C4051"/>
    <w:rsid w:val="002C5879"/>
    <w:rsid w:val="002C6101"/>
    <w:rsid w:val="002C6156"/>
    <w:rsid w:val="002C62BB"/>
    <w:rsid w:val="002C645D"/>
    <w:rsid w:val="002C703C"/>
    <w:rsid w:val="002C7485"/>
    <w:rsid w:val="002C75E8"/>
    <w:rsid w:val="002C7656"/>
    <w:rsid w:val="002C7AA8"/>
    <w:rsid w:val="002C7B91"/>
    <w:rsid w:val="002C7BD0"/>
    <w:rsid w:val="002C7EE5"/>
    <w:rsid w:val="002D06AA"/>
    <w:rsid w:val="002D0C78"/>
    <w:rsid w:val="002D14E9"/>
    <w:rsid w:val="002D1BBD"/>
    <w:rsid w:val="002D1D69"/>
    <w:rsid w:val="002D218B"/>
    <w:rsid w:val="002D2F75"/>
    <w:rsid w:val="002D3D20"/>
    <w:rsid w:val="002D4609"/>
    <w:rsid w:val="002D4985"/>
    <w:rsid w:val="002D4AC1"/>
    <w:rsid w:val="002D4D1B"/>
    <w:rsid w:val="002D4DD0"/>
    <w:rsid w:val="002D4EE0"/>
    <w:rsid w:val="002D5054"/>
    <w:rsid w:val="002D5318"/>
    <w:rsid w:val="002D5BCC"/>
    <w:rsid w:val="002D6826"/>
    <w:rsid w:val="002D6AAD"/>
    <w:rsid w:val="002D74DB"/>
    <w:rsid w:val="002D7BA5"/>
    <w:rsid w:val="002E0141"/>
    <w:rsid w:val="002E0F5A"/>
    <w:rsid w:val="002E1072"/>
    <w:rsid w:val="002E1803"/>
    <w:rsid w:val="002E30E4"/>
    <w:rsid w:val="002E380F"/>
    <w:rsid w:val="002E3F12"/>
    <w:rsid w:val="002E4406"/>
    <w:rsid w:val="002E4679"/>
    <w:rsid w:val="002E4934"/>
    <w:rsid w:val="002E4C66"/>
    <w:rsid w:val="002E4FB3"/>
    <w:rsid w:val="002E5310"/>
    <w:rsid w:val="002E5CC6"/>
    <w:rsid w:val="002E6006"/>
    <w:rsid w:val="002E686C"/>
    <w:rsid w:val="002E6BD3"/>
    <w:rsid w:val="002E6BEA"/>
    <w:rsid w:val="002E6E95"/>
    <w:rsid w:val="002E7260"/>
    <w:rsid w:val="002E73A0"/>
    <w:rsid w:val="002E79A7"/>
    <w:rsid w:val="002E7FE5"/>
    <w:rsid w:val="002F053C"/>
    <w:rsid w:val="002F0588"/>
    <w:rsid w:val="002F07E0"/>
    <w:rsid w:val="002F14C7"/>
    <w:rsid w:val="002F19E1"/>
    <w:rsid w:val="002F1BE7"/>
    <w:rsid w:val="002F234D"/>
    <w:rsid w:val="002F3CD2"/>
    <w:rsid w:val="002F4E6D"/>
    <w:rsid w:val="002F4F87"/>
    <w:rsid w:val="002F5188"/>
    <w:rsid w:val="002F597A"/>
    <w:rsid w:val="002F63E0"/>
    <w:rsid w:val="002F69F3"/>
    <w:rsid w:val="002F6A2E"/>
    <w:rsid w:val="002F73BD"/>
    <w:rsid w:val="00300268"/>
    <w:rsid w:val="00300510"/>
    <w:rsid w:val="003006C5"/>
    <w:rsid w:val="00300BC1"/>
    <w:rsid w:val="00300EC6"/>
    <w:rsid w:val="00301A66"/>
    <w:rsid w:val="00302514"/>
    <w:rsid w:val="00303024"/>
    <w:rsid w:val="003038E6"/>
    <w:rsid w:val="00304D8E"/>
    <w:rsid w:val="00304DED"/>
    <w:rsid w:val="003061B3"/>
    <w:rsid w:val="003063F4"/>
    <w:rsid w:val="00307240"/>
    <w:rsid w:val="003074B5"/>
    <w:rsid w:val="003100FC"/>
    <w:rsid w:val="00310EE1"/>
    <w:rsid w:val="00310F41"/>
    <w:rsid w:val="00311742"/>
    <w:rsid w:val="003121ED"/>
    <w:rsid w:val="00312C51"/>
    <w:rsid w:val="00313D3F"/>
    <w:rsid w:val="00313D64"/>
    <w:rsid w:val="00314696"/>
    <w:rsid w:val="0031512D"/>
    <w:rsid w:val="003158EC"/>
    <w:rsid w:val="00316894"/>
    <w:rsid w:val="00316F0B"/>
    <w:rsid w:val="00317375"/>
    <w:rsid w:val="003176A8"/>
    <w:rsid w:val="003177F9"/>
    <w:rsid w:val="00317EBF"/>
    <w:rsid w:val="00322DC8"/>
    <w:rsid w:val="003237FC"/>
    <w:rsid w:val="0032380E"/>
    <w:rsid w:val="00324174"/>
    <w:rsid w:val="00324589"/>
    <w:rsid w:val="003245AD"/>
    <w:rsid w:val="00324E2D"/>
    <w:rsid w:val="00325015"/>
    <w:rsid w:val="00325C77"/>
    <w:rsid w:val="003263ED"/>
    <w:rsid w:val="00326484"/>
    <w:rsid w:val="00326A51"/>
    <w:rsid w:val="00326BCF"/>
    <w:rsid w:val="00327751"/>
    <w:rsid w:val="00330ED1"/>
    <w:rsid w:val="0033124C"/>
    <w:rsid w:val="00331541"/>
    <w:rsid w:val="00331687"/>
    <w:rsid w:val="00331A5C"/>
    <w:rsid w:val="003324AA"/>
    <w:rsid w:val="003326D6"/>
    <w:rsid w:val="00332A5E"/>
    <w:rsid w:val="00334809"/>
    <w:rsid w:val="00334B92"/>
    <w:rsid w:val="00335486"/>
    <w:rsid w:val="003355DD"/>
    <w:rsid w:val="00335A9D"/>
    <w:rsid w:val="00335B4C"/>
    <w:rsid w:val="00335E16"/>
    <w:rsid w:val="0033634A"/>
    <w:rsid w:val="00336494"/>
    <w:rsid w:val="003368BC"/>
    <w:rsid w:val="00337128"/>
    <w:rsid w:val="00337175"/>
    <w:rsid w:val="00337AAC"/>
    <w:rsid w:val="0034028F"/>
    <w:rsid w:val="00340900"/>
    <w:rsid w:val="00340CB2"/>
    <w:rsid w:val="00341D89"/>
    <w:rsid w:val="00342069"/>
    <w:rsid w:val="003420A5"/>
    <w:rsid w:val="00342109"/>
    <w:rsid w:val="0034299F"/>
    <w:rsid w:val="00342B9F"/>
    <w:rsid w:val="00342DCF"/>
    <w:rsid w:val="00343C56"/>
    <w:rsid w:val="00343EF5"/>
    <w:rsid w:val="003441A9"/>
    <w:rsid w:val="00344AE6"/>
    <w:rsid w:val="00344F43"/>
    <w:rsid w:val="00345B74"/>
    <w:rsid w:val="003465A8"/>
    <w:rsid w:val="00346D44"/>
    <w:rsid w:val="0034721E"/>
    <w:rsid w:val="0034738A"/>
    <w:rsid w:val="00347464"/>
    <w:rsid w:val="00347AFF"/>
    <w:rsid w:val="00347F4E"/>
    <w:rsid w:val="00350142"/>
    <w:rsid w:val="00350361"/>
    <w:rsid w:val="00350D8C"/>
    <w:rsid w:val="00350E32"/>
    <w:rsid w:val="0035146C"/>
    <w:rsid w:val="003522A7"/>
    <w:rsid w:val="00352DAF"/>
    <w:rsid w:val="00352F35"/>
    <w:rsid w:val="003530F5"/>
    <w:rsid w:val="00353EFE"/>
    <w:rsid w:val="00353F2B"/>
    <w:rsid w:val="00354225"/>
    <w:rsid w:val="00354274"/>
    <w:rsid w:val="00354C98"/>
    <w:rsid w:val="003562B8"/>
    <w:rsid w:val="00356A4F"/>
    <w:rsid w:val="00356BA4"/>
    <w:rsid w:val="00356CF6"/>
    <w:rsid w:val="00356DA3"/>
    <w:rsid w:val="00357055"/>
    <w:rsid w:val="00357D75"/>
    <w:rsid w:val="0036078F"/>
    <w:rsid w:val="00361E0A"/>
    <w:rsid w:val="00361EAA"/>
    <w:rsid w:val="00361FE4"/>
    <w:rsid w:val="00361FFC"/>
    <w:rsid w:val="00362288"/>
    <w:rsid w:val="00362395"/>
    <w:rsid w:val="00362A3D"/>
    <w:rsid w:val="00362A50"/>
    <w:rsid w:val="00363526"/>
    <w:rsid w:val="0036392D"/>
    <w:rsid w:val="003639EE"/>
    <w:rsid w:val="00363E33"/>
    <w:rsid w:val="00364AD0"/>
    <w:rsid w:val="00364ADF"/>
    <w:rsid w:val="00364EFA"/>
    <w:rsid w:val="003652E4"/>
    <w:rsid w:val="003653BB"/>
    <w:rsid w:val="003654AE"/>
    <w:rsid w:val="003655B5"/>
    <w:rsid w:val="00365920"/>
    <w:rsid w:val="00365AB8"/>
    <w:rsid w:val="0036643E"/>
    <w:rsid w:val="003666DB"/>
    <w:rsid w:val="00366F18"/>
    <w:rsid w:val="00366F58"/>
    <w:rsid w:val="003675EF"/>
    <w:rsid w:val="00367C14"/>
    <w:rsid w:val="00367CCC"/>
    <w:rsid w:val="00367E28"/>
    <w:rsid w:val="0037042E"/>
    <w:rsid w:val="0037069C"/>
    <w:rsid w:val="003708D7"/>
    <w:rsid w:val="00371CC8"/>
    <w:rsid w:val="00371D85"/>
    <w:rsid w:val="00371FFB"/>
    <w:rsid w:val="00372A5C"/>
    <w:rsid w:val="00372A8F"/>
    <w:rsid w:val="00372DDC"/>
    <w:rsid w:val="003730F5"/>
    <w:rsid w:val="003733A4"/>
    <w:rsid w:val="00373C6B"/>
    <w:rsid w:val="003747F4"/>
    <w:rsid w:val="00374FE3"/>
    <w:rsid w:val="003751A5"/>
    <w:rsid w:val="003755A3"/>
    <w:rsid w:val="003755E7"/>
    <w:rsid w:val="00376C8B"/>
    <w:rsid w:val="0037741D"/>
    <w:rsid w:val="00377805"/>
    <w:rsid w:val="00377BA7"/>
    <w:rsid w:val="00377C6C"/>
    <w:rsid w:val="00377F6B"/>
    <w:rsid w:val="00380B0C"/>
    <w:rsid w:val="003811F2"/>
    <w:rsid w:val="0038174B"/>
    <w:rsid w:val="00381761"/>
    <w:rsid w:val="00381898"/>
    <w:rsid w:val="00381EB9"/>
    <w:rsid w:val="00381F70"/>
    <w:rsid w:val="00382505"/>
    <w:rsid w:val="00382F2C"/>
    <w:rsid w:val="003831F0"/>
    <w:rsid w:val="003833C5"/>
    <w:rsid w:val="00383BC3"/>
    <w:rsid w:val="003853E8"/>
    <w:rsid w:val="003855CE"/>
    <w:rsid w:val="0038575D"/>
    <w:rsid w:val="00385C37"/>
    <w:rsid w:val="00385E1D"/>
    <w:rsid w:val="003867B1"/>
    <w:rsid w:val="00386AE3"/>
    <w:rsid w:val="003900D2"/>
    <w:rsid w:val="003906E3"/>
    <w:rsid w:val="00390F65"/>
    <w:rsid w:val="003918A5"/>
    <w:rsid w:val="00391C73"/>
    <w:rsid w:val="00392045"/>
    <w:rsid w:val="003922C8"/>
    <w:rsid w:val="003924E2"/>
    <w:rsid w:val="00392850"/>
    <w:rsid w:val="00392B04"/>
    <w:rsid w:val="00392DEA"/>
    <w:rsid w:val="00392ECA"/>
    <w:rsid w:val="00392FBF"/>
    <w:rsid w:val="00393482"/>
    <w:rsid w:val="0039356D"/>
    <w:rsid w:val="0039387C"/>
    <w:rsid w:val="00393C44"/>
    <w:rsid w:val="00393CAF"/>
    <w:rsid w:val="003941B7"/>
    <w:rsid w:val="00394528"/>
    <w:rsid w:val="00394B26"/>
    <w:rsid w:val="00394F34"/>
    <w:rsid w:val="00395144"/>
    <w:rsid w:val="00395837"/>
    <w:rsid w:val="00395F33"/>
    <w:rsid w:val="003962E7"/>
    <w:rsid w:val="003963B5"/>
    <w:rsid w:val="00396B2F"/>
    <w:rsid w:val="00396FD6"/>
    <w:rsid w:val="003973C2"/>
    <w:rsid w:val="0039773C"/>
    <w:rsid w:val="00397D83"/>
    <w:rsid w:val="003A0DC4"/>
    <w:rsid w:val="003A105D"/>
    <w:rsid w:val="003A18EA"/>
    <w:rsid w:val="003A23B0"/>
    <w:rsid w:val="003A29ED"/>
    <w:rsid w:val="003A3019"/>
    <w:rsid w:val="003A313D"/>
    <w:rsid w:val="003A33C0"/>
    <w:rsid w:val="003A3B52"/>
    <w:rsid w:val="003A3E68"/>
    <w:rsid w:val="003A4119"/>
    <w:rsid w:val="003A4A39"/>
    <w:rsid w:val="003A4A70"/>
    <w:rsid w:val="003A4B32"/>
    <w:rsid w:val="003A4C43"/>
    <w:rsid w:val="003A4F56"/>
    <w:rsid w:val="003A62E1"/>
    <w:rsid w:val="003A69EF"/>
    <w:rsid w:val="003A6CDA"/>
    <w:rsid w:val="003A712F"/>
    <w:rsid w:val="003A719A"/>
    <w:rsid w:val="003A71A6"/>
    <w:rsid w:val="003A71E5"/>
    <w:rsid w:val="003A727F"/>
    <w:rsid w:val="003A755F"/>
    <w:rsid w:val="003A76A9"/>
    <w:rsid w:val="003A7E4A"/>
    <w:rsid w:val="003A7E8B"/>
    <w:rsid w:val="003A7F5B"/>
    <w:rsid w:val="003B0A3F"/>
    <w:rsid w:val="003B0FF0"/>
    <w:rsid w:val="003B139B"/>
    <w:rsid w:val="003B1FBA"/>
    <w:rsid w:val="003B2254"/>
    <w:rsid w:val="003B22A7"/>
    <w:rsid w:val="003B280C"/>
    <w:rsid w:val="003B32F1"/>
    <w:rsid w:val="003B334E"/>
    <w:rsid w:val="003B426B"/>
    <w:rsid w:val="003B67AB"/>
    <w:rsid w:val="003B6D50"/>
    <w:rsid w:val="003B713D"/>
    <w:rsid w:val="003B7594"/>
    <w:rsid w:val="003B75A4"/>
    <w:rsid w:val="003B7658"/>
    <w:rsid w:val="003B775A"/>
    <w:rsid w:val="003B7909"/>
    <w:rsid w:val="003B7BC2"/>
    <w:rsid w:val="003B7D54"/>
    <w:rsid w:val="003B7F32"/>
    <w:rsid w:val="003C030B"/>
    <w:rsid w:val="003C0D27"/>
    <w:rsid w:val="003C1165"/>
    <w:rsid w:val="003C213D"/>
    <w:rsid w:val="003C2879"/>
    <w:rsid w:val="003C2904"/>
    <w:rsid w:val="003C2F46"/>
    <w:rsid w:val="003C3237"/>
    <w:rsid w:val="003C326E"/>
    <w:rsid w:val="003C3BA2"/>
    <w:rsid w:val="003C3EEE"/>
    <w:rsid w:val="003C4602"/>
    <w:rsid w:val="003C4A19"/>
    <w:rsid w:val="003C4AAA"/>
    <w:rsid w:val="003C553A"/>
    <w:rsid w:val="003C5595"/>
    <w:rsid w:val="003C5C6D"/>
    <w:rsid w:val="003C5D72"/>
    <w:rsid w:val="003C6333"/>
    <w:rsid w:val="003C6BFC"/>
    <w:rsid w:val="003C6FA1"/>
    <w:rsid w:val="003C7268"/>
    <w:rsid w:val="003C7E7D"/>
    <w:rsid w:val="003C7FF3"/>
    <w:rsid w:val="003D07EA"/>
    <w:rsid w:val="003D0C35"/>
    <w:rsid w:val="003D1397"/>
    <w:rsid w:val="003D13FF"/>
    <w:rsid w:val="003D14EB"/>
    <w:rsid w:val="003D1AB2"/>
    <w:rsid w:val="003D24C0"/>
    <w:rsid w:val="003D2513"/>
    <w:rsid w:val="003D2517"/>
    <w:rsid w:val="003D25F9"/>
    <w:rsid w:val="003D28B8"/>
    <w:rsid w:val="003D2A6C"/>
    <w:rsid w:val="003D2C0B"/>
    <w:rsid w:val="003D2FD5"/>
    <w:rsid w:val="003D31B5"/>
    <w:rsid w:val="003D31EC"/>
    <w:rsid w:val="003D352C"/>
    <w:rsid w:val="003D3A00"/>
    <w:rsid w:val="003D3B0E"/>
    <w:rsid w:val="003D3D53"/>
    <w:rsid w:val="003D4BA3"/>
    <w:rsid w:val="003D4F98"/>
    <w:rsid w:val="003D5A51"/>
    <w:rsid w:val="003D5A9A"/>
    <w:rsid w:val="003D6477"/>
    <w:rsid w:val="003D6579"/>
    <w:rsid w:val="003D66CD"/>
    <w:rsid w:val="003D71D0"/>
    <w:rsid w:val="003D7211"/>
    <w:rsid w:val="003D7524"/>
    <w:rsid w:val="003D7C2B"/>
    <w:rsid w:val="003D7D68"/>
    <w:rsid w:val="003E0523"/>
    <w:rsid w:val="003E09D3"/>
    <w:rsid w:val="003E0AD4"/>
    <w:rsid w:val="003E1024"/>
    <w:rsid w:val="003E12CB"/>
    <w:rsid w:val="003E1F67"/>
    <w:rsid w:val="003E269E"/>
    <w:rsid w:val="003E2703"/>
    <w:rsid w:val="003E2852"/>
    <w:rsid w:val="003E32E6"/>
    <w:rsid w:val="003E3F1B"/>
    <w:rsid w:val="003E42A4"/>
    <w:rsid w:val="003E50CD"/>
    <w:rsid w:val="003E52FA"/>
    <w:rsid w:val="003E6118"/>
    <w:rsid w:val="003E71F4"/>
    <w:rsid w:val="003E77C8"/>
    <w:rsid w:val="003E7B0F"/>
    <w:rsid w:val="003F0055"/>
    <w:rsid w:val="003F0A7C"/>
    <w:rsid w:val="003F0F6B"/>
    <w:rsid w:val="003F1264"/>
    <w:rsid w:val="003F1814"/>
    <w:rsid w:val="003F226E"/>
    <w:rsid w:val="003F234A"/>
    <w:rsid w:val="003F2406"/>
    <w:rsid w:val="003F2725"/>
    <w:rsid w:val="003F2748"/>
    <w:rsid w:val="003F2763"/>
    <w:rsid w:val="003F2B8D"/>
    <w:rsid w:val="003F3296"/>
    <w:rsid w:val="003F33FD"/>
    <w:rsid w:val="003F4037"/>
    <w:rsid w:val="003F4190"/>
    <w:rsid w:val="003F4629"/>
    <w:rsid w:val="003F5050"/>
    <w:rsid w:val="003F5066"/>
    <w:rsid w:val="003F52D8"/>
    <w:rsid w:val="003F5C9A"/>
    <w:rsid w:val="003F5EB6"/>
    <w:rsid w:val="003F67E3"/>
    <w:rsid w:val="003F6BFF"/>
    <w:rsid w:val="003F6DD8"/>
    <w:rsid w:val="003F705B"/>
    <w:rsid w:val="003F7322"/>
    <w:rsid w:val="004001D0"/>
    <w:rsid w:val="0040062E"/>
    <w:rsid w:val="00400FAF"/>
    <w:rsid w:val="004014C5"/>
    <w:rsid w:val="00401D19"/>
    <w:rsid w:val="0040205D"/>
    <w:rsid w:val="00402B7A"/>
    <w:rsid w:val="00403142"/>
    <w:rsid w:val="00403E66"/>
    <w:rsid w:val="0040467D"/>
    <w:rsid w:val="00404788"/>
    <w:rsid w:val="004053DA"/>
    <w:rsid w:val="00406EE9"/>
    <w:rsid w:val="00407A99"/>
    <w:rsid w:val="004101CE"/>
    <w:rsid w:val="004114FC"/>
    <w:rsid w:val="004117CE"/>
    <w:rsid w:val="004119C2"/>
    <w:rsid w:val="00411BBA"/>
    <w:rsid w:val="00413088"/>
    <w:rsid w:val="00413BA2"/>
    <w:rsid w:val="00413E0C"/>
    <w:rsid w:val="00414E87"/>
    <w:rsid w:val="004151BD"/>
    <w:rsid w:val="0041520C"/>
    <w:rsid w:val="00415562"/>
    <w:rsid w:val="004159CA"/>
    <w:rsid w:val="0041650B"/>
    <w:rsid w:val="00416598"/>
    <w:rsid w:val="00417ACA"/>
    <w:rsid w:val="0042013A"/>
    <w:rsid w:val="004208A7"/>
    <w:rsid w:val="00420C6B"/>
    <w:rsid w:val="0042107E"/>
    <w:rsid w:val="0042197A"/>
    <w:rsid w:val="00422290"/>
    <w:rsid w:val="004225B1"/>
    <w:rsid w:val="0042282B"/>
    <w:rsid w:val="00422AA4"/>
    <w:rsid w:val="0042333A"/>
    <w:rsid w:val="00423B25"/>
    <w:rsid w:val="00423CFB"/>
    <w:rsid w:val="00424088"/>
    <w:rsid w:val="004246EE"/>
    <w:rsid w:val="00424852"/>
    <w:rsid w:val="004251BA"/>
    <w:rsid w:val="004252BC"/>
    <w:rsid w:val="00425538"/>
    <w:rsid w:val="00425A4E"/>
    <w:rsid w:val="00426BAB"/>
    <w:rsid w:val="0042787F"/>
    <w:rsid w:val="004279E7"/>
    <w:rsid w:val="00427B37"/>
    <w:rsid w:val="00430122"/>
    <w:rsid w:val="0043057C"/>
    <w:rsid w:val="00430B1F"/>
    <w:rsid w:val="0043135D"/>
    <w:rsid w:val="00431EB0"/>
    <w:rsid w:val="0043235E"/>
    <w:rsid w:val="00432533"/>
    <w:rsid w:val="00432FE3"/>
    <w:rsid w:val="004332FC"/>
    <w:rsid w:val="004336C7"/>
    <w:rsid w:val="00433743"/>
    <w:rsid w:val="00434389"/>
    <w:rsid w:val="00434402"/>
    <w:rsid w:val="00434501"/>
    <w:rsid w:val="00434B33"/>
    <w:rsid w:val="004363CF"/>
    <w:rsid w:val="004367C3"/>
    <w:rsid w:val="0043680F"/>
    <w:rsid w:val="00436A24"/>
    <w:rsid w:val="0043755D"/>
    <w:rsid w:val="00437C30"/>
    <w:rsid w:val="00437D31"/>
    <w:rsid w:val="0044012B"/>
    <w:rsid w:val="00440548"/>
    <w:rsid w:val="00441122"/>
    <w:rsid w:val="004417D2"/>
    <w:rsid w:val="004423FB"/>
    <w:rsid w:val="00442628"/>
    <w:rsid w:val="00442A78"/>
    <w:rsid w:val="0044360A"/>
    <w:rsid w:val="004442DA"/>
    <w:rsid w:val="0044502F"/>
    <w:rsid w:val="004451B0"/>
    <w:rsid w:val="004456FB"/>
    <w:rsid w:val="00445BC5"/>
    <w:rsid w:val="00445C5B"/>
    <w:rsid w:val="00446391"/>
    <w:rsid w:val="004465A9"/>
    <w:rsid w:val="00446ACE"/>
    <w:rsid w:val="00446AD7"/>
    <w:rsid w:val="00446F67"/>
    <w:rsid w:val="00450BCC"/>
    <w:rsid w:val="00450F7C"/>
    <w:rsid w:val="00451682"/>
    <w:rsid w:val="004519B4"/>
    <w:rsid w:val="0045249C"/>
    <w:rsid w:val="00452CCA"/>
    <w:rsid w:val="00452FC2"/>
    <w:rsid w:val="004531EA"/>
    <w:rsid w:val="00453450"/>
    <w:rsid w:val="00454421"/>
    <w:rsid w:val="00454713"/>
    <w:rsid w:val="004547A8"/>
    <w:rsid w:val="0045495A"/>
    <w:rsid w:val="00454B1D"/>
    <w:rsid w:val="00454E80"/>
    <w:rsid w:val="0045539B"/>
    <w:rsid w:val="00455D6E"/>
    <w:rsid w:val="00455FA6"/>
    <w:rsid w:val="00456719"/>
    <w:rsid w:val="004567A4"/>
    <w:rsid w:val="004569BD"/>
    <w:rsid w:val="00456D91"/>
    <w:rsid w:val="004572EC"/>
    <w:rsid w:val="00457427"/>
    <w:rsid w:val="00460C94"/>
    <w:rsid w:val="0046137F"/>
    <w:rsid w:val="004614B8"/>
    <w:rsid w:val="0046203B"/>
    <w:rsid w:val="00462492"/>
    <w:rsid w:val="004629FC"/>
    <w:rsid w:val="00462EEB"/>
    <w:rsid w:val="00463133"/>
    <w:rsid w:val="00463332"/>
    <w:rsid w:val="0046358F"/>
    <w:rsid w:val="004635C3"/>
    <w:rsid w:val="0046437B"/>
    <w:rsid w:val="00464441"/>
    <w:rsid w:val="0046463E"/>
    <w:rsid w:val="0046479B"/>
    <w:rsid w:val="00464CE6"/>
    <w:rsid w:val="00464DCE"/>
    <w:rsid w:val="00464ECF"/>
    <w:rsid w:val="00465057"/>
    <w:rsid w:val="00465B15"/>
    <w:rsid w:val="0046630B"/>
    <w:rsid w:val="004667F4"/>
    <w:rsid w:val="00466938"/>
    <w:rsid w:val="004669E7"/>
    <w:rsid w:val="00466AF6"/>
    <w:rsid w:val="004678A2"/>
    <w:rsid w:val="00467C10"/>
    <w:rsid w:val="00467D91"/>
    <w:rsid w:val="00470634"/>
    <w:rsid w:val="004709B2"/>
    <w:rsid w:val="004713A6"/>
    <w:rsid w:val="00471C7F"/>
    <w:rsid w:val="00471E06"/>
    <w:rsid w:val="00471E4F"/>
    <w:rsid w:val="0047241E"/>
    <w:rsid w:val="0047281F"/>
    <w:rsid w:val="004729DC"/>
    <w:rsid w:val="00472AEC"/>
    <w:rsid w:val="00472EFE"/>
    <w:rsid w:val="004737BB"/>
    <w:rsid w:val="004745BC"/>
    <w:rsid w:val="00474F05"/>
    <w:rsid w:val="00474FFE"/>
    <w:rsid w:val="004750A0"/>
    <w:rsid w:val="00475365"/>
    <w:rsid w:val="00475599"/>
    <w:rsid w:val="0047586D"/>
    <w:rsid w:val="004759EE"/>
    <w:rsid w:val="00475B05"/>
    <w:rsid w:val="00475EAF"/>
    <w:rsid w:val="00475F6D"/>
    <w:rsid w:val="00476697"/>
    <w:rsid w:val="004800D7"/>
    <w:rsid w:val="00480333"/>
    <w:rsid w:val="00480615"/>
    <w:rsid w:val="00480A0B"/>
    <w:rsid w:val="00481D5B"/>
    <w:rsid w:val="00481D8C"/>
    <w:rsid w:val="004824AC"/>
    <w:rsid w:val="00482E9B"/>
    <w:rsid w:val="00484946"/>
    <w:rsid w:val="00485106"/>
    <w:rsid w:val="0048529A"/>
    <w:rsid w:val="004859A9"/>
    <w:rsid w:val="0048673F"/>
    <w:rsid w:val="00487298"/>
    <w:rsid w:val="00487416"/>
    <w:rsid w:val="00487DD6"/>
    <w:rsid w:val="00490BBC"/>
    <w:rsid w:val="0049127E"/>
    <w:rsid w:val="0049156F"/>
    <w:rsid w:val="004915B9"/>
    <w:rsid w:val="00491D2E"/>
    <w:rsid w:val="00492664"/>
    <w:rsid w:val="0049275E"/>
    <w:rsid w:val="00492E2C"/>
    <w:rsid w:val="00493028"/>
    <w:rsid w:val="00493FFD"/>
    <w:rsid w:val="004953D4"/>
    <w:rsid w:val="00495B2D"/>
    <w:rsid w:val="00495D8A"/>
    <w:rsid w:val="00496136"/>
    <w:rsid w:val="0049637C"/>
    <w:rsid w:val="00497097"/>
    <w:rsid w:val="004974E9"/>
    <w:rsid w:val="004A0BFF"/>
    <w:rsid w:val="004A0C8E"/>
    <w:rsid w:val="004A0FBB"/>
    <w:rsid w:val="004A1500"/>
    <w:rsid w:val="004A26BA"/>
    <w:rsid w:val="004A33BC"/>
    <w:rsid w:val="004A381A"/>
    <w:rsid w:val="004A3960"/>
    <w:rsid w:val="004A3D43"/>
    <w:rsid w:val="004A5B45"/>
    <w:rsid w:val="004A6144"/>
    <w:rsid w:val="004A6315"/>
    <w:rsid w:val="004A6CDD"/>
    <w:rsid w:val="004A70E0"/>
    <w:rsid w:val="004A755C"/>
    <w:rsid w:val="004A7B87"/>
    <w:rsid w:val="004B0717"/>
    <w:rsid w:val="004B0774"/>
    <w:rsid w:val="004B07C0"/>
    <w:rsid w:val="004B0983"/>
    <w:rsid w:val="004B16BF"/>
    <w:rsid w:val="004B1747"/>
    <w:rsid w:val="004B19DC"/>
    <w:rsid w:val="004B1C83"/>
    <w:rsid w:val="004B1E00"/>
    <w:rsid w:val="004B1E88"/>
    <w:rsid w:val="004B282B"/>
    <w:rsid w:val="004B360D"/>
    <w:rsid w:val="004B3F7E"/>
    <w:rsid w:val="004B499A"/>
    <w:rsid w:val="004B4D38"/>
    <w:rsid w:val="004B544F"/>
    <w:rsid w:val="004B546B"/>
    <w:rsid w:val="004B6655"/>
    <w:rsid w:val="004B6F4B"/>
    <w:rsid w:val="004B711B"/>
    <w:rsid w:val="004C01F3"/>
    <w:rsid w:val="004C024A"/>
    <w:rsid w:val="004C0D05"/>
    <w:rsid w:val="004C1607"/>
    <w:rsid w:val="004C16E6"/>
    <w:rsid w:val="004C1C2C"/>
    <w:rsid w:val="004C1D91"/>
    <w:rsid w:val="004C21C8"/>
    <w:rsid w:val="004C249E"/>
    <w:rsid w:val="004C2642"/>
    <w:rsid w:val="004C2AB2"/>
    <w:rsid w:val="004C302B"/>
    <w:rsid w:val="004C32C0"/>
    <w:rsid w:val="004C4CB0"/>
    <w:rsid w:val="004C4DD5"/>
    <w:rsid w:val="004C5256"/>
    <w:rsid w:val="004C5E67"/>
    <w:rsid w:val="004C7067"/>
    <w:rsid w:val="004C7561"/>
    <w:rsid w:val="004D0008"/>
    <w:rsid w:val="004D099B"/>
    <w:rsid w:val="004D0A77"/>
    <w:rsid w:val="004D0E6D"/>
    <w:rsid w:val="004D1035"/>
    <w:rsid w:val="004D12E6"/>
    <w:rsid w:val="004D19EC"/>
    <w:rsid w:val="004D23DC"/>
    <w:rsid w:val="004D2725"/>
    <w:rsid w:val="004D28B6"/>
    <w:rsid w:val="004D339E"/>
    <w:rsid w:val="004D33EA"/>
    <w:rsid w:val="004D34EB"/>
    <w:rsid w:val="004D38A7"/>
    <w:rsid w:val="004D3A60"/>
    <w:rsid w:val="004D3D0D"/>
    <w:rsid w:val="004D41AD"/>
    <w:rsid w:val="004D5368"/>
    <w:rsid w:val="004D55BE"/>
    <w:rsid w:val="004D607A"/>
    <w:rsid w:val="004D6689"/>
    <w:rsid w:val="004D6BA2"/>
    <w:rsid w:val="004D6D5F"/>
    <w:rsid w:val="004D730C"/>
    <w:rsid w:val="004D732E"/>
    <w:rsid w:val="004D76C7"/>
    <w:rsid w:val="004D7939"/>
    <w:rsid w:val="004D7A82"/>
    <w:rsid w:val="004D7B5F"/>
    <w:rsid w:val="004D7BF4"/>
    <w:rsid w:val="004D7CA1"/>
    <w:rsid w:val="004D7F90"/>
    <w:rsid w:val="004D7FBC"/>
    <w:rsid w:val="004E070C"/>
    <w:rsid w:val="004E0EE8"/>
    <w:rsid w:val="004E1982"/>
    <w:rsid w:val="004E1A04"/>
    <w:rsid w:val="004E1B25"/>
    <w:rsid w:val="004E1DB1"/>
    <w:rsid w:val="004E2346"/>
    <w:rsid w:val="004E2720"/>
    <w:rsid w:val="004E29DE"/>
    <w:rsid w:val="004E2C38"/>
    <w:rsid w:val="004E3380"/>
    <w:rsid w:val="004E410A"/>
    <w:rsid w:val="004E4350"/>
    <w:rsid w:val="004E4448"/>
    <w:rsid w:val="004E44B9"/>
    <w:rsid w:val="004E4566"/>
    <w:rsid w:val="004E4756"/>
    <w:rsid w:val="004E49A9"/>
    <w:rsid w:val="004E4E4C"/>
    <w:rsid w:val="004E4F0B"/>
    <w:rsid w:val="004E4FF4"/>
    <w:rsid w:val="004E6EEA"/>
    <w:rsid w:val="004E73DA"/>
    <w:rsid w:val="004E7CDB"/>
    <w:rsid w:val="004E7D2C"/>
    <w:rsid w:val="004F03A9"/>
    <w:rsid w:val="004F09F3"/>
    <w:rsid w:val="004F1130"/>
    <w:rsid w:val="004F13A3"/>
    <w:rsid w:val="004F2010"/>
    <w:rsid w:val="004F2398"/>
    <w:rsid w:val="004F260B"/>
    <w:rsid w:val="004F27D5"/>
    <w:rsid w:val="004F3AB3"/>
    <w:rsid w:val="004F4BD5"/>
    <w:rsid w:val="004F5978"/>
    <w:rsid w:val="004F59A9"/>
    <w:rsid w:val="004F5E4F"/>
    <w:rsid w:val="004F60FD"/>
    <w:rsid w:val="004F62EB"/>
    <w:rsid w:val="004F6554"/>
    <w:rsid w:val="004F6E81"/>
    <w:rsid w:val="004F757B"/>
    <w:rsid w:val="00500D19"/>
    <w:rsid w:val="0050100E"/>
    <w:rsid w:val="00501109"/>
    <w:rsid w:val="00501C0C"/>
    <w:rsid w:val="00501FA6"/>
    <w:rsid w:val="005020F8"/>
    <w:rsid w:val="005022A6"/>
    <w:rsid w:val="005049CB"/>
    <w:rsid w:val="005056DA"/>
    <w:rsid w:val="00506566"/>
    <w:rsid w:val="00506FD9"/>
    <w:rsid w:val="0050729B"/>
    <w:rsid w:val="00507A2A"/>
    <w:rsid w:val="005103EE"/>
    <w:rsid w:val="00511241"/>
    <w:rsid w:val="005112B0"/>
    <w:rsid w:val="005114CD"/>
    <w:rsid w:val="005124F4"/>
    <w:rsid w:val="00512629"/>
    <w:rsid w:val="00513C6B"/>
    <w:rsid w:val="00513E24"/>
    <w:rsid w:val="0051483A"/>
    <w:rsid w:val="00516A14"/>
    <w:rsid w:val="00517297"/>
    <w:rsid w:val="00517620"/>
    <w:rsid w:val="005205E0"/>
    <w:rsid w:val="0052086A"/>
    <w:rsid w:val="00520B1D"/>
    <w:rsid w:val="00520B8C"/>
    <w:rsid w:val="00521CC8"/>
    <w:rsid w:val="00521D88"/>
    <w:rsid w:val="00522257"/>
    <w:rsid w:val="005222FD"/>
    <w:rsid w:val="005231B7"/>
    <w:rsid w:val="005237FE"/>
    <w:rsid w:val="00524073"/>
    <w:rsid w:val="005244B4"/>
    <w:rsid w:val="00525885"/>
    <w:rsid w:val="00525A5A"/>
    <w:rsid w:val="00525E3A"/>
    <w:rsid w:val="00526E91"/>
    <w:rsid w:val="00527846"/>
    <w:rsid w:val="00527EB9"/>
    <w:rsid w:val="0053018A"/>
    <w:rsid w:val="005302F5"/>
    <w:rsid w:val="00530527"/>
    <w:rsid w:val="005307B6"/>
    <w:rsid w:val="005309BB"/>
    <w:rsid w:val="00530B4E"/>
    <w:rsid w:val="005329DA"/>
    <w:rsid w:val="005346AF"/>
    <w:rsid w:val="00534B08"/>
    <w:rsid w:val="00535AE5"/>
    <w:rsid w:val="00535C2D"/>
    <w:rsid w:val="00536061"/>
    <w:rsid w:val="00537782"/>
    <w:rsid w:val="005378A3"/>
    <w:rsid w:val="005379F4"/>
    <w:rsid w:val="00540471"/>
    <w:rsid w:val="0054051F"/>
    <w:rsid w:val="0054052A"/>
    <w:rsid w:val="00540832"/>
    <w:rsid w:val="00540BA8"/>
    <w:rsid w:val="00540D5B"/>
    <w:rsid w:val="00540FC0"/>
    <w:rsid w:val="00541FE0"/>
    <w:rsid w:val="00542521"/>
    <w:rsid w:val="00543477"/>
    <w:rsid w:val="005445E5"/>
    <w:rsid w:val="005448FE"/>
    <w:rsid w:val="005456EB"/>
    <w:rsid w:val="00545B81"/>
    <w:rsid w:val="00545BFB"/>
    <w:rsid w:val="00546DD2"/>
    <w:rsid w:val="00547D23"/>
    <w:rsid w:val="005503F3"/>
    <w:rsid w:val="00550671"/>
    <w:rsid w:val="00550E36"/>
    <w:rsid w:val="00551127"/>
    <w:rsid w:val="00551195"/>
    <w:rsid w:val="005516DD"/>
    <w:rsid w:val="00551CC8"/>
    <w:rsid w:val="00551F87"/>
    <w:rsid w:val="005522CF"/>
    <w:rsid w:val="0055298E"/>
    <w:rsid w:val="00553226"/>
    <w:rsid w:val="00553B4D"/>
    <w:rsid w:val="00553CA4"/>
    <w:rsid w:val="00553D83"/>
    <w:rsid w:val="00553E97"/>
    <w:rsid w:val="00555114"/>
    <w:rsid w:val="00555AB9"/>
    <w:rsid w:val="00555FEC"/>
    <w:rsid w:val="0055646A"/>
    <w:rsid w:val="00556AC0"/>
    <w:rsid w:val="00556B91"/>
    <w:rsid w:val="00556EA6"/>
    <w:rsid w:val="00557021"/>
    <w:rsid w:val="0055702A"/>
    <w:rsid w:val="00557475"/>
    <w:rsid w:val="00557594"/>
    <w:rsid w:val="00560CF7"/>
    <w:rsid w:val="00560DA5"/>
    <w:rsid w:val="0056109C"/>
    <w:rsid w:val="0056120B"/>
    <w:rsid w:val="00561880"/>
    <w:rsid w:val="00562A9A"/>
    <w:rsid w:val="00562C38"/>
    <w:rsid w:val="00562D87"/>
    <w:rsid w:val="005631C7"/>
    <w:rsid w:val="0056347B"/>
    <w:rsid w:val="00563717"/>
    <w:rsid w:val="0056372B"/>
    <w:rsid w:val="00563C88"/>
    <w:rsid w:val="005651FC"/>
    <w:rsid w:val="00565886"/>
    <w:rsid w:val="00565A8E"/>
    <w:rsid w:val="00567454"/>
    <w:rsid w:val="0056754D"/>
    <w:rsid w:val="00567558"/>
    <w:rsid w:val="00567A98"/>
    <w:rsid w:val="00567F1D"/>
    <w:rsid w:val="00567FC9"/>
    <w:rsid w:val="00572A74"/>
    <w:rsid w:val="00572DD4"/>
    <w:rsid w:val="00573518"/>
    <w:rsid w:val="00573FD5"/>
    <w:rsid w:val="00573FEA"/>
    <w:rsid w:val="005745DA"/>
    <w:rsid w:val="00574B99"/>
    <w:rsid w:val="00575185"/>
    <w:rsid w:val="00575386"/>
    <w:rsid w:val="00575586"/>
    <w:rsid w:val="005755C1"/>
    <w:rsid w:val="005755EF"/>
    <w:rsid w:val="005757AA"/>
    <w:rsid w:val="005757BF"/>
    <w:rsid w:val="00576692"/>
    <w:rsid w:val="00577079"/>
    <w:rsid w:val="00577D6A"/>
    <w:rsid w:val="0058012E"/>
    <w:rsid w:val="005805F1"/>
    <w:rsid w:val="00581381"/>
    <w:rsid w:val="00582140"/>
    <w:rsid w:val="005822C8"/>
    <w:rsid w:val="00582584"/>
    <w:rsid w:val="0058291F"/>
    <w:rsid w:val="00582D2B"/>
    <w:rsid w:val="005833CE"/>
    <w:rsid w:val="00583C7F"/>
    <w:rsid w:val="00583FA9"/>
    <w:rsid w:val="0058467C"/>
    <w:rsid w:val="00584E84"/>
    <w:rsid w:val="00585088"/>
    <w:rsid w:val="00585107"/>
    <w:rsid w:val="005855CA"/>
    <w:rsid w:val="00585CE2"/>
    <w:rsid w:val="00585EA2"/>
    <w:rsid w:val="00587DD7"/>
    <w:rsid w:val="005910FE"/>
    <w:rsid w:val="0059187A"/>
    <w:rsid w:val="00591EED"/>
    <w:rsid w:val="005926FC"/>
    <w:rsid w:val="00592B06"/>
    <w:rsid w:val="00592B92"/>
    <w:rsid w:val="00594881"/>
    <w:rsid w:val="00595056"/>
    <w:rsid w:val="00595396"/>
    <w:rsid w:val="00595FA6"/>
    <w:rsid w:val="00596279"/>
    <w:rsid w:val="0059635A"/>
    <w:rsid w:val="0059639E"/>
    <w:rsid w:val="005965DF"/>
    <w:rsid w:val="00596E86"/>
    <w:rsid w:val="005971FE"/>
    <w:rsid w:val="00597240"/>
    <w:rsid w:val="00597500"/>
    <w:rsid w:val="0059778D"/>
    <w:rsid w:val="00597B3E"/>
    <w:rsid w:val="00597EC0"/>
    <w:rsid w:val="005A04FD"/>
    <w:rsid w:val="005A0822"/>
    <w:rsid w:val="005A18F6"/>
    <w:rsid w:val="005A1944"/>
    <w:rsid w:val="005A1BEC"/>
    <w:rsid w:val="005A1C3C"/>
    <w:rsid w:val="005A269B"/>
    <w:rsid w:val="005A2A3D"/>
    <w:rsid w:val="005A319E"/>
    <w:rsid w:val="005A4319"/>
    <w:rsid w:val="005A4F4C"/>
    <w:rsid w:val="005A505F"/>
    <w:rsid w:val="005A5760"/>
    <w:rsid w:val="005A5F18"/>
    <w:rsid w:val="005A6A03"/>
    <w:rsid w:val="005A7820"/>
    <w:rsid w:val="005A7BDA"/>
    <w:rsid w:val="005B05C0"/>
    <w:rsid w:val="005B0FCE"/>
    <w:rsid w:val="005B12E6"/>
    <w:rsid w:val="005B1B1E"/>
    <w:rsid w:val="005B2156"/>
    <w:rsid w:val="005B2B72"/>
    <w:rsid w:val="005B2E1E"/>
    <w:rsid w:val="005B31A4"/>
    <w:rsid w:val="005B3595"/>
    <w:rsid w:val="005B3EDA"/>
    <w:rsid w:val="005B436D"/>
    <w:rsid w:val="005B51EA"/>
    <w:rsid w:val="005B53C0"/>
    <w:rsid w:val="005B5E19"/>
    <w:rsid w:val="005B5EEA"/>
    <w:rsid w:val="005B6293"/>
    <w:rsid w:val="005B63EE"/>
    <w:rsid w:val="005B759C"/>
    <w:rsid w:val="005C0329"/>
    <w:rsid w:val="005C07BA"/>
    <w:rsid w:val="005C0FF9"/>
    <w:rsid w:val="005C19AA"/>
    <w:rsid w:val="005C1A1E"/>
    <w:rsid w:val="005C255A"/>
    <w:rsid w:val="005C2947"/>
    <w:rsid w:val="005C2BD3"/>
    <w:rsid w:val="005C2CD4"/>
    <w:rsid w:val="005C2E0D"/>
    <w:rsid w:val="005C3039"/>
    <w:rsid w:val="005C3970"/>
    <w:rsid w:val="005C3CCB"/>
    <w:rsid w:val="005C405D"/>
    <w:rsid w:val="005C40D1"/>
    <w:rsid w:val="005C4E1A"/>
    <w:rsid w:val="005C59ED"/>
    <w:rsid w:val="005C5A07"/>
    <w:rsid w:val="005C60BE"/>
    <w:rsid w:val="005C640F"/>
    <w:rsid w:val="005C6628"/>
    <w:rsid w:val="005C66C6"/>
    <w:rsid w:val="005C6B40"/>
    <w:rsid w:val="005C711D"/>
    <w:rsid w:val="005C7B71"/>
    <w:rsid w:val="005D0120"/>
    <w:rsid w:val="005D0E07"/>
    <w:rsid w:val="005D147A"/>
    <w:rsid w:val="005D180B"/>
    <w:rsid w:val="005D1E80"/>
    <w:rsid w:val="005D25CD"/>
    <w:rsid w:val="005D2932"/>
    <w:rsid w:val="005D2EFC"/>
    <w:rsid w:val="005D3B06"/>
    <w:rsid w:val="005D3B84"/>
    <w:rsid w:val="005D3C08"/>
    <w:rsid w:val="005D4302"/>
    <w:rsid w:val="005D475E"/>
    <w:rsid w:val="005D5BC3"/>
    <w:rsid w:val="005D6566"/>
    <w:rsid w:val="005D661E"/>
    <w:rsid w:val="005D74D1"/>
    <w:rsid w:val="005D7DFE"/>
    <w:rsid w:val="005E0592"/>
    <w:rsid w:val="005E06A5"/>
    <w:rsid w:val="005E07DF"/>
    <w:rsid w:val="005E0833"/>
    <w:rsid w:val="005E09F6"/>
    <w:rsid w:val="005E1F4F"/>
    <w:rsid w:val="005E20DA"/>
    <w:rsid w:val="005E215E"/>
    <w:rsid w:val="005E23C9"/>
    <w:rsid w:val="005E2B55"/>
    <w:rsid w:val="005E3287"/>
    <w:rsid w:val="005E350F"/>
    <w:rsid w:val="005E3F7F"/>
    <w:rsid w:val="005E4121"/>
    <w:rsid w:val="005E43C0"/>
    <w:rsid w:val="005E46B0"/>
    <w:rsid w:val="005E4D82"/>
    <w:rsid w:val="005E5428"/>
    <w:rsid w:val="005E546B"/>
    <w:rsid w:val="005E58B6"/>
    <w:rsid w:val="005E59A8"/>
    <w:rsid w:val="005E608F"/>
    <w:rsid w:val="005E66BA"/>
    <w:rsid w:val="005E66F3"/>
    <w:rsid w:val="005E6AD6"/>
    <w:rsid w:val="005E7371"/>
    <w:rsid w:val="005E7A12"/>
    <w:rsid w:val="005E7B96"/>
    <w:rsid w:val="005E7D7B"/>
    <w:rsid w:val="005F05B5"/>
    <w:rsid w:val="005F0D80"/>
    <w:rsid w:val="005F19FA"/>
    <w:rsid w:val="005F1FE9"/>
    <w:rsid w:val="005F22DB"/>
    <w:rsid w:val="005F2E9E"/>
    <w:rsid w:val="005F3555"/>
    <w:rsid w:val="005F3A35"/>
    <w:rsid w:val="005F41D4"/>
    <w:rsid w:val="005F4228"/>
    <w:rsid w:val="005F43CA"/>
    <w:rsid w:val="005F4A86"/>
    <w:rsid w:val="005F4FB0"/>
    <w:rsid w:val="005F5490"/>
    <w:rsid w:val="005F554E"/>
    <w:rsid w:val="005F641B"/>
    <w:rsid w:val="005F770A"/>
    <w:rsid w:val="005F7BF7"/>
    <w:rsid w:val="006003E9"/>
    <w:rsid w:val="0060070E"/>
    <w:rsid w:val="00602E59"/>
    <w:rsid w:val="00603585"/>
    <w:rsid w:val="006036C5"/>
    <w:rsid w:val="00603BA9"/>
    <w:rsid w:val="00603DE9"/>
    <w:rsid w:val="00604FCF"/>
    <w:rsid w:val="006071BE"/>
    <w:rsid w:val="006075F3"/>
    <w:rsid w:val="00607E32"/>
    <w:rsid w:val="00610867"/>
    <w:rsid w:val="00611ACA"/>
    <w:rsid w:val="00611D94"/>
    <w:rsid w:val="00611F0D"/>
    <w:rsid w:val="00613316"/>
    <w:rsid w:val="00613495"/>
    <w:rsid w:val="006136F1"/>
    <w:rsid w:val="00613722"/>
    <w:rsid w:val="00613956"/>
    <w:rsid w:val="00614346"/>
    <w:rsid w:val="00614827"/>
    <w:rsid w:val="00614849"/>
    <w:rsid w:val="00614E55"/>
    <w:rsid w:val="00614FCA"/>
    <w:rsid w:val="006162BE"/>
    <w:rsid w:val="006165E4"/>
    <w:rsid w:val="00616ECE"/>
    <w:rsid w:val="006174AE"/>
    <w:rsid w:val="0061790D"/>
    <w:rsid w:val="00617CD8"/>
    <w:rsid w:val="00620283"/>
    <w:rsid w:val="006202E4"/>
    <w:rsid w:val="006208D9"/>
    <w:rsid w:val="0062094E"/>
    <w:rsid w:val="00620E79"/>
    <w:rsid w:val="00621DA4"/>
    <w:rsid w:val="00621DD9"/>
    <w:rsid w:val="006222BE"/>
    <w:rsid w:val="00622A94"/>
    <w:rsid w:val="00623079"/>
    <w:rsid w:val="006236AB"/>
    <w:rsid w:val="006237B3"/>
    <w:rsid w:val="00623ADD"/>
    <w:rsid w:val="00623CED"/>
    <w:rsid w:val="00623D36"/>
    <w:rsid w:val="00623F9A"/>
    <w:rsid w:val="006241CE"/>
    <w:rsid w:val="0062457B"/>
    <w:rsid w:val="006247E0"/>
    <w:rsid w:val="006247F9"/>
    <w:rsid w:val="00624F45"/>
    <w:rsid w:val="006251E6"/>
    <w:rsid w:val="006255A6"/>
    <w:rsid w:val="0062573C"/>
    <w:rsid w:val="0062576D"/>
    <w:rsid w:val="006259BE"/>
    <w:rsid w:val="00625D79"/>
    <w:rsid w:val="00626163"/>
    <w:rsid w:val="0062658C"/>
    <w:rsid w:val="00626CE5"/>
    <w:rsid w:val="00626F1C"/>
    <w:rsid w:val="006275AB"/>
    <w:rsid w:val="00630382"/>
    <w:rsid w:val="00630794"/>
    <w:rsid w:val="00630CF7"/>
    <w:rsid w:val="00630F10"/>
    <w:rsid w:val="006310A8"/>
    <w:rsid w:val="0063156C"/>
    <w:rsid w:val="006316EA"/>
    <w:rsid w:val="00631A8A"/>
    <w:rsid w:val="0063335B"/>
    <w:rsid w:val="0063352F"/>
    <w:rsid w:val="00633FED"/>
    <w:rsid w:val="006344BE"/>
    <w:rsid w:val="006346DE"/>
    <w:rsid w:val="00634FC2"/>
    <w:rsid w:val="006351DA"/>
    <w:rsid w:val="00635469"/>
    <w:rsid w:val="006356BF"/>
    <w:rsid w:val="006357D0"/>
    <w:rsid w:val="00635E06"/>
    <w:rsid w:val="006363EB"/>
    <w:rsid w:val="006364D4"/>
    <w:rsid w:val="00636B86"/>
    <w:rsid w:val="00636C67"/>
    <w:rsid w:val="00636D1F"/>
    <w:rsid w:val="00637370"/>
    <w:rsid w:val="00637539"/>
    <w:rsid w:val="006375DD"/>
    <w:rsid w:val="00637A0D"/>
    <w:rsid w:val="00640302"/>
    <w:rsid w:val="00640DBF"/>
    <w:rsid w:val="00640FBE"/>
    <w:rsid w:val="0064121E"/>
    <w:rsid w:val="006416C7"/>
    <w:rsid w:val="00641733"/>
    <w:rsid w:val="006419D3"/>
    <w:rsid w:val="00642373"/>
    <w:rsid w:val="006425DB"/>
    <w:rsid w:val="00643095"/>
    <w:rsid w:val="00643144"/>
    <w:rsid w:val="00643E71"/>
    <w:rsid w:val="006447A4"/>
    <w:rsid w:val="00645FE1"/>
    <w:rsid w:val="0064642D"/>
    <w:rsid w:val="00646B00"/>
    <w:rsid w:val="00647931"/>
    <w:rsid w:val="006504A3"/>
    <w:rsid w:val="00650FA8"/>
    <w:rsid w:val="006511B4"/>
    <w:rsid w:val="006517FF"/>
    <w:rsid w:val="0065237A"/>
    <w:rsid w:val="0065271C"/>
    <w:rsid w:val="006527E0"/>
    <w:rsid w:val="00652C0B"/>
    <w:rsid w:val="00652FB5"/>
    <w:rsid w:val="00654521"/>
    <w:rsid w:val="006555D6"/>
    <w:rsid w:val="00655BFD"/>
    <w:rsid w:val="00655DA6"/>
    <w:rsid w:val="00655E2B"/>
    <w:rsid w:val="006563C9"/>
    <w:rsid w:val="0065699F"/>
    <w:rsid w:val="0065704E"/>
    <w:rsid w:val="006575CF"/>
    <w:rsid w:val="00657D87"/>
    <w:rsid w:val="00657E60"/>
    <w:rsid w:val="00657F31"/>
    <w:rsid w:val="00660362"/>
    <w:rsid w:val="00660378"/>
    <w:rsid w:val="00660652"/>
    <w:rsid w:val="00661073"/>
    <w:rsid w:val="006610FC"/>
    <w:rsid w:val="00661196"/>
    <w:rsid w:val="00661F05"/>
    <w:rsid w:val="006623EC"/>
    <w:rsid w:val="00662444"/>
    <w:rsid w:val="00662A26"/>
    <w:rsid w:val="00662AD0"/>
    <w:rsid w:val="00662C97"/>
    <w:rsid w:val="00662DCF"/>
    <w:rsid w:val="0066312D"/>
    <w:rsid w:val="00663216"/>
    <w:rsid w:val="00663897"/>
    <w:rsid w:val="006638E7"/>
    <w:rsid w:val="00663C3A"/>
    <w:rsid w:val="0066415C"/>
    <w:rsid w:val="00664A17"/>
    <w:rsid w:val="00664E26"/>
    <w:rsid w:val="0066590E"/>
    <w:rsid w:val="00665B6E"/>
    <w:rsid w:val="00665B9B"/>
    <w:rsid w:val="0066671F"/>
    <w:rsid w:val="00666BBD"/>
    <w:rsid w:val="0066794D"/>
    <w:rsid w:val="00667BDD"/>
    <w:rsid w:val="00667F92"/>
    <w:rsid w:val="00670E92"/>
    <w:rsid w:val="0067191A"/>
    <w:rsid w:val="00671CF1"/>
    <w:rsid w:val="00671F62"/>
    <w:rsid w:val="00672213"/>
    <w:rsid w:val="00672735"/>
    <w:rsid w:val="006735BF"/>
    <w:rsid w:val="00673D29"/>
    <w:rsid w:val="0067402B"/>
    <w:rsid w:val="00674ABC"/>
    <w:rsid w:val="00674D32"/>
    <w:rsid w:val="00674FE6"/>
    <w:rsid w:val="00675153"/>
    <w:rsid w:val="006753FD"/>
    <w:rsid w:val="00675B7D"/>
    <w:rsid w:val="00675BA2"/>
    <w:rsid w:val="00676068"/>
    <w:rsid w:val="00676233"/>
    <w:rsid w:val="0067635E"/>
    <w:rsid w:val="00676F55"/>
    <w:rsid w:val="00677596"/>
    <w:rsid w:val="00677654"/>
    <w:rsid w:val="00677C47"/>
    <w:rsid w:val="00680AC8"/>
    <w:rsid w:val="00680F15"/>
    <w:rsid w:val="00680F4A"/>
    <w:rsid w:val="00681726"/>
    <w:rsid w:val="00681EF6"/>
    <w:rsid w:val="0068205C"/>
    <w:rsid w:val="00682A94"/>
    <w:rsid w:val="00682B49"/>
    <w:rsid w:val="00683C7D"/>
    <w:rsid w:val="00684149"/>
    <w:rsid w:val="006850FF"/>
    <w:rsid w:val="00685734"/>
    <w:rsid w:val="006857AD"/>
    <w:rsid w:val="00686137"/>
    <w:rsid w:val="00686A9D"/>
    <w:rsid w:val="006873F8"/>
    <w:rsid w:val="006876B3"/>
    <w:rsid w:val="00690B03"/>
    <w:rsid w:val="00690D20"/>
    <w:rsid w:val="00690DA7"/>
    <w:rsid w:val="00691282"/>
    <w:rsid w:val="00691486"/>
    <w:rsid w:val="006919EC"/>
    <w:rsid w:val="00691B6E"/>
    <w:rsid w:val="006920A1"/>
    <w:rsid w:val="00692292"/>
    <w:rsid w:val="00692B7B"/>
    <w:rsid w:val="0069319A"/>
    <w:rsid w:val="00693604"/>
    <w:rsid w:val="006940C9"/>
    <w:rsid w:val="00694338"/>
    <w:rsid w:val="00694FA6"/>
    <w:rsid w:val="006950DB"/>
    <w:rsid w:val="00695166"/>
    <w:rsid w:val="00695296"/>
    <w:rsid w:val="006953CB"/>
    <w:rsid w:val="00695FF4"/>
    <w:rsid w:val="00696089"/>
    <w:rsid w:val="006961A0"/>
    <w:rsid w:val="00697170"/>
    <w:rsid w:val="006972B1"/>
    <w:rsid w:val="00697832"/>
    <w:rsid w:val="00697930"/>
    <w:rsid w:val="006A03FA"/>
    <w:rsid w:val="006A0EC3"/>
    <w:rsid w:val="006A1078"/>
    <w:rsid w:val="006A10E6"/>
    <w:rsid w:val="006A1777"/>
    <w:rsid w:val="006A23D6"/>
    <w:rsid w:val="006A3C37"/>
    <w:rsid w:val="006A3C58"/>
    <w:rsid w:val="006A3C62"/>
    <w:rsid w:val="006A3C9D"/>
    <w:rsid w:val="006A4975"/>
    <w:rsid w:val="006A4A72"/>
    <w:rsid w:val="006A4AFE"/>
    <w:rsid w:val="006A4BBE"/>
    <w:rsid w:val="006A5267"/>
    <w:rsid w:val="006A5D81"/>
    <w:rsid w:val="006A6101"/>
    <w:rsid w:val="006A679A"/>
    <w:rsid w:val="006A6898"/>
    <w:rsid w:val="006A710B"/>
    <w:rsid w:val="006A71C1"/>
    <w:rsid w:val="006A71C8"/>
    <w:rsid w:val="006A7C39"/>
    <w:rsid w:val="006A7EBD"/>
    <w:rsid w:val="006B0E7D"/>
    <w:rsid w:val="006B2364"/>
    <w:rsid w:val="006B2CDD"/>
    <w:rsid w:val="006B3317"/>
    <w:rsid w:val="006B3520"/>
    <w:rsid w:val="006B3BFC"/>
    <w:rsid w:val="006B3CA2"/>
    <w:rsid w:val="006B44F7"/>
    <w:rsid w:val="006B57DB"/>
    <w:rsid w:val="006B589E"/>
    <w:rsid w:val="006B6B1E"/>
    <w:rsid w:val="006B6D61"/>
    <w:rsid w:val="006B75C2"/>
    <w:rsid w:val="006C033E"/>
    <w:rsid w:val="006C089A"/>
    <w:rsid w:val="006C1585"/>
    <w:rsid w:val="006C18DB"/>
    <w:rsid w:val="006C1C4E"/>
    <w:rsid w:val="006C1EBF"/>
    <w:rsid w:val="006C22D6"/>
    <w:rsid w:val="006C3288"/>
    <w:rsid w:val="006C355A"/>
    <w:rsid w:val="006C46C7"/>
    <w:rsid w:val="006C4D54"/>
    <w:rsid w:val="006C4D6D"/>
    <w:rsid w:val="006C4FA2"/>
    <w:rsid w:val="006C5211"/>
    <w:rsid w:val="006C5289"/>
    <w:rsid w:val="006C5438"/>
    <w:rsid w:val="006C6248"/>
    <w:rsid w:val="006C6292"/>
    <w:rsid w:val="006C6C25"/>
    <w:rsid w:val="006C6CC4"/>
    <w:rsid w:val="006C70D9"/>
    <w:rsid w:val="006C7BAB"/>
    <w:rsid w:val="006C7CBF"/>
    <w:rsid w:val="006C7D72"/>
    <w:rsid w:val="006D0ECB"/>
    <w:rsid w:val="006D0FBE"/>
    <w:rsid w:val="006D140C"/>
    <w:rsid w:val="006D262A"/>
    <w:rsid w:val="006D277E"/>
    <w:rsid w:val="006D342B"/>
    <w:rsid w:val="006D4475"/>
    <w:rsid w:val="006D53F1"/>
    <w:rsid w:val="006D6925"/>
    <w:rsid w:val="006D6B5C"/>
    <w:rsid w:val="006D70DF"/>
    <w:rsid w:val="006D75B6"/>
    <w:rsid w:val="006D79E3"/>
    <w:rsid w:val="006D7EF2"/>
    <w:rsid w:val="006D7FAC"/>
    <w:rsid w:val="006E0171"/>
    <w:rsid w:val="006E0B40"/>
    <w:rsid w:val="006E0DB2"/>
    <w:rsid w:val="006E146B"/>
    <w:rsid w:val="006E150C"/>
    <w:rsid w:val="006E152B"/>
    <w:rsid w:val="006E29B3"/>
    <w:rsid w:val="006E29E3"/>
    <w:rsid w:val="006E37F8"/>
    <w:rsid w:val="006E3A95"/>
    <w:rsid w:val="006E4477"/>
    <w:rsid w:val="006E5254"/>
    <w:rsid w:val="006E62C3"/>
    <w:rsid w:val="006E6540"/>
    <w:rsid w:val="006E663E"/>
    <w:rsid w:val="006E695E"/>
    <w:rsid w:val="006E6A89"/>
    <w:rsid w:val="006E76D2"/>
    <w:rsid w:val="006E77A9"/>
    <w:rsid w:val="006E77F4"/>
    <w:rsid w:val="006E79C5"/>
    <w:rsid w:val="006F0813"/>
    <w:rsid w:val="006F0896"/>
    <w:rsid w:val="006F0A7F"/>
    <w:rsid w:val="006F159A"/>
    <w:rsid w:val="006F169E"/>
    <w:rsid w:val="006F1B66"/>
    <w:rsid w:val="006F1F71"/>
    <w:rsid w:val="006F1F8A"/>
    <w:rsid w:val="006F21D7"/>
    <w:rsid w:val="006F26D6"/>
    <w:rsid w:val="006F3156"/>
    <w:rsid w:val="006F31EE"/>
    <w:rsid w:val="006F3B18"/>
    <w:rsid w:val="006F4233"/>
    <w:rsid w:val="006F4F35"/>
    <w:rsid w:val="006F4F84"/>
    <w:rsid w:val="006F519D"/>
    <w:rsid w:val="006F55B6"/>
    <w:rsid w:val="006F5E40"/>
    <w:rsid w:val="006F626A"/>
    <w:rsid w:val="006F76B0"/>
    <w:rsid w:val="006F76E2"/>
    <w:rsid w:val="006F7DFD"/>
    <w:rsid w:val="006F7E54"/>
    <w:rsid w:val="007000F0"/>
    <w:rsid w:val="007009B0"/>
    <w:rsid w:val="00700B7F"/>
    <w:rsid w:val="007026EB"/>
    <w:rsid w:val="00702713"/>
    <w:rsid w:val="00702C46"/>
    <w:rsid w:val="00703596"/>
    <w:rsid w:val="00703FF3"/>
    <w:rsid w:val="007042A2"/>
    <w:rsid w:val="00704721"/>
    <w:rsid w:val="007047F0"/>
    <w:rsid w:val="00704D17"/>
    <w:rsid w:val="00705A8D"/>
    <w:rsid w:val="00705D05"/>
    <w:rsid w:val="00705D56"/>
    <w:rsid w:val="007062B9"/>
    <w:rsid w:val="00706629"/>
    <w:rsid w:val="0070698E"/>
    <w:rsid w:val="00706BA1"/>
    <w:rsid w:val="00706D03"/>
    <w:rsid w:val="00706FB6"/>
    <w:rsid w:val="007078AF"/>
    <w:rsid w:val="00707E57"/>
    <w:rsid w:val="007101C3"/>
    <w:rsid w:val="0071156F"/>
    <w:rsid w:val="00711CD2"/>
    <w:rsid w:val="00712144"/>
    <w:rsid w:val="0071215C"/>
    <w:rsid w:val="00712201"/>
    <w:rsid w:val="007124DF"/>
    <w:rsid w:val="00712D1D"/>
    <w:rsid w:val="007133C5"/>
    <w:rsid w:val="00713705"/>
    <w:rsid w:val="00714B98"/>
    <w:rsid w:val="0071584D"/>
    <w:rsid w:val="007162B0"/>
    <w:rsid w:val="00717982"/>
    <w:rsid w:val="00720EFF"/>
    <w:rsid w:val="00721D0E"/>
    <w:rsid w:val="007222E5"/>
    <w:rsid w:val="007223E7"/>
    <w:rsid w:val="00723383"/>
    <w:rsid w:val="007238B9"/>
    <w:rsid w:val="007238BC"/>
    <w:rsid w:val="007238FC"/>
    <w:rsid w:val="00724434"/>
    <w:rsid w:val="007259E8"/>
    <w:rsid w:val="00725B13"/>
    <w:rsid w:val="00725ED2"/>
    <w:rsid w:val="0072663D"/>
    <w:rsid w:val="00726A12"/>
    <w:rsid w:val="00726B20"/>
    <w:rsid w:val="00726BBA"/>
    <w:rsid w:val="00726D7D"/>
    <w:rsid w:val="00726E00"/>
    <w:rsid w:val="00726ED9"/>
    <w:rsid w:val="0072736B"/>
    <w:rsid w:val="00727896"/>
    <w:rsid w:val="00730EA1"/>
    <w:rsid w:val="007314AC"/>
    <w:rsid w:val="00731927"/>
    <w:rsid w:val="0073269A"/>
    <w:rsid w:val="007326A7"/>
    <w:rsid w:val="00732DC4"/>
    <w:rsid w:val="0073340F"/>
    <w:rsid w:val="00733D90"/>
    <w:rsid w:val="007358CF"/>
    <w:rsid w:val="00735F4E"/>
    <w:rsid w:val="0073685D"/>
    <w:rsid w:val="00736A0E"/>
    <w:rsid w:val="0073709E"/>
    <w:rsid w:val="007401A4"/>
    <w:rsid w:val="00740A44"/>
    <w:rsid w:val="00740BC7"/>
    <w:rsid w:val="00740E18"/>
    <w:rsid w:val="00741E1F"/>
    <w:rsid w:val="00742765"/>
    <w:rsid w:val="0074284F"/>
    <w:rsid w:val="00744D50"/>
    <w:rsid w:val="00744DEC"/>
    <w:rsid w:val="007450C5"/>
    <w:rsid w:val="00745189"/>
    <w:rsid w:val="00745FCE"/>
    <w:rsid w:val="0074682B"/>
    <w:rsid w:val="00746AD6"/>
    <w:rsid w:val="00746CD6"/>
    <w:rsid w:val="00746F52"/>
    <w:rsid w:val="00747271"/>
    <w:rsid w:val="00747A1E"/>
    <w:rsid w:val="00747A7C"/>
    <w:rsid w:val="0075062A"/>
    <w:rsid w:val="00750C25"/>
    <w:rsid w:val="00750DAD"/>
    <w:rsid w:val="007522DB"/>
    <w:rsid w:val="00752365"/>
    <w:rsid w:val="007523B4"/>
    <w:rsid w:val="00752469"/>
    <w:rsid w:val="00752728"/>
    <w:rsid w:val="00753A66"/>
    <w:rsid w:val="00753D84"/>
    <w:rsid w:val="00754F31"/>
    <w:rsid w:val="0075500A"/>
    <w:rsid w:val="007551C8"/>
    <w:rsid w:val="007559B0"/>
    <w:rsid w:val="0075637B"/>
    <w:rsid w:val="007564B3"/>
    <w:rsid w:val="007572E8"/>
    <w:rsid w:val="007574A4"/>
    <w:rsid w:val="007577C6"/>
    <w:rsid w:val="00757876"/>
    <w:rsid w:val="007601A8"/>
    <w:rsid w:val="00760DAD"/>
    <w:rsid w:val="00760F11"/>
    <w:rsid w:val="007615A6"/>
    <w:rsid w:val="00761807"/>
    <w:rsid w:val="00761CB8"/>
    <w:rsid w:val="00762626"/>
    <w:rsid w:val="0076297B"/>
    <w:rsid w:val="007629AA"/>
    <w:rsid w:val="007629CD"/>
    <w:rsid w:val="00762CEA"/>
    <w:rsid w:val="0076342B"/>
    <w:rsid w:val="00763A89"/>
    <w:rsid w:val="00764067"/>
    <w:rsid w:val="00764769"/>
    <w:rsid w:val="00765153"/>
    <w:rsid w:val="00765862"/>
    <w:rsid w:val="00765959"/>
    <w:rsid w:val="00765E07"/>
    <w:rsid w:val="00766462"/>
    <w:rsid w:val="00766AFE"/>
    <w:rsid w:val="00766F1E"/>
    <w:rsid w:val="00767F8F"/>
    <w:rsid w:val="00770BD2"/>
    <w:rsid w:val="0077128B"/>
    <w:rsid w:val="00771E65"/>
    <w:rsid w:val="00772361"/>
    <w:rsid w:val="00772682"/>
    <w:rsid w:val="00773A60"/>
    <w:rsid w:val="00773D59"/>
    <w:rsid w:val="0077411F"/>
    <w:rsid w:val="00774609"/>
    <w:rsid w:val="00774848"/>
    <w:rsid w:val="00774BA4"/>
    <w:rsid w:val="0077559A"/>
    <w:rsid w:val="00775A61"/>
    <w:rsid w:val="00776281"/>
    <w:rsid w:val="00776470"/>
    <w:rsid w:val="00776B27"/>
    <w:rsid w:val="00776C8C"/>
    <w:rsid w:val="007774ED"/>
    <w:rsid w:val="007775B7"/>
    <w:rsid w:val="007777DE"/>
    <w:rsid w:val="00777877"/>
    <w:rsid w:val="00777E27"/>
    <w:rsid w:val="00780701"/>
    <w:rsid w:val="0078095B"/>
    <w:rsid w:val="0078188A"/>
    <w:rsid w:val="00781A4D"/>
    <w:rsid w:val="0078257F"/>
    <w:rsid w:val="00783F5D"/>
    <w:rsid w:val="00784647"/>
    <w:rsid w:val="007850AF"/>
    <w:rsid w:val="00785855"/>
    <w:rsid w:val="007859DC"/>
    <w:rsid w:val="00785B95"/>
    <w:rsid w:val="007868E7"/>
    <w:rsid w:val="00786CEE"/>
    <w:rsid w:val="00787250"/>
    <w:rsid w:val="00787B0B"/>
    <w:rsid w:val="007901E7"/>
    <w:rsid w:val="00790A5D"/>
    <w:rsid w:val="00790AB3"/>
    <w:rsid w:val="0079145C"/>
    <w:rsid w:val="0079186C"/>
    <w:rsid w:val="00791917"/>
    <w:rsid w:val="00791A65"/>
    <w:rsid w:val="00791AB5"/>
    <w:rsid w:val="00791D1A"/>
    <w:rsid w:val="00793360"/>
    <w:rsid w:val="0079337D"/>
    <w:rsid w:val="00794403"/>
    <w:rsid w:val="007945EF"/>
    <w:rsid w:val="007951D9"/>
    <w:rsid w:val="00795797"/>
    <w:rsid w:val="00796764"/>
    <w:rsid w:val="00796840"/>
    <w:rsid w:val="00796E10"/>
    <w:rsid w:val="00797049"/>
    <w:rsid w:val="007973CA"/>
    <w:rsid w:val="00797568"/>
    <w:rsid w:val="0079792C"/>
    <w:rsid w:val="00797E6C"/>
    <w:rsid w:val="007A029F"/>
    <w:rsid w:val="007A0BB5"/>
    <w:rsid w:val="007A1573"/>
    <w:rsid w:val="007A16B7"/>
    <w:rsid w:val="007A2292"/>
    <w:rsid w:val="007A3340"/>
    <w:rsid w:val="007A3CCE"/>
    <w:rsid w:val="007A3D56"/>
    <w:rsid w:val="007A3ECC"/>
    <w:rsid w:val="007A4737"/>
    <w:rsid w:val="007A48B9"/>
    <w:rsid w:val="007A4922"/>
    <w:rsid w:val="007A493B"/>
    <w:rsid w:val="007A4E06"/>
    <w:rsid w:val="007A5124"/>
    <w:rsid w:val="007A564D"/>
    <w:rsid w:val="007A5913"/>
    <w:rsid w:val="007A59D1"/>
    <w:rsid w:val="007A6C6A"/>
    <w:rsid w:val="007A7348"/>
    <w:rsid w:val="007A7647"/>
    <w:rsid w:val="007A7E7A"/>
    <w:rsid w:val="007B012A"/>
    <w:rsid w:val="007B0ED3"/>
    <w:rsid w:val="007B130E"/>
    <w:rsid w:val="007B1A14"/>
    <w:rsid w:val="007B2574"/>
    <w:rsid w:val="007B2DDC"/>
    <w:rsid w:val="007B304B"/>
    <w:rsid w:val="007B33DE"/>
    <w:rsid w:val="007B37AF"/>
    <w:rsid w:val="007B3851"/>
    <w:rsid w:val="007B3D3D"/>
    <w:rsid w:val="007B49B5"/>
    <w:rsid w:val="007B56B9"/>
    <w:rsid w:val="007B6418"/>
    <w:rsid w:val="007B6642"/>
    <w:rsid w:val="007B6803"/>
    <w:rsid w:val="007B7963"/>
    <w:rsid w:val="007C0B7B"/>
    <w:rsid w:val="007C0C6D"/>
    <w:rsid w:val="007C11A5"/>
    <w:rsid w:val="007C1609"/>
    <w:rsid w:val="007C17AD"/>
    <w:rsid w:val="007C18A0"/>
    <w:rsid w:val="007C18EF"/>
    <w:rsid w:val="007C1935"/>
    <w:rsid w:val="007C2160"/>
    <w:rsid w:val="007C26C3"/>
    <w:rsid w:val="007C351B"/>
    <w:rsid w:val="007C37BC"/>
    <w:rsid w:val="007C3A53"/>
    <w:rsid w:val="007C3AB4"/>
    <w:rsid w:val="007C4AC2"/>
    <w:rsid w:val="007C546E"/>
    <w:rsid w:val="007C576E"/>
    <w:rsid w:val="007C5BED"/>
    <w:rsid w:val="007C5D12"/>
    <w:rsid w:val="007C607B"/>
    <w:rsid w:val="007C646A"/>
    <w:rsid w:val="007C7984"/>
    <w:rsid w:val="007C7DE2"/>
    <w:rsid w:val="007C7F2B"/>
    <w:rsid w:val="007D00AB"/>
    <w:rsid w:val="007D0484"/>
    <w:rsid w:val="007D0567"/>
    <w:rsid w:val="007D0A56"/>
    <w:rsid w:val="007D143C"/>
    <w:rsid w:val="007D1B12"/>
    <w:rsid w:val="007D1F1D"/>
    <w:rsid w:val="007D20BF"/>
    <w:rsid w:val="007D2EDD"/>
    <w:rsid w:val="007D321B"/>
    <w:rsid w:val="007D3BE9"/>
    <w:rsid w:val="007D3C9F"/>
    <w:rsid w:val="007D4831"/>
    <w:rsid w:val="007D533D"/>
    <w:rsid w:val="007D5CBC"/>
    <w:rsid w:val="007D605B"/>
    <w:rsid w:val="007D64CB"/>
    <w:rsid w:val="007D71AE"/>
    <w:rsid w:val="007D741D"/>
    <w:rsid w:val="007D7F5E"/>
    <w:rsid w:val="007E0181"/>
    <w:rsid w:val="007E07B9"/>
    <w:rsid w:val="007E0986"/>
    <w:rsid w:val="007E2A5D"/>
    <w:rsid w:val="007E3165"/>
    <w:rsid w:val="007E32EC"/>
    <w:rsid w:val="007E384C"/>
    <w:rsid w:val="007E3BDD"/>
    <w:rsid w:val="007E4046"/>
    <w:rsid w:val="007E435A"/>
    <w:rsid w:val="007E43A8"/>
    <w:rsid w:val="007E43E5"/>
    <w:rsid w:val="007E4529"/>
    <w:rsid w:val="007E4BF0"/>
    <w:rsid w:val="007E4D7C"/>
    <w:rsid w:val="007E5A6B"/>
    <w:rsid w:val="007E5EE4"/>
    <w:rsid w:val="007E6924"/>
    <w:rsid w:val="007E6A33"/>
    <w:rsid w:val="007E6C4A"/>
    <w:rsid w:val="007E6CA2"/>
    <w:rsid w:val="007E6F18"/>
    <w:rsid w:val="007E7213"/>
    <w:rsid w:val="007E7CB0"/>
    <w:rsid w:val="007E7DEB"/>
    <w:rsid w:val="007E7E89"/>
    <w:rsid w:val="007E7F6F"/>
    <w:rsid w:val="007F032E"/>
    <w:rsid w:val="007F0597"/>
    <w:rsid w:val="007F12C0"/>
    <w:rsid w:val="007F1A3D"/>
    <w:rsid w:val="007F280E"/>
    <w:rsid w:val="007F28F7"/>
    <w:rsid w:val="007F2CB1"/>
    <w:rsid w:val="007F2DC9"/>
    <w:rsid w:val="007F3AD8"/>
    <w:rsid w:val="007F3D81"/>
    <w:rsid w:val="007F3D95"/>
    <w:rsid w:val="007F3E4E"/>
    <w:rsid w:val="007F4602"/>
    <w:rsid w:val="007F47B1"/>
    <w:rsid w:val="007F4A51"/>
    <w:rsid w:val="007F504F"/>
    <w:rsid w:val="007F5778"/>
    <w:rsid w:val="007F57F4"/>
    <w:rsid w:val="007F59C5"/>
    <w:rsid w:val="007F5AEA"/>
    <w:rsid w:val="007F5BD3"/>
    <w:rsid w:val="007F5FF0"/>
    <w:rsid w:val="007F6CB6"/>
    <w:rsid w:val="007F6D2F"/>
    <w:rsid w:val="007F7D38"/>
    <w:rsid w:val="00800C45"/>
    <w:rsid w:val="00801151"/>
    <w:rsid w:val="008016ED"/>
    <w:rsid w:val="0080173F"/>
    <w:rsid w:val="00801DA3"/>
    <w:rsid w:val="008022ED"/>
    <w:rsid w:val="0080273D"/>
    <w:rsid w:val="00802A53"/>
    <w:rsid w:val="00802B5B"/>
    <w:rsid w:val="00803218"/>
    <w:rsid w:val="008032F2"/>
    <w:rsid w:val="00803312"/>
    <w:rsid w:val="00803377"/>
    <w:rsid w:val="00803A81"/>
    <w:rsid w:val="00803FA4"/>
    <w:rsid w:val="0080404D"/>
    <w:rsid w:val="00804BE0"/>
    <w:rsid w:val="0080607E"/>
    <w:rsid w:val="00806381"/>
    <w:rsid w:val="00806469"/>
    <w:rsid w:val="008065CA"/>
    <w:rsid w:val="00806708"/>
    <w:rsid w:val="00806D01"/>
    <w:rsid w:val="008075AB"/>
    <w:rsid w:val="00807850"/>
    <w:rsid w:val="008078F7"/>
    <w:rsid w:val="00811055"/>
    <w:rsid w:val="00811337"/>
    <w:rsid w:val="00811EC1"/>
    <w:rsid w:val="008125E8"/>
    <w:rsid w:val="0081269D"/>
    <w:rsid w:val="00812B38"/>
    <w:rsid w:val="00812E40"/>
    <w:rsid w:val="00812E8C"/>
    <w:rsid w:val="00813B94"/>
    <w:rsid w:val="008141E8"/>
    <w:rsid w:val="00814733"/>
    <w:rsid w:val="00814898"/>
    <w:rsid w:val="00814EEE"/>
    <w:rsid w:val="00815C85"/>
    <w:rsid w:val="00815D29"/>
    <w:rsid w:val="00816D20"/>
    <w:rsid w:val="00816FAE"/>
    <w:rsid w:val="0081705C"/>
    <w:rsid w:val="008170DF"/>
    <w:rsid w:val="008176E9"/>
    <w:rsid w:val="0081779A"/>
    <w:rsid w:val="00817EFA"/>
    <w:rsid w:val="0082021B"/>
    <w:rsid w:val="00820CAE"/>
    <w:rsid w:val="00820FCA"/>
    <w:rsid w:val="0082167D"/>
    <w:rsid w:val="008227F8"/>
    <w:rsid w:val="008232DB"/>
    <w:rsid w:val="008237D0"/>
    <w:rsid w:val="00823CB8"/>
    <w:rsid w:val="00824609"/>
    <w:rsid w:val="00824C82"/>
    <w:rsid w:val="00825058"/>
    <w:rsid w:val="0082573E"/>
    <w:rsid w:val="00825C19"/>
    <w:rsid w:val="00825FBF"/>
    <w:rsid w:val="008260AF"/>
    <w:rsid w:val="00826150"/>
    <w:rsid w:val="008261D1"/>
    <w:rsid w:val="0082628C"/>
    <w:rsid w:val="008270EE"/>
    <w:rsid w:val="0082741B"/>
    <w:rsid w:val="0082767F"/>
    <w:rsid w:val="00827BC0"/>
    <w:rsid w:val="00827FB1"/>
    <w:rsid w:val="00830D31"/>
    <w:rsid w:val="0083179F"/>
    <w:rsid w:val="00832444"/>
    <w:rsid w:val="008336B8"/>
    <w:rsid w:val="0083375F"/>
    <w:rsid w:val="00833918"/>
    <w:rsid w:val="00834412"/>
    <w:rsid w:val="00834B32"/>
    <w:rsid w:val="00834F20"/>
    <w:rsid w:val="00834F40"/>
    <w:rsid w:val="00835471"/>
    <w:rsid w:val="00835747"/>
    <w:rsid w:val="00835844"/>
    <w:rsid w:val="008358F9"/>
    <w:rsid w:val="008359D7"/>
    <w:rsid w:val="00835D2F"/>
    <w:rsid w:val="00836A19"/>
    <w:rsid w:val="00837307"/>
    <w:rsid w:val="0083752C"/>
    <w:rsid w:val="008409BF"/>
    <w:rsid w:val="00840BD3"/>
    <w:rsid w:val="00840D43"/>
    <w:rsid w:val="008411EA"/>
    <w:rsid w:val="0084132C"/>
    <w:rsid w:val="008421AC"/>
    <w:rsid w:val="00842709"/>
    <w:rsid w:val="00842879"/>
    <w:rsid w:val="00842B5A"/>
    <w:rsid w:val="0084365C"/>
    <w:rsid w:val="00843963"/>
    <w:rsid w:val="00843CEB"/>
    <w:rsid w:val="008449BA"/>
    <w:rsid w:val="00844A57"/>
    <w:rsid w:val="00845470"/>
    <w:rsid w:val="00845E04"/>
    <w:rsid w:val="008466CF"/>
    <w:rsid w:val="00846793"/>
    <w:rsid w:val="00846B52"/>
    <w:rsid w:val="00847944"/>
    <w:rsid w:val="00847BC3"/>
    <w:rsid w:val="0084AEF7"/>
    <w:rsid w:val="00850BF5"/>
    <w:rsid w:val="00851A58"/>
    <w:rsid w:val="00852D11"/>
    <w:rsid w:val="0085471D"/>
    <w:rsid w:val="008555A8"/>
    <w:rsid w:val="008557A9"/>
    <w:rsid w:val="00856765"/>
    <w:rsid w:val="00856C79"/>
    <w:rsid w:val="00856DF5"/>
    <w:rsid w:val="00856E01"/>
    <w:rsid w:val="00857013"/>
    <w:rsid w:val="00860001"/>
    <w:rsid w:val="00860655"/>
    <w:rsid w:val="00860E4E"/>
    <w:rsid w:val="008619A1"/>
    <w:rsid w:val="008625C1"/>
    <w:rsid w:val="008629DA"/>
    <w:rsid w:val="00862FC6"/>
    <w:rsid w:val="008639CD"/>
    <w:rsid w:val="0086434D"/>
    <w:rsid w:val="00864864"/>
    <w:rsid w:val="00864871"/>
    <w:rsid w:val="0086493C"/>
    <w:rsid w:val="008653E2"/>
    <w:rsid w:val="0086598A"/>
    <w:rsid w:val="00865B3B"/>
    <w:rsid w:val="00866020"/>
    <w:rsid w:val="008660FB"/>
    <w:rsid w:val="00866E4E"/>
    <w:rsid w:val="008670F7"/>
    <w:rsid w:val="00867744"/>
    <w:rsid w:val="00867B29"/>
    <w:rsid w:val="00870682"/>
    <w:rsid w:val="00870F22"/>
    <w:rsid w:val="00870F56"/>
    <w:rsid w:val="008713A2"/>
    <w:rsid w:val="0087144A"/>
    <w:rsid w:val="00871660"/>
    <w:rsid w:val="008717D4"/>
    <w:rsid w:val="00871DD4"/>
    <w:rsid w:val="0087301B"/>
    <w:rsid w:val="0087398C"/>
    <w:rsid w:val="00873C2E"/>
    <w:rsid w:val="00874448"/>
    <w:rsid w:val="00874792"/>
    <w:rsid w:val="00874A95"/>
    <w:rsid w:val="00874C2C"/>
    <w:rsid w:val="00875263"/>
    <w:rsid w:val="008756C3"/>
    <w:rsid w:val="008758F3"/>
    <w:rsid w:val="00875DD3"/>
    <w:rsid w:val="00875EA9"/>
    <w:rsid w:val="0087614C"/>
    <w:rsid w:val="008762EB"/>
    <w:rsid w:val="00876383"/>
    <w:rsid w:val="008764F4"/>
    <w:rsid w:val="00876BF1"/>
    <w:rsid w:val="00876E37"/>
    <w:rsid w:val="00877256"/>
    <w:rsid w:val="0087756C"/>
    <w:rsid w:val="00877B22"/>
    <w:rsid w:val="00877BF5"/>
    <w:rsid w:val="008804F9"/>
    <w:rsid w:val="008805F2"/>
    <w:rsid w:val="00880D3C"/>
    <w:rsid w:val="008813B7"/>
    <w:rsid w:val="00881539"/>
    <w:rsid w:val="00881CC1"/>
    <w:rsid w:val="00881E27"/>
    <w:rsid w:val="008823DA"/>
    <w:rsid w:val="00883438"/>
    <w:rsid w:val="008835CD"/>
    <w:rsid w:val="00883832"/>
    <w:rsid w:val="00883C86"/>
    <w:rsid w:val="00884620"/>
    <w:rsid w:val="008847B0"/>
    <w:rsid w:val="00884AD1"/>
    <w:rsid w:val="0088562B"/>
    <w:rsid w:val="00885CD2"/>
    <w:rsid w:val="00886277"/>
    <w:rsid w:val="008863C0"/>
    <w:rsid w:val="00886FA3"/>
    <w:rsid w:val="00887096"/>
    <w:rsid w:val="008870B1"/>
    <w:rsid w:val="008877EC"/>
    <w:rsid w:val="0088791D"/>
    <w:rsid w:val="00887D27"/>
    <w:rsid w:val="00887FCD"/>
    <w:rsid w:val="00890983"/>
    <w:rsid w:val="00891019"/>
    <w:rsid w:val="008912AE"/>
    <w:rsid w:val="00891841"/>
    <w:rsid w:val="008919BC"/>
    <w:rsid w:val="00891E1D"/>
    <w:rsid w:val="008925B5"/>
    <w:rsid w:val="00892F00"/>
    <w:rsid w:val="0089323D"/>
    <w:rsid w:val="008937D6"/>
    <w:rsid w:val="00893AC7"/>
    <w:rsid w:val="008944E0"/>
    <w:rsid w:val="008955D0"/>
    <w:rsid w:val="0089563D"/>
    <w:rsid w:val="00895BA6"/>
    <w:rsid w:val="00895FB1"/>
    <w:rsid w:val="00895FBD"/>
    <w:rsid w:val="00896D4D"/>
    <w:rsid w:val="00896E60"/>
    <w:rsid w:val="008970ED"/>
    <w:rsid w:val="008A0538"/>
    <w:rsid w:val="008A0E44"/>
    <w:rsid w:val="008A0ECE"/>
    <w:rsid w:val="008A1130"/>
    <w:rsid w:val="008A11AF"/>
    <w:rsid w:val="008A19F7"/>
    <w:rsid w:val="008A1DBD"/>
    <w:rsid w:val="008A200A"/>
    <w:rsid w:val="008A232A"/>
    <w:rsid w:val="008A3238"/>
    <w:rsid w:val="008A3385"/>
    <w:rsid w:val="008A3672"/>
    <w:rsid w:val="008A4952"/>
    <w:rsid w:val="008A4A74"/>
    <w:rsid w:val="008A5104"/>
    <w:rsid w:val="008A5330"/>
    <w:rsid w:val="008A57C2"/>
    <w:rsid w:val="008A59C4"/>
    <w:rsid w:val="008A5C76"/>
    <w:rsid w:val="008A6694"/>
    <w:rsid w:val="008A693C"/>
    <w:rsid w:val="008A69AE"/>
    <w:rsid w:val="008A6C25"/>
    <w:rsid w:val="008A70B0"/>
    <w:rsid w:val="008A7CEE"/>
    <w:rsid w:val="008B0593"/>
    <w:rsid w:val="008B0616"/>
    <w:rsid w:val="008B07D6"/>
    <w:rsid w:val="008B25FB"/>
    <w:rsid w:val="008B303E"/>
    <w:rsid w:val="008B31D4"/>
    <w:rsid w:val="008B4370"/>
    <w:rsid w:val="008B47A3"/>
    <w:rsid w:val="008B4D5C"/>
    <w:rsid w:val="008B51AE"/>
    <w:rsid w:val="008B53FD"/>
    <w:rsid w:val="008B58C0"/>
    <w:rsid w:val="008B5EF1"/>
    <w:rsid w:val="008B64F7"/>
    <w:rsid w:val="008B6B39"/>
    <w:rsid w:val="008B6ED3"/>
    <w:rsid w:val="008B6F74"/>
    <w:rsid w:val="008B745A"/>
    <w:rsid w:val="008B76BB"/>
    <w:rsid w:val="008B7E0A"/>
    <w:rsid w:val="008C11BB"/>
    <w:rsid w:val="008C16A8"/>
    <w:rsid w:val="008C18AC"/>
    <w:rsid w:val="008C28D1"/>
    <w:rsid w:val="008C31D6"/>
    <w:rsid w:val="008C3BF2"/>
    <w:rsid w:val="008C3CD8"/>
    <w:rsid w:val="008C3FF7"/>
    <w:rsid w:val="008C48E4"/>
    <w:rsid w:val="008C4BB6"/>
    <w:rsid w:val="008C4C9D"/>
    <w:rsid w:val="008C5176"/>
    <w:rsid w:val="008C5902"/>
    <w:rsid w:val="008C5AA3"/>
    <w:rsid w:val="008C5E55"/>
    <w:rsid w:val="008C66F2"/>
    <w:rsid w:val="008C6994"/>
    <w:rsid w:val="008C69D9"/>
    <w:rsid w:val="008C6C0E"/>
    <w:rsid w:val="008C6FE5"/>
    <w:rsid w:val="008C73DA"/>
    <w:rsid w:val="008C7AC5"/>
    <w:rsid w:val="008C7AF6"/>
    <w:rsid w:val="008C7CE4"/>
    <w:rsid w:val="008D013E"/>
    <w:rsid w:val="008D0438"/>
    <w:rsid w:val="008D0A86"/>
    <w:rsid w:val="008D1082"/>
    <w:rsid w:val="008D287B"/>
    <w:rsid w:val="008D2BD6"/>
    <w:rsid w:val="008D3CCF"/>
    <w:rsid w:val="008D4039"/>
    <w:rsid w:val="008D44F5"/>
    <w:rsid w:val="008D48FE"/>
    <w:rsid w:val="008D4C12"/>
    <w:rsid w:val="008D4C9A"/>
    <w:rsid w:val="008D5902"/>
    <w:rsid w:val="008D5E75"/>
    <w:rsid w:val="008D682A"/>
    <w:rsid w:val="008D68D4"/>
    <w:rsid w:val="008D773A"/>
    <w:rsid w:val="008D7770"/>
    <w:rsid w:val="008D796C"/>
    <w:rsid w:val="008D7CEB"/>
    <w:rsid w:val="008E0136"/>
    <w:rsid w:val="008E079E"/>
    <w:rsid w:val="008E0C66"/>
    <w:rsid w:val="008E0EE2"/>
    <w:rsid w:val="008E24E5"/>
    <w:rsid w:val="008E293A"/>
    <w:rsid w:val="008E2D49"/>
    <w:rsid w:val="008E35E7"/>
    <w:rsid w:val="008E397E"/>
    <w:rsid w:val="008E3B18"/>
    <w:rsid w:val="008E3C4F"/>
    <w:rsid w:val="008E3F5E"/>
    <w:rsid w:val="008E4059"/>
    <w:rsid w:val="008E4390"/>
    <w:rsid w:val="008E4D06"/>
    <w:rsid w:val="008E4E3B"/>
    <w:rsid w:val="008E4ED6"/>
    <w:rsid w:val="008E523F"/>
    <w:rsid w:val="008E60E2"/>
    <w:rsid w:val="008E65DA"/>
    <w:rsid w:val="008E6613"/>
    <w:rsid w:val="008E6B1F"/>
    <w:rsid w:val="008E6B84"/>
    <w:rsid w:val="008E7312"/>
    <w:rsid w:val="008E7ADF"/>
    <w:rsid w:val="008E7EE5"/>
    <w:rsid w:val="008E7F18"/>
    <w:rsid w:val="008F0711"/>
    <w:rsid w:val="008F0776"/>
    <w:rsid w:val="008F0849"/>
    <w:rsid w:val="008F0A80"/>
    <w:rsid w:val="008F0ABB"/>
    <w:rsid w:val="008F1406"/>
    <w:rsid w:val="008F17C2"/>
    <w:rsid w:val="008F1863"/>
    <w:rsid w:val="008F20F1"/>
    <w:rsid w:val="008F21D1"/>
    <w:rsid w:val="008F3138"/>
    <w:rsid w:val="008F346C"/>
    <w:rsid w:val="008F36FE"/>
    <w:rsid w:val="008F3888"/>
    <w:rsid w:val="008F3E91"/>
    <w:rsid w:val="008F48B6"/>
    <w:rsid w:val="008F4987"/>
    <w:rsid w:val="008F5436"/>
    <w:rsid w:val="008F575B"/>
    <w:rsid w:val="008F5D73"/>
    <w:rsid w:val="008F656E"/>
    <w:rsid w:val="008F6F39"/>
    <w:rsid w:val="008F72E2"/>
    <w:rsid w:val="008F77C8"/>
    <w:rsid w:val="00900C6C"/>
    <w:rsid w:val="009016CE"/>
    <w:rsid w:val="009018C2"/>
    <w:rsid w:val="009019E9"/>
    <w:rsid w:val="00901E7C"/>
    <w:rsid w:val="00902BA8"/>
    <w:rsid w:val="009030C8"/>
    <w:rsid w:val="0090328E"/>
    <w:rsid w:val="00903882"/>
    <w:rsid w:val="00904720"/>
    <w:rsid w:val="00904A8F"/>
    <w:rsid w:val="00904D71"/>
    <w:rsid w:val="00904F1D"/>
    <w:rsid w:val="009050E5"/>
    <w:rsid w:val="00905F37"/>
    <w:rsid w:val="00905F49"/>
    <w:rsid w:val="009067AE"/>
    <w:rsid w:val="00906AD0"/>
    <w:rsid w:val="00906BE2"/>
    <w:rsid w:val="009073F4"/>
    <w:rsid w:val="009075A1"/>
    <w:rsid w:val="00907E74"/>
    <w:rsid w:val="0091022E"/>
    <w:rsid w:val="00910461"/>
    <w:rsid w:val="0091085C"/>
    <w:rsid w:val="009111E6"/>
    <w:rsid w:val="00911212"/>
    <w:rsid w:val="009124AC"/>
    <w:rsid w:val="0091257A"/>
    <w:rsid w:val="00912898"/>
    <w:rsid w:val="00912ACC"/>
    <w:rsid w:val="00912B6C"/>
    <w:rsid w:val="00912BA9"/>
    <w:rsid w:val="00913D0A"/>
    <w:rsid w:val="00914381"/>
    <w:rsid w:val="00914779"/>
    <w:rsid w:val="00914AF5"/>
    <w:rsid w:val="00914CFB"/>
    <w:rsid w:val="00915C4B"/>
    <w:rsid w:val="009169F8"/>
    <w:rsid w:val="00917328"/>
    <w:rsid w:val="009177CE"/>
    <w:rsid w:val="009206AC"/>
    <w:rsid w:val="009207F0"/>
    <w:rsid w:val="00920DD7"/>
    <w:rsid w:val="009216D1"/>
    <w:rsid w:val="00921914"/>
    <w:rsid w:val="00921D58"/>
    <w:rsid w:val="00921DD1"/>
    <w:rsid w:val="00921F93"/>
    <w:rsid w:val="009229EB"/>
    <w:rsid w:val="00923022"/>
    <w:rsid w:val="0092334F"/>
    <w:rsid w:val="009236EA"/>
    <w:rsid w:val="00923970"/>
    <w:rsid w:val="009239B4"/>
    <w:rsid w:val="00923A3A"/>
    <w:rsid w:val="00923A81"/>
    <w:rsid w:val="009240D3"/>
    <w:rsid w:val="00924290"/>
    <w:rsid w:val="0092450E"/>
    <w:rsid w:val="00924A5E"/>
    <w:rsid w:val="00924B0D"/>
    <w:rsid w:val="00925084"/>
    <w:rsid w:val="00925199"/>
    <w:rsid w:val="00925386"/>
    <w:rsid w:val="009255C2"/>
    <w:rsid w:val="00925A68"/>
    <w:rsid w:val="00925D31"/>
    <w:rsid w:val="009260DE"/>
    <w:rsid w:val="0092758D"/>
    <w:rsid w:val="00930179"/>
    <w:rsid w:val="00930190"/>
    <w:rsid w:val="00931132"/>
    <w:rsid w:val="0093133C"/>
    <w:rsid w:val="009314D3"/>
    <w:rsid w:val="00931C54"/>
    <w:rsid w:val="00932397"/>
    <w:rsid w:val="0093259D"/>
    <w:rsid w:val="0093324E"/>
    <w:rsid w:val="0093354A"/>
    <w:rsid w:val="00933624"/>
    <w:rsid w:val="00933BC6"/>
    <w:rsid w:val="009342CC"/>
    <w:rsid w:val="00935744"/>
    <w:rsid w:val="009360CB"/>
    <w:rsid w:val="0093673B"/>
    <w:rsid w:val="00936A1B"/>
    <w:rsid w:val="00936C8A"/>
    <w:rsid w:val="00937573"/>
    <w:rsid w:val="00941547"/>
    <w:rsid w:val="00942AF6"/>
    <w:rsid w:val="00942CE7"/>
    <w:rsid w:val="0094323A"/>
    <w:rsid w:val="00943BA9"/>
    <w:rsid w:val="00943EE8"/>
    <w:rsid w:val="00944059"/>
    <w:rsid w:val="00944D47"/>
    <w:rsid w:val="00944D6C"/>
    <w:rsid w:val="00946490"/>
    <w:rsid w:val="0094673C"/>
    <w:rsid w:val="00947304"/>
    <w:rsid w:val="00947417"/>
    <w:rsid w:val="00950289"/>
    <w:rsid w:val="0095097E"/>
    <w:rsid w:val="0095128F"/>
    <w:rsid w:val="00951850"/>
    <w:rsid w:val="00951BF0"/>
    <w:rsid w:val="00952E4A"/>
    <w:rsid w:val="009539F8"/>
    <w:rsid w:val="00953F43"/>
    <w:rsid w:val="00954370"/>
    <w:rsid w:val="00954423"/>
    <w:rsid w:val="009546BF"/>
    <w:rsid w:val="00955482"/>
    <w:rsid w:val="00955C34"/>
    <w:rsid w:val="00955C44"/>
    <w:rsid w:val="0095605C"/>
    <w:rsid w:val="009564A1"/>
    <w:rsid w:val="00957418"/>
    <w:rsid w:val="00960291"/>
    <w:rsid w:val="0096050B"/>
    <w:rsid w:val="009605E7"/>
    <w:rsid w:val="00960712"/>
    <w:rsid w:val="00960958"/>
    <w:rsid w:val="00960FDC"/>
    <w:rsid w:val="0096148E"/>
    <w:rsid w:val="0096179F"/>
    <w:rsid w:val="0096198F"/>
    <w:rsid w:val="00962D67"/>
    <w:rsid w:val="00963DD0"/>
    <w:rsid w:val="00964534"/>
    <w:rsid w:val="00964EBC"/>
    <w:rsid w:val="00964F4A"/>
    <w:rsid w:val="00965474"/>
    <w:rsid w:val="009654B4"/>
    <w:rsid w:val="0096571E"/>
    <w:rsid w:val="00965D76"/>
    <w:rsid w:val="00966353"/>
    <w:rsid w:val="00966CAF"/>
    <w:rsid w:val="00966F99"/>
    <w:rsid w:val="00967061"/>
    <w:rsid w:val="0096780B"/>
    <w:rsid w:val="0097162D"/>
    <w:rsid w:val="0097213C"/>
    <w:rsid w:val="00972581"/>
    <w:rsid w:val="00972773"/>
    <w:rsid w:val="00972D3C"/>
    <w:rsid w:val="00973287"/>
    <w:rsid w:val="00973386"/>
    <w:rsid w:val="00973934"/>
    <w:rsid w:val="00973D9B"/>
    <w:rsid w:val="009743B7"/>
    <w:rsid w:val="00974549"/>
    <w:rsid w:val="0097563E"/>
    <w:rsid w:val="00975680"/>
    <w:rsid w:val="0097635F"/>
    <w:rsid w:val="009764D5"/>
    <w:rsid w:val="00976AA8"/>
    <w:rsid w:val="0097753B"/>
    <w:rsid w:val="00977B8F"/>
    <w:rsid w:val="00977E38"/>
    <w:rsid w:val="00977F0F"/>
    <w:rsid w:val="00981C75"/>
    <w:rsid w:val="009822A6"/>
    <w:rsid w:val="00982CAF"/>
    <w:rsid w:val="009833E2"/>
    <w:rsid w:val="00984DB3"/>
    <w:rsid w:val="009853F1"/>
    <w:rsid w:val="00986473"/>
    <w:rsid w:val="00986E21"/>
    <w:rsid w:val="009873F8"/>
    <w:rsid w:val="0099045E"/>
    <w:rsid w:val="00992831"/>
    <w:rsid w:val="00992DD2"/>
    <w:rsid w:val="00993CA1"/>
    <w:rsid w:val="00993F23"/>
    <w:rsid w:val="00994086"/>
    <w:rsid w:val="0099422C"/>
    <w:rsid w:val="00994241"/>
    <w:rsid w:val="009952AC"/>
    <w:rsid w:val="00995A61"/>
    <w:rsid w:val="00995D43"/>
    <w:rsid w:val="009968F9"/>
    <w:rsid w:val="00996B65"/>
    <w:rsid w:val="00996BA6"/>
    <w:rsid w:val="00996C72"/>
    <w:rsid w:val="0099727D"/>
    <w:rsid w:val="00997836"/>
    <w:rsid w:val="00997DB4"/>
    <w:rsid w:val="009A0EE5"/>
    <w:rsid w:val="009A0F8D"/>
    <w:rsid w:val="009A3727"/>
    <w:rsid w:val="009A38FF"/>
    <w:rsid w:val="009A4777"/>
    <w:rsid w:val="009A525D"/>
    <w:rsid w:val="009A536B"/>
    <w:rsid w:val="009A5E7D"/>
    <w:rsid w:val="009A639C"/>
    <w:rsid w:val="009A63D7"/>
    <w:rsid w:val="009A6BB7"/>
    <w:rsid w:val="009B0171"/>
    <w:rsid w:val="009B02FC"/>
    <w:rsid w:val="009B0B26"/>
    <w:rsid w:val="009B0D06"/>
    <w:rsid w:val="009B165C"/>
    <w:rsid w:val="009B17AC"/>
    <w:rsid w:val="009B2600"/>
    <w:rsid w:val="009B2ABD"/>
    <w:rsid w:val="009B328E"/>
    <w:rsid w:val="009B44FF"/>
    <w:rsid w:val="009B49AB"/>
    <w:rsid w:val="009B5388"/>
    <w:rsid w:val="009B5732"/>
    <w:rsid w:val="009B5767"/>
    <w:rsid w:val="009B593F"/>
    <w:rsid w:val="009B6136"/>
    <w:rsid w:val="009B644F"/>
    <w:rsid w:val="009B6D86"/>
    <w:rsid w:val="009B7DE1"/>
    <w:rsid w:val="009B7EEB"/>
    <w:rsid w:val="009C0052"/>
    <w:rsid w:val="009C036E"/>
    <w:rsid w:val="009C0E4F"/>
    <w:rsid w:val="009C16F6"/>
    <w:rsid w:val="009C1830"/>
    <w:rsid w:val="009C3419"/>
    <w:rsid w:val="009C36AF"/>
    <w:rsid w:val="009C3850"/>
    <w:rsid w:val="009C4076"/>
    <w:rsid w:val="009C42A1"/>
    <w:rsid w:val="009C4550"/>
    <w:rsid w:val="009C48DE"/>
    <w:rsid w:val="009C491E"/>
    <w:rsid w:val="009C4E70"/>
    <w:rsid w:val="009C4F17"/>
    <w:rsid w:val="009C5A16"/>
    <w:rsid w:val="009C5C1E"/>
    <w:rsid w:val="009C6640"/>
    <w:rsid w:val="009C676C"/>
    <w:rsid w:val="009C6BA4"/>
    <w:rsid w:val="009C6FBE"/>
    <w:rsid w:val="009C72D7"/>
    <w:rsid w:val="009C73AB"/>
    <w:rsid w:val="009C7AD6"/>
    <w:rsid w:val="009D075D"/>
    <w:rsid w:val="009D07A8"/>
    <w:rsid w:val="009D0814"/>
    <w:rsid w:val="009D1009"/>
    <w:rsid w:val="009D115C"/>
    <w:rsid w:val="009D12E9"/>
    <w:rsid w:val="009D1417"/>
    <w:rsid w:val="009D1B4B"/>
    <w:rsid w:val="009D1C06"/>
    <w:rsid w:val="009D1D5F"/>
    <w:rsid w:val="009D1F05"/>
    <w:rsid w:val="009D2008"/>
    <w:rsid w:val="009D27C0"/>
    <w:rsid w:val="009D2EED"/>
    <w:rsid w:val="009D3BEB"/>
    <w:rsid w:val="009D3E62"/>
    <w:rsid w:val="009D3F8D"/>
    <w:rsid w:val="009D4DFB"/>
    <w:rsid w:val="009D5370"/>
    <w:rsid w:val="009D5A38"/>
    <w:rsid w:val="009D5F98"/>
    <w:rsid w:val="009D606D"/>
    <w:rsid w:val="009D64EA"/>
    <w:rsid w:val="009D6D5F"/>
    <w:rsid w:val="009D71D4"/>
    <w:rsid w:val="009D7329"/>
    <w:rsid w:val="009D76F6"/>
    <w:rsid w:val="009D7F5A"/>
    <w:rsid w:val="009E0CBA"/>
    <w:rsid w:val="009E13B6"/>
    <w:rsid w:val="009E18AB"/>
    <w:rsid w:val="009E2629"/>
    <w:rsid w:val="009E26DF"/>
    <w:rsid w:val="009E2E60"/>
    <w:rsid w:val="009E33EB"/>
    <w:rsid w:val="009E3CEF"/>
    <w:rsid w:val="009E4682"/>
    <w:rsid w:val="009E4906"/>
    <w:rsid w:val="009E5674"/>
    <w:rsid w:val="009E6456"/>
    <w:rsid w:val="009E6710"/>
    <w:rsid w:val="009E68A7"/>
    <w:rsid w:val="009E6E98"/>
    <w:rsid w:val="009E710C"/>
    <w:rsid w:val="009E71C9"/>
    <w:rsid w:val="009E7249"/>
    <w:rsid w:val="009E73B9"/>
    <w:rsid w:val="009E7672"/>
    <w:rsid w:val="009E79A8"/>
    <w:rsid w:val="009F0102"/>
    <w:rsid w:val="009F0878"/>
    <w:rsid w:val="009F1C2E"/>
    <w:rsid w:val="009F2874"/>
    <w:rsid w:val="009F33AF"/>
    <w:rsid w:val="009F36FA"/>
    <w:rsid w:val="009F43F6"/>
    <w:rsid w:val="009F45BD"/>
    <w:rsid w:val="009F4AEF"/>
    <w:rsid w:val="009F4E55"/>
    <w:rsid w:val="009F5209"/>
    <w:rsid w:val="009F65E7"/>
    <w:rsid w:val="009F6B63"/>
    <w:rsid w:val="009F78A4"/>
    <w:rsid w:val="009F7FEE"/>
    <w:rsid w:val="00A00113"/>
    <w:rsid w:val="00A002ED"/>
    <w:rsid w:val="00A00B06"/>
    <w:rsid w:val="00A00DB2"/>
    <w:rsid w:val="00A0113A"/>
    <w:rsid w:val="00A02527"/>
    <w:rsid w:val="00A0343A"/>
    <w:rsid w:val="00A03556"/>
    <w:rsid w:val="00A03C63"/>
    <w:rsid w:val="00A04375"/>
    <w:rsid w:val="00A04865"/>
    <w:rsid w:val="00A052F2"/>
    <w:rsid w:val="00A05A9B"/>
    <w:rsid w:val="00A060C8"/>
    <w:rsid w:val="00A07B2E"/>
    <w:rsid w:val="00A07FEC"/>
    <w:rsid w:val="00A101AD"/>
    <w:rsid w:val="00A105DE"/>
    <w:rsid w:val="00A11096"/>
    <w:rsid w:val="00A11E95"/>
    <w:rsid w:val="00A11EB0"/>
    <w:rsid w:val="00A126A8"/>
    <w:rsid w:val="00A12755"/>
    <w:rsid w:val="00A12940"/>
    <w:rsid w:val="00A1298E"/>
    <w:rsid w:val="00A12B32"/>
    <w:rsid w:val="00A12C5D"/>
    <w:rsid w:val="00A13670"/>
    <w:rsid w:val="00A1410F"/>
    <w:rsid w:val="00A14A0F"/>
    <w:rsid w:val="00A14F96"/>
    <w:rsid w:val="00A16094"/>
    <w:rsid w:val="00A169A4"/>
    <w:rsid w:val="00A16BF2"/>
    <w:rsid w:val="00A17100"/>
    <w:rsid w:val="00A17419"/>
    <w:rsid w:val="00A17B35"/>
    <w:rsid w:val="00A17FFB"/>
    <w:rsid w:val="00A20019"/>
    <w:rsid w:val="00A206C8"/>
    <w:rsid w:val="00A2092D"/>
    <w:rsid w:val="00A20976"/>
    <w:rsid w:val="00A20EA2"/>
    <w:rsid w:val="00A21BBD"/>
    <w:rsid w:val="00A21CD8"/>
    <w:rsid w:val="00A22412"/>
    <w:rsid w:val="00A22BDB"/>
    <w:rsid w:val="00A22D85"/>
    <w:rsid w:val="00A24A50"/>
    <w:rsid w:val="00A24BBD"/>
    <w:rsid w:val="00A25677"/>
    <w:rsid w:val="00A264C5"/>
    <w:rsid w:val="00A2735C"/>
    <w:rsid w:val="00A27377"/>
    <w:rsid w:val="00A2780D"/>
    <w:rsid w:val="00A27A16"/>
    <w:rsid w:val="00A27B8A"/>
    <w:rsid w:val="00A30657"/>
    <w:rsid w:val="00A308FB"/>
    <w:rsid w:val="00A30C40"/>
    <w:rsid w:val="00A30D6A"/>
    <w:rsid w:val="00A30EAA"/>
    <w:rsid w:val="00A315DE"/>
    <w:rsid w:val="00A3216E"/>
    <w:rsid w:val="00A32897"/>
    <w:rsid w:val="00A32AE6"/>
    <w:rsid w:val="00A32C28"/>
    <w:rsid w:val="00A32C63"/>
    <w:rsid w:val="00A33090"/>
    <w:rsid w:val="00A3321A"/>
    <w:rsid w:val="00A33935"/>
    <w:rsid w:val="00A33FCB"/>
    <w:rsid w:val="00A341FF"/>
    <w:rsid w:val="00A3497E"/>
    <w:rsid w:val="00A35B5B"/>
    <w:rsid w:val="00A35C93"/>
    <w:rsid w:val="00A3679A"/>
    <w:rsid w:val="00A36861"/>
    <w:rsid w:val="00A3690C"/>
    <w:rsid w:val="00A36946"/>
    <w:rsid w:val="00A37AC6"/>
    <w:rsid w:val="00A37AFC"/>
    <w:rsid w:val="00A40BCD"/>
    <w:rsid w:val="00A41797"/>
    <w:rsid w:val="00A4179A"/>
    <w:rsid w:val="00A41C61"/>
    <w:rsid w:val="00A41D9F"/>
    <w:rsid w:val="00A41FB6"/>
    <w:rsid w:val="00A42389"/>
    <w:rsid w:val="00A427E2"/>
    <w:rsid w:val="00A42889"/>
    <w:rsid w:val="00A429AB"/>
    <w:rsid w:val="00A42A35"/>
    <w:rsid w:val="00A43023"/>
    <w:rsid w:val="00A432B1"/>
    <w:rsid w:val="00A448CE"/>
    <w:rsid w:val="00A44DC4"/>
    <w:rsid w:val="00A456C3"/>
    <w:rsid w:val="00A51307"/>
    <w:rsid w:val="00A5160C"/>
    <w:rsid w:val="00A52777"/>
    <w:rsid w:val="00A52A35"/>
    <w:rsid w:val="00A52A7A"/>
    <w:rsid w:val="00A53A78"/>
    <w:rsid w:val="00A53AE6"/>
    <w:rsid w:val="00A53CC5"/>
    <w:rsid w:val="00A53FAE"/>
    <w:rsid w:val="00A54E1F"/>
    <w:rsid w:val="00A55880"/>
    <w:rsid w:val="00A55BE0"/>
    <w:rsid w:val="00A569E0"/>
    <w:rsid w:val="00A56D3C"/>
    <w:rsid w:val="00A57071"/>
    <w:rsid w:val="00A57129"/>
    <w:rsid w:val="00A57478"/>
    <w:rsid w:val="00A57E0B"/>
    <w:rsid w:val="00A57F21"/>
    <w:rsid w:val="00A61165"/>
    <w:rsid w:val="00A613F0"/>
    <w:rsid w:val="00A61414"/>
    <w:rsid w:val="00A61825"/>
    <w:rsid w:val="00A6261E"/>
    <w:rsid w:val="00A62743"/>
    <w:rsid w:val="00A62D56"/>
    <w:rsid w:val="00A62DE3"/>
    <w:rsid w:val="00A64C98"/>
    <w:rsid w:val="00A64FFA"/>
    <w:rsid w:val="00A65353"/>
    <w:rsid w:val="00A65868"/>
    <w:rsid w:val="00A6604A"/>
    <w:rsid w:val="00A66DE3"/>
    <w:rsid w:val="00A66EFB"/>
    <w:rsid w:val="00A6708A"/>
    <w:rsid w:val="00A67164"/>
    <w:rsid w:val="00A67207"/>
    <w:rsid w:val="00A67B99"/>
    <w:rsid w:val="00A7038D"/>
    <w:rsid w:val="00A7091C"/>
    <w:rsid w:val="00A70C4F"/>
    <w:rsid w:val="00A70EB9"/>
    <w:rsid w:val="00A70F9E"/>
    <w:rsid w:val="00A71DCC"/>
    <w:rsid w:val="00A722A3"/>
    <w:rsid w:val="00A72912"/>
    <w:rsid w:val="00A7311D"/>
    <w:rsid w:val="00A73385"/>
    <w:rsid w:val="00A736CC"/>
    <w:rsid w:val="00A740FD"/>
    <w:rsid w:val="00A744EA"/>
    <w:rsid w:val="00A74600"/>
    <w:rsid w:val="00A74632"/>
    <w:rsid w:val="00A74A69"/>
    <w:rsid w:val="00A75BF8"/>
    <w:rsid w:val="00A76B2A"/>
    <w:rsid w:val="00A773A4"/>
    <w:rsid w:val="00A77661"/>
    <w:rsid w:val="00A77925"/>
    <w:rsid w:val="00A80156"/>
    <w:rsid w:val="00A81255"/>
    <w:rsid w:val="00A819EB"/>
    <w:rsid w:val="00A8211A"/>
    <w:rsid w:val="00A83575"/>
    <w:rsid w:val="00A835FD"/>
    <w:rsid w:val="00A83A97"/>
    <w:rsid w:val="00A84458"/>
    <w:rsid w:val="00A847A0"/>
    <w:rsid w:val="00A84BEB"/>
    <w:rsid w:val="00A84DD0"/>
    <w:rsid w:val="00A84E41"/>
    <w:rsid w:val="00A85567"/>
    <w:rsid w:val="00A85CBF"/>
    <w:rsid w:val="00A8619D"/>
    <w:rsid w:val="00A86E19"/>
    <w:rsid w:val="00A87874"/>
    <w:rsid w:val="00A903A1"/>
    <w:rsid w:val="00A90860"/>
    <w:rsid w:val="00A90C51"/>
    <w:rsid w:val="00A90F87"/>
    <w:rsid w:val="00A913FD"/>
    <w:rsid w:val="00A927EF"/>
    <w:rsid w:val="00A92805"/>
    <w:rsid w:val="00A92A2F"/>
    <w:rsid w:val="00A93CA9"/>
    <w:rsid w:val="00A94168"/>
    <w:rsid w:val="00A949C7"/>
    <w:rsid w:val="00A94BAC"/>
    <w:rsid w:val="00A94C6C"/>
    <w:rsid w:val="00A94F75"/>
    <w:rsid w:val="00A950BD"/>
    <w:rsid w:val="00A95307"/>
    <w:rsid w:val="00A95416"/>
    <w:rsid w:val="00A95422"/>
    <w:rsid w:val="00A95DF2"/>
    <w:rsid w:val="00A979F5"/>
    <w:rsid w:val="00A97D09"/>
    <w:rsid w:val="00A97DB2"/>
    <w:rsid w:val="00AA0387"/>
    <w:rsid w:val="00AA059B"/>
    <w:rsid w:val="00AA165E"/>
    <w:rsid w:val="00AA37C7"/>
    <w:rsid w:val="00AA3816"/>
    <w:rsid w:val="00AA40A5"/>
    <w:rsid w:val="00AA4B7B"/>
    <w:rsid w:val="00AA56EC"/>
    <w:rsid w:val="00AA6ED8"/>
    <w:rsid w:val="00AA6F4A"/>
    <w:rsid w:val="00AA74D6"/>
    <w:rsid w:val="00AA74EA"/>
    <w:rsid w:val="00AA7579"/>
    <w:rsid w:val="00AA75BA"/>
    <w:rsid w:val="00AA75ED"/>
    <w:rsid w:val="00AB004B"/>
    <w:rsid w:val="00AB0917"/>
    <w:rsid w:val="00AB09AB"/>
    <w:rsid w:val="00AB0AF2"/>
    <w:rsid w:val="00AB0BCB"/>
    <w:rsid w:val="00AB0C58"/>
    <w:rsid w:val="00AB0F5D"/>
    <w:rsid w:val="00AB10B0"/>
    <w:rsid w:val="00AB142C"/>
    <w:rsid w:val="00AB238A"/>
    <w:rsid w:val="00AB2BFA"/>
    <w:rsid w:val="00AB2DF0"/>
    <w:rsid w:val="00AB3661"/>
    <w:rsid w:val="00AB3E28"/>
    <w:rsid w:val="00AB4244"/>
    <w:rsid w:val="00AB5388"/>
    <w:rsid w:val="00AB544D"/>
    <w:rsid w:val="00AB55A4"/>
    <w:rsid w:val="00AB584C"/>
    <w:rsid w:val="00AB5C58"/>
    <w:rsid w:val="00AB5EAC"/>
    <w:rsid w:val="00AB761B"/>
    <w:rsid w:val="00AB7786"/>
    <w:rsid w:val="00AB7DEC"/>
    <w:rsid w:val="00AC0897"/>
    <w:rsid w:val="00AC097E"/>
    <w:rsid w:val="00AC0C4D"/>
    <w:rsid w:val="00AC0D89"/>
    <w:rsid w:val="00AC0EB7"/>
    <w:rsid w:val="00AC0FC5"/>
    <w:rsid w:val="00AC18A1"/>
    <w:rsid w:val="00AC1B19"/>
    <w:rsid w:val="00AC1BC6"/>
    <w:rsid w:val="00AC2295"/>
    <w:rsid w:val="00AC29BE"/>
    <w:rsid w:val="00AC2D2A"/>
    <w:rsid w:val="00AC390C"/>
    <w:rsid w:val="00AC3AFB"/>
    <w:rsid w:val="00AC3F9F"/>
    <w:rsid w:val="00AC4774"/>
    <w:rsid w:val="00AC52CA"/>
    <w:rsid w:val="00AC5341"/>
    <w:rsid w:val="00AC5F0F"/>
    <w:rsid w:val="00AC7592"/>
    <w:rsid w:val="00AC7EC2"/>
    <w:rsid w:val="00AD0195"/>
    <w:rsid w:val="00AD0ADC"/>
    <w:rsid w:val="00AD0FD9"/>
    <w:rsid w:val="00AD10FD"/>
    <w:rsid w:val="00AD186E"/>
    <w:rsid w:val="00AD27AA"/>
    <w:rsid w:val="00AD2DD7"/>
    <w:rsid w:val="00AD2E64"/>
    <w:rsid w:val="00AD2F58"/>
    <w:rsid w:val="00AD3767"/>
    <w:rsid w:val="00AD3C69"/>
    <w:rsid w:val="00AD401D"/>
    <w:rsid w:val="00AD4127"/>
    <w:rsid w:val="00AD4EF1"/>
    <w:rsid w:val="00AD5023"/>
    <w:rsid w:val="00AD5182"/>
    <w:rsid w:val="00AD527C"/>
    <w:rsid w:val="00AD581A"/>
    <w:rsid w:val="00AD5907"/>
    <w:rsid w:val="00AD591F"/>
    <w:rsid w:val="00AD5F48"/>
    <w:rsid w:val="00AD68AD"/>
    <w:rsid w:val="00AD690B"/>
    <w:rsid w:val="00AD6BDB"/>
    <w:rsid w:val="00AD788A"/>
    <w:rsid w:val="00AD795C"/>
    <w:rsid w:val="00AE020F"/>
    <w:rsid w:val="00AE0248"/>
    <w:rsid w:val="00AE0DFB"/>
    <w:rsid w:val="00AE1960"/>
    <w:rsid w:val="00AE24C8"/>
    <w:rsid w:val="00AE267F"/>
    <w:rsid w:val="00AE290C"/>
    <w:rsid w:val="00AE2CB0"/>
    <w:rsid w:val="00AE2DE8"/>
    <w:rsid w:val="00AE2E08"/>
    <w:rsid w:val="00AE3E40"/>
    <w:rsid w:val="00AE5443"/>
    <w:rsid w:val="00AE558C"/>
    <w:rsid w:val="00AE55BF"/>
    <w:rsid w:val="00AE6533"/>
    <w:rsid w:val="00AF0262"/>
    <w:rsid w:val="00AF05AA"/>
    <w:rsid w:val="00AF0E36"/>
    <w:rsid w:val="00AF11DB"/>
    <w:rsid w:val="00AF12A4"/>
    <w:rsid w:val="00AF1E06"/>
    <w:rsid w:val="00AF235B"/>
    <w:rsid w:val="00AF24AA"/>
    <w:rsid w:val="00AF2C55"/>
    <w:rsid w:val="00AF392E"/>
    <w:rsid w:val="00AF3C57"/>
    <w:rsid w:val="00AF3EC7"/>
    <w:rsid w:val="00AF3FF3"/>
    <w:rsid w:val="00AF42E5"/>
    <w:rsid w:val="00AF44F3"/>
    <w:rsid w:val="00AF4694"/>
    <w:rsid w:val="00AF498A"/>
    <w:rsid w:val="00AF4F07"/>
    <w:rsid w:val="00AF5BD0"/>
    <w:rsid w:val="00AF5D24"/>
    <w:rsid w:val="00AF5FD3"/>
    <w:rsid w:val="00AF644F"/>
    <w:rsid w:val="00AF6792"/>
    <w:rsid w:val="00AF6C02"/>
    <w:rsid w:val="00AF7016"/>
    <w:rsid w:val="00AF7CB5"/>
    <w:rsid w:val="00B00493"/>
    <w:rsid w:val="00B00ACA"/>
    <w:rsid w:val="00B0124D"/>
    <w:rsid w:val="00B0129E"/>
    <w:rsid w:val="00B01982"/>
    <w:rsid w:val="00B037AA"/>
    <w:rsid w:val="00B03806"/>
    <w:rsid w:val="00B03E34"/>
    <w:rsid w:val="00B0417B"/>
    <w:rsid w:val="00B04473"/>
    <w:rsid w:val="00B04D15"/>
    <w:rsid w:val="00B05080"/>
    <w:rsid w:val="00B05B5C"/>
    <w:rsid w:val="00B063D9"/>
    <w:rsid w:val="00B07071"/>
    <w:rsid w:val="00B072F9"/>
    <w:rsid w:val="00B07561"/>
    <w:rsid w:val="00B079FC"/>
    <w:rsid w:val="00B1021B"/>
    <w:rsid w:val="00B105B5"/>
    <w:rsid w:val="00B10BB7"/>
    <w:rsid w:val="00B1100A"/>
    <w:rsid w:val="00B120F9"/>
    <w:rsid w:val="00B12724"/>
    <w:rsid w:val="00B1376C"/>
    <w:rsid w:val="00B13CF0"/>
    <w:rsid w:val="00B145B9"/>
    <w:rsid w:val="00B150CC"/>
    <w:rsid w:val="00B159E9"/>
    <w:rsid w:val="00B15D4A"/>
    <w:rsid w:val="00B15E84"/>
    <w:rsid w:val="00B15ECB"/>
    <w:rsid w:val="00B16770"/>
    <w:rsid w:val="00B169FD"/>
    <w:rsid w:val="00B17721"/>
    <w:rsid w:val="00B1787B"/>
    <w:rsid w:val="00B17F3F"/>
    <w:rsid w:val="00B20059"/>
    <w:rsid w:val="00B206DB"/>
    <w:rsid w:val="00B21088"/>
    <w:rsid w:val="00B214FD"/>
    <w:rsid w:val="00B21936"/>
    <w:rsid w:val="00B219FB"/>
    <w:rsid w:val="00B221C0"/>
    <w:rsid w:val="00B223BA"/>
    <w:rsid w:val="00B225E6"/>
    <w:rsid w:val="00B22C50"/>
    <w:rsid w:val="00B238E0"/>
    <w:rsid w:val="00B23AE0"/>
    <w:rsid w:val="00B24CB1"/>
    <w:rsid w:val="00B25401"/>
    <w:rsid w:val="00B2548C"/>
    <w:rsid w:val="00B256A1"/>
    <w:rsid w:val="00B257D5"/>
    <w:rsid w:val="00B25923"/>
    <w:rsid w:val="00B25FC9"/>
    <w:rsid w:val="00B26DBD"/>
    <w:rsid w:val="00B3037B"/>
    <w:rsid w:val="00B3137C"/>
    <w:rsid w:val="00B31422"/>
    <w:rsid w:val="00B31451"/>
    <w:rsid w:val="00B320FC"/>
    <w:rsid w:val="00B3250D"/>
    <w:rsid w:val="00B325AD"/>
    <w:rsid w:val="00B32654"/>
    <w:rsid w:val="00B3374A"/>
    <w:rsid w:val="00B33B08"/>
    <w:rsid w:val="00B34167"/>
    <w:rsid w:val="00B34CCD"/>
    <w:rsid w:val="00B34D3A"/>
    <w:rsid w:val="00B35012"/>
    <w:rsid w:val="00B35341"/>
    <w:rsid w:val="00B35BAE"/>
    <w:rsid w:val="00B35C91"/>
    <w:rsid w:val="00B35F65"/>
    <w:rsid w:val="00B35FDB"/>
    <w:rsid w:val="00B366B1"/>
    <w:rsid w:val="00B36CF6"/>
    <w:rsid w:val="00B36DF3"/>
    <w:rsid w:val="00B36DFB"/>
    <w:rsid w:val="00B37067"/>
    <w:rsid w:val="00B37088"/>
    <w:rsid w:val="00B370DC"/>
    <w:rsid w:val="00B372EB"/>
    <w:rsid w:val="00B40000"/>
    <w:rsid w:val="00B413F8"/>
    <w:rsid w:val="00B43196"/>
    <w:rsid w:val="00B433B4"/>
    <w:rsid w:val="00B43502"/>
    <w:rsid w:val="00B435F5"/>
    <w:rsid w:val="00B43BDA"/>
    <w:rsid w:val="00B4406E"/>
    <w:rsid w:val="00B4454D"/>
    <w:rsid w:val="00B44D3E"/>
    <w:rsid w:val="00B44DDA"/>
    <w:rsid w:val="00B44F70"/>
    <w:rsid w:val="00B44FCF"/>
    <w:rsid w:val="00B45B5A"/>
    <w:rsid w:val="00B45BDE"/>
    <w:rsid w:val="00B45CF3"/>
    <w:rsid w:val="00B462B3"/>
    <w:rsid w:val="00B46C74"/>
    <w:rsid w:val="00B475E0"/>
    <w:rsid w:val="00B5082C"/>
    <w:rsid w:val="00B50935"/>
    <w:rsid w:val="00B50B04"/>
    <w:rsid w:val="00B51E23"/>
    <w:rsid w:val="00B51E53"/>
    <w:rsid w:val="00B53CAD"/>
    <w:rsid w:val="00B54E52"/>
    <w:rsid w:val="00B55D2B"/>
    <w:rsid w:val="00B563A9"/>
    <w:rsid w:val="00B564E7"/>
    <w:rsid w:val="00B56793"/>
    <w:rsid w:val="00B56A95"/>
    <w:rsid w:val="00B56D2F"/>
    <w:rsid w:val="00B571D2"/>
    <w:rsid w:val="00B57587"/>
    <w:rsid w:val="00B575BA"/>
    <w:rsid w:val="00B57641"/>
    <w:rsid w:val="00B577C5"/>
    <w:rsid w:val="00B57F65"/>
    <w:rsid w:val="00B57FC3"/>
    <w:rsid w:val="00B601D5"/>
    <w:rsid w:val="00B61010"/>
    <w:rsid w:val="00B61605"/>
    <w:rsid w:val="00B619CD"/>
    <w:rsid w:val="00B62F89"/>
    <w:rsid w:val="00B6306E"/>
    <w:rsid w:val="00B63319"/>
    <w:rsid w:val="00B63A64"/>
    <w:rsid w:val="00B63C87"/>
    <w:rsid w:val="00B64A47"/>
    <w:rsid w:val="00B64B4C"/>
    <w:rsid w:val="00B64E12"/>
    <w:rsid w:val="00B653C7"/>
    <w:rsid w:val="00B65A2D"/>
    <w:rsid w:val="00B65A69"/>
    <w:rsid w:val="00B65B1E"/>
    <w:rsid w:val="00B65CBA"/>
    <w:rsid w:val="00B66408"/>
    <w:rsid w:val="00B66733"/>
    <w:rsid w:val="00B66D22"/>
    <w:rsid w:val="00B6706C"/>
    <w:rsid w:val="00B673E2"/>
    <w:rsid w:val="00B675E5"/>
    <w:rsid w:val="00B67AA4"/>
    <w:rsid w:val="00B70160"/>
    <w:rsid w:val="00B705A5"/>
    <w:rsid w:val="00B706EB"/>
    <w:rsid w:val="00B709A5"/>
    <w:rsid w:val="00B70E1B"/>
    <w:rsid w:val="00B7151B"/>
    <w:rsid w:val="00B715B4"/>
    <w:rsid w:val="00B71C99"/>
    <w:rsid w:val="00B71D3C"/>
    <w:rsid w:val="00B7265D"/>
    <w:rsid w:val="00B72B1D"/>
    <w:rsid w:val="00B72D15"/>
    <w:rsid w:val="00B73026"/>
    <w:rsid w:val="00B73CE2"/>
    <w:rsid w:val="00B73F1C"/>
    <w:rsid w:val="00B7409C"/>
    <w:rsid w:val="00B742BB"/>
    <w:rsid w:val="00B743D3"/>
    <w:rsid w:val="00B756C7"/>
    <w:rsid w:val="00B75DDD"/>
    <w:rsid w:val="00B7635A"/>
    <w:rsid w:val="00B763D0"/>
    <w:rsid w:val="00B7653C"/>
    <w:rsid w:val="00B766D6"/>
    <w:rsid w:val="00B77998"/>
    <w:rsid w:val="00B807E2"/>
    <w:rsid w:val="00B8087C"/>
    <w:rsid w:val="00B80BC3"/>
    <w:rsid w:val="00B80C95"/>
    <w:rsid w:val="00B81247"/>
    <w:rsid w:val="00B81474"/>
    <w:rsid w:val="00B81593"/>
    <w:rsid w:val="00B81769"/>
    <w:rsid w:val="00B819AB"/>
    <w:rsid w:val="00B81B9A"/>
    <w:rsid w:val="00B826C7"/>
    <w:rsid w:val="00B82EBE"/>
    <w:rsid w:val="00B82F8B"/>
    <w:rsid w:val="00B8326C"/>
    <w:rsid w:val="00B83539"/>
    <w:rsid w:val="00B848FC"/>
    <w:rsid w:val="00B84FA8"/>
    <w:rsid w:val="00B856B9"/>
    <w:rsid w:val="00B856E8"/>
    <w:rsid w:val="00B862B4"/>
    <w:rsid w:val="00B867E6"/>
    <w:rsid w:val="00B86C9D"/>
    <w:rsid w:val="00B873C4"/>
    <w:rsid w:val="00B8754B"/>
    <w:rsid w:val="00B876CA"/>
    <w:rsid w:val="00B87C95"/>
    <w:rsid w:val="00B9029F"/>
    <w:rsid w:val="00B90D68"/>
    <w:rsid w:val="00B9149B"/>
    <w:rsid w:val="00B92237"/>
    <w:rsid w:val="00B929B7"/>
    <w:rsid w:val="00B92BB5"/>
    <w:rsid w:val="00B9352D"/>
    <w:rsid w:val="00B9360F"/>
    <w:rsid w:val="00B93ADE"/>
    <w:rsid w:val="00B947E8"/>
    <w:rsid w:val="00B95107"/>
    <w:rsid w:val="00B96183"/>
    <w:rsid w:val="00B96C98"/>
    <w:rsid w:val="00B976C7"/>
    <w:rsid w:val="00B978D9"/>
    <w:rsid w:val="00B97BDD"/>
    <w:rsid w:val="00B97DC7"/>
    <w:rsid w:val="00B97EA9"/>
    <w:rsid w:val="00B97F61"/>
    <w:rsid w:val="00BA17BA"/>
    <w:rsid w:val="00BA1D89"/>
    <w:rsid w:val="00BA1F96"/>
    <w:rsid w:val="00BA2042"/>
    <w:rsid w:val="00BA24F0"/>
    <w:rsid w:val="00BA2AAE"/>
    <w:rsid w:val="00BA2B48"/>
    <w:rsid w:val="00BA2B88"/>
    <w:rsid w:val="00BA2E38"/>
    <w:rsid w:val="00BA2ED3"/>
    <w:rsid w:val="00BA3911"/>
    <w:rsid w:val="00BA3981"/>
    <w:rsid w:val="00BA3B33"/>
    <w:rsid w:val="00BA3E0B"/>
    <w:rsid w:val="00BA4056"/>
    <w:rsid w:val="00BA44B3"/>
    <w:rsid w:val="00BA4DF4"/>
    <w:rsid w:val="00BA4E5A"/>
    <w:rsid w:val="00BA51BC"/>
    <w:rsid w:val="00BA552D"/>
    <w:rsid w:val="00BA5D63"/>
    <w:rsid w:val="00BA6268"/>
    <w:rsid w:val="00BA678C"/>
    <w:rsid w:val="00BA6E96"/>
    <w:rsid w:val="00BA7028"/>
    <w:rsid w:val="00BA7144"/>
    <w:rsid w:val="00BA7B73"/>
    <w:rsid w:val="00BB016F"/>
    <w:rsid w:val="00BB0222"/>
    <w:rsid w:val="00BB02BD"/>
    <w:rsid w:val="00BB08C7"/>
    <w:rsid w:val="00BB09F7"/>
    <w:rsid w:val="00BB191C"/>
    <w:rsid w:val="00BB1B16"/>
    <w:rsid w:val="00BB1B19"/>
    <w:rsid w:val="00BB23E3"/>
    <w:rsid w:val="00BB24DD"/>
    <w:rsid w:val="00BB24DE"/>
    <w:rsid w:val="00BB2DCC"/>
    <w:rsid w:val="00BB3116"/>
    <w:rsid w:val="00BB34A4"/>
    <w:rsid w:val="00BB3B12"/>
    <w:rsid w:val="00BB4094"/>
    <w:rsid w:val="00BB447F"/>
    <w:rsid w:val="00BB44D0"/>
    <w:rsid w:val="00BB4B14"/>
    <w:rsid w:val="00BB4B1D"/>
    <w:rsid w:val="00BB5161"/>
    <w:rsid w:val="00BB550A"/>
    <w:rsid w:val="00BB571A"/>
    <w:rsid w:val="00BB5A78"/>
    <w:rsid w:val="00BB5FD5"/>
    <w:rsid w:val="00BB60DF"/>
    <w:rsid w:val="00BB628F"/>
    <w:rsid w:val="00BB6825"/>
    <w:rsid w:val="00BB79A2"/>
    <w:rsid w:val="00BC033A"/>
    <w:rsid w:val="00BC094B"/>
    <w:rsid w:val="00BC0C8A"/>
    <w:rsid w:val="00BC1237"/>
    <w:rsid w:val="00BC18AB"/>
    <w:rsid w:val="00BC24E1"/>
    <w:rsid w:val="00BC2F34"/>
    <w:rsid w:val="00BC2F53"/>
    <w:rsid w:val="00BC3128"/>
    <w:rsid w:val="00BC33EE"/>
    <w:rsid w:val="00BC39D8"/>
    <w:rsid w:val="00BC3F7D"/>
    <w:rsid w:val="00BC462E"/>
    <w:rsid w:val="00BC465E"/>
    <w:rsid w:val="00BC511C"/>
    <w:rsid w:val="00BC54EE"/>
    <w:rsid w:val="00BC5F29"/>
    <w:rsid w:val="00BC60A1"/>
    <w:rsid w:val="00BC6EA8"/>
    <w:rsid w:val="00BC7455"/>
    <w:rsid w:val="00BC7468"/>
    <w:rsid w:val="00BC7656"/>
    <w:rsid w:val="00BC79B9"/>
    <w:rsid w:val="00BC7D1A"/>
    <w:rsid w:val="00BC7E4D"/>
    <w:rsid w:val="00BD0EEC"/>
    <w:rsid w:val="00BD0F46"/>
    <w:rsid w:val="00BD11DC"/>
    <w:rsid w:val="00BD11E7"/>
    <w:rsid w:val="00BD183E"/>
    <w:rsid w:val="00BD1C7A"/>
    <w:rsid w:val="00BD2734"/>
    <w:rsid w:val="00BD2A17"/>
    <w:rsid w:val="00BD2C30"/>
    <w:rsid w:val="00BD40C1"/>
    <w:rsid w:val="00BD4EB6"/>
    <w:rsid w:val="00BD5539"/>
    <w:rsid w:val="00BD5F54"/>
    <w:rsid w:val="00BD6853"/>
    <w:rsid w:val="00BD6DAA"/>
    <w:rsid w:val="00BD7A6B"/>
    <w:rsid w:val="00BD7DD0"/>
    <w:rsid w:val="00BE0378"/>
    <w:rsid w:val="00BE03FC"/>
    <w:rsid w:val="00BE070B"/>
    <w:rsid w:val="00BE075F"/>
    <w:rsid w:val="00BE0A19"/>
    <w:rsid w:val="00BE0C78"/>
    <w:rsid w:val="00BE0C8E"/>
    <w:rsid w:val="00BE0D60"/>
    <w:rsid w:val="00BE1886"/>
    <w:rsid w:val="00BE18AA"/>
    <w:rsid w:val="00BE2174"/>
    <w:rsid w:val="00BE2DF8"/>
    <w:rsid w:val="00BE2FCE"/>
    <w:rsid w:val="00BE3882"/>
    <w:rsid w:val="00BE3A84"/>
    <w:rsid w:val="00BE4176"/>
    <w:rsid w:val="00BE4413"/>
    <w:rsid w:val="00BE4AA6"/>
    <w:rsid w:val="00BE4F92"/>
    <w:rsid w:val="00BE51B5"/>
    <w:rsid w:val="00BE551B"/>
    <w:rsid w:val="00BE6350"/>
    <w:rsid w:val="00BE66D1"/>
    <w:rsid w:val="00BE6899"/>
    <w:rsid w:val="00BE76F3"/>
    <w:rsid w:val="00BE7A27"/>
    <w:rsid w:val="00BE7E2A"/>
    <w:rsid w:val="00BF1669"/>
    <w:rsid w:val="00BF1794"/>
    <w:rsid w:val="00BF1AF2"/>
    <w:rsid w:val="00BF1E0D"/>
    <w:rsid w:val="00BF1EF5"/>
    <w:rsid w:val="00BF29AB"/>
    <w:rsid w:val="00BF2D1D"/>
    <w:rsid w:val="00BF4056"/>
    <w:rsid w:val="00BF4388"/>
    <w:rsid w:val="00BF4CC2"/>
    <w:rsid w:val="00BF5AC1"/>
    <w:rsid w:val="00BF63FA"/>
    <w:rsid w:val="00BF6DD1"/>
    <w:rsid w:val="00BF724D"/>
    <w:rsid w:val="00C00D9E"/>
    <w:rsid w:val="00C012A0"/>
    <w:rsid w:val="00C01771"/>
    <w:rsid w:val="00C0201E"/>
    <w:rsid w:val="00C02573"/>
    <w:rsid w:val="00C02A15"/>
    <w:rsid w:val="00C033D3"/>
    <w:rsid w:val="00C037B5"/>
    <w:rsid w:val="00C03A04"/>
    <w:rsid w:val="00C04680"/>
    <w:rsid w:val="00C055D4"/>
    <w:rsid w:val="00C05914"/>
    <w:rsid w:val="00C0593B"/>
    <w:rsid w:val="00C05DCB"/>
    <w:rsid w:val="00C05FB3"/>
    <w:rsid w:val="00C06259"/>
    <w:rsid w:val="00C0641C"/>
    <w:rsid w:val="00C06CA5"/>
    <w:rsid w:val="00C06EC3"/>
    <w:rsid w:val="00C1027F"/>
    <w:rsid w:val="00C1085D"/>
    <w:rsid w:val="00C10980"/>
    <w:rsid w:val="00C11320"/>
    <w:rsid w:val="00C11705"/>
    <w:rsid w:val="00C11797"/>
    <w:rsid w:val="00C11D7C"/>
    <w:rsid w:val="00C12035"/>
    <w:rsid w:val="00C12048"/>
    <w:rsid w:val="00C12251"/>
    <w:rsid w:val="00C12701"/>
    <w:rsid w:val="00C12B0B"/>
    <w:rsid w:val="00C13D2E"/>
    <w:rsid w:val="00C150AE"/>
    <w:rsid w:val="00C155E3"/>
    <w:rsid w:val="00C15CFF"/>
    <w:rsid w:val="00C171D2"/>
    <w:rsid w:val="00C2009E"/>
    <w:rsid w:val="00C20C33"/>
    <w:rsid w:val="00C20E93"/>
    <w:rsid w:val="00C213F9"/>
    <w:rsid w:val="00C21636"/>
    <w:rsid w:val="00C226A3"/>
    <w:rsid w:val="00C2276D"/>
    <w:rsid w:val="00C23F88"/>
    <w:rsid w:val="00C24194"/>
    <w:rsid w:val="00C2487A"/>
    <w:rsid w:val="00C24D07"/>
    <w:rsid w:val="00C25380"/>
    <w:rsid w:val="00C2580A"/>
    <w:rsid w:val="00C2595E"/>
    <w:rsid w:val="00C26060"/>
    <w:rsid w:val="00C268B5"/>
    <w:rsid w:val="00C271B5"/>
    <w:rsid w:val="00C279AA"/>
    <w:rsid w:val="00C27FFD"/>
    <w:rsid w:val="00C302EA"/>
    <w:rsid w:val="00C309F0"/>
    <w:rsid w:val="00C30E49"/>
    <w:rsid w:val="00C30F77"/>
    <w:rsid w:val="00C325F8"/>
    <w:rsid w:val="00C32972"/>
    <w:rsid w:val="00C329C4"/>
    <w:rsid w:val="00C336B1"/>
    <w:rsid w:val="00C33AD1"/>
    <w:rsid w:val="00C3479E"/>
    <w:rsid w:val="00C35035"/>
    <w:rsid w:val="00C35858"/>
    <w:rsid w:val="00C35C55"/>
    <w:rsid w:val="00C35ED3"/>
    <w:rsid w:val="00C3623E"/>
    <w:rsid w:val="00C367AA"/>
    <w:rsid w:val="00C36A1F"/>
    <w:rsid w:val="00C36D7B"/>
    <w:rsid w:val="00C36D85"/>
    <w:rsid w:val="00C36F2C"/>
    <w:rsid w:val="00C404E9"/>
    <w:rsid w:val="00C416EB"/>
    <w:rsid w:val="00C41CF3"/>
    <w:rsid w:val="00C42D7A"/>
    <w:rsid w:val="00C4352A"/>
    <w:rsid w:val="00C43B13"/>
    <w:rsid w:val="00C447DC"/>
    <w:rsid w:val="00C44BA5"/>
    <w:rsid w:val="00C45161"/>
    <w:rsid w:val="00C4565C"/>
    <w:rsid w:val="00C45D7F"/>
    <w:rsid w:val="00C46AB0"/>
    <w:rsid w:val="00C47677"/>
    <w:rsid w:val="00C47C17"/>
    <w:rsid w:val="00C5016E"/>
    <w:rsid w:val="00C50422"/>
    <w:rsid w:val="00C50591"/>
    <w:rsid w:val="00C50A5D"/>
    <w:rsid w:val="00C50BF9"/>
    <w:rsid w:val="00C51056"/>
    <w:rsid w:val="00C53F93"/>
    <w:rsid w:val="00C54C4B"/>
    <w:rsid w:val="00C55502"/>
    <w:rsid w:val="00C556E1"/>
    <w:rsid w:val="00C55BC1"/>
    <w:rsid w:val="00C55E9E"/>
    <w:rsid w:val="00C56469"/>
    <w:rsid w:val="00C56F73"/>
    <w:rsid w:val="00C57949"/>
    <w:rsid w:val="00C579DB"/>
    <w:rsid w:val="00C60263"/>
    <w:rsid w:val="00C60E87"/>
    <w:rsid w:val="00C61036"/>
    <w:rsid w:val="00C610E4"/>
    <w:rsid w:val="00C61272"/>
    <w:rsid w:val="00C619D6"/>
    <w:rsid w:val="00C6221C"/>
    <w:rsid w:val="00C623F4"/>
    <w:rsid w:val="00C62471"/>
    <w:rsid w:val="00C62654"/>
    <w:rsid w:val="00C63244"/>
    <w:rsid w:val="00C63FF0"/>
    <w:rsid w:val="00C6401B"/>
    <w:rsid w:val="00C649C5"/>
    <w:rsid w:val="00C64C83"/>
    <w:rsid w:val="00C67033"/>
    <w:rsid w:val="00C67292"/>
    <w:rsid w:val="00C673CB"/>
    <w:rsid w:val="00C67737"/>
    <w:rsid w:val="00C677B4"/>
    <w:rsid w:val="00C67CBE"/>
    <w:rsid w:val="00C70B67"/>
    <w:rsid w:val="00C70CBF"/>
    <w:rsid w:val="00C71012"/>
    <w:rsid w:val="00C7110E"/>
    <w:rsid w:val="00C714DB"/>
    <w:rsid w:val="00C715FC"/>
    <w:rsid w:val="00C71E7A"/>
    <w:rsid w:val="00C71EEF"/>
    <w:rsid w:val="00C72217"/>
    <w:rsid w:val="00C7263A"/>
    <w:rsid w:val="00C72E69"/>
    <w:rsid w:val="00C73105"/>
    <w:rsid w:val="00C7343A"/>
    <w:rsid w:val="00C7440D"/>
    <w:rsid w:val="00C751F3"/>
    <w:rsid w:val="00C7569F"/>
    <w:rsid w:val="00C7615D"/>
    <w:rsid w:val="00C762F0"/>
    <w:rsid w:val="00C763E1"/>
    <w:rsid w:val="00C7647E"/>
    <w:rsid w:val="00C76CF3"/>
    <w:rsid w:val="00C77A10"/>
    <w:rsid w:val="00C80811"/>
    <w:rsid w:val="00C80855"/>
    <w:rsid w:val="00C80DED"/>
    <w:rsid w:val="00C80E19"/>
    <w:rsid w:val="00C820FF"/>
    <w:rsid w:val="00C82397"/>
    <w:rsid w:val="00C826F4"/>
    <w:rsid w:val="00C82B23"/>
    <w:rsid w:val="00C82C7A"/>
    <w:rsid w:val="00C83161"/>
    <w:rsid w:val="00C8336E"/>
    <w:rsid w:val="00C8381A"/>
    <w:rsid w:val="00C83BD3"/>
    <w:rsid w:val="00C83CC4"/>
    <w:rsid w:val="00C84184"/>
    <w:rsid w:val="00C841F8"/>
    <w:rsid w:val="00C84899"/>
    <w:rsid w:val="00C8489C"/>
    <w:rsid w:val="00C8497B"/>
    <w:rsid w:val="00C84F72"/>
    <w:rsid w:val="00C85960"/>
    <w:rsid w:val="00C85B54"/>
    <w:rsid w:val="00C85F96"/>
    <w:rsid w:val="00C866B4"/>
    <w:rsid w:val="00C87162"/>
    <w:rsid w:val="00C8761C"/>
    <w:rsid w:val="00C8787C"/>
    <w:rsid w:val="00C87A0D"/>
    <w:rsid w:val="00C87AC8"/>
    <w:rsid w:val="00C87B44"/>
    <w:rsid w:val="00C87CC4"/>
    <w:rsid w:val="00C87E00"/>
    <w:rsid w:val="00C90F23"/>
    <w:rsid w:val="00C916D9"/>
    <w:rsid w:val="00C9199F"/>
    <w:rsid w:val="00C91B44"/>
    <w:rsid w:val="00C924FB"/>
    <w:rsid w:val="00C928A8"/>
    <w:rsid w:val="00C92CF3"/>
    <w:rsid w:val="00C92EEE"/>
    <w:rsid w:val="00C92FEC"/>
    <w:rsid w:val="00C93010"/>
    <w:rsid w:val="00C93211"/>
    <w:rsid w:val="00C93C2A"/>
    <w:rsid w:val="00C93DBF"/>
    <w:rsid w:val="00C93F72"/>
    <w:rsid w:val="00C942E6"/>
    <w:rsid w:val="00C946AB"/>
    <w:rsid w:val="00C949EC"/>
    <w:rsid w:val="00C95EBE"/>
    <w:rsid w:val="00C95EF0"/>
    <w:rsid w:val="00C966C9"/>
    <w:rsid w:val="00C96ACB"/>
    <w:rsid w:val="00C972A1"/>
    <w:rsid w:val="00C973CF"/>
    <w:rsid w:val="00C9753B"/>
    <w:rsid w:val="00C975A1"/>
    <w:rsid w:val="00C97998"/>
    <w:rsid w:val="00C97D06"/>
    <w:rsid w:val="00CA0188"/>
    <w:rsid w:val="00CA03F4"/>
    <w:rsid w:val="00CA15AE"/>
    <w:rsid w:val="00CA1A6A"/>
    <w:rsid w:val="00CA2299"/>
    <w:rsid w:val="00CA2A07"/>
    <w:rsid w:val="00CA2C7E"/>
    <w:rsid w:val="00CA3138"/>
    <w:rsid w:val="00CA31E8"/>
    <w:rsid w:val="00CA33C3"/>
    <w:rsid w:val="00CA3530"/>
    <w:rsid w:val="00CA4247"/>
    <w:rsid w:val="00CA439C"/>
    <w:rsid w:val="00CA4DF2"/>
    <w:rsid w:val="00CA5CB5"/>
    <w:rsid w:val="00CA6392"/>
    <w:rsid w:val="00CA6B9E"/>
    <w:rsid w:val="00CA7358"/>
    <w:rsid w:val="00CA770B"/>
    <w:rsid w:val="00CA79E1"/>
    <w:rsid w:val="00CA7E8F"/>
    <w:rsid w:val="00CB0BEE"/>
    <w:rsid w:val="00CB139E"/>
    <w:rsid w:val="00CB18D3"/>
    <w:rsid w:val="00CB1A4B"/>
    <w:rsid w:val="00CB2AF4"/>
    <w:rsid w:val="00CB2C8B"/>
    <w:rsid w:val="00CB3697"/>
    <w:rsid w:val="00CB374D"/>
    <w:rsid w:val="00CB397C"/>
    <w:rsid w:val="00CB3FDE"/>
    <w:rsid w:val="00CB4799"/>
    <w:rsid w:val="00CB49A9"/>
    <w:rsid w:val="00CB556E"/>
    <w:rsid w:val="00CB5BF2"/>
    <w:rsid w:val="00CB5CED"/>
    <w:rsid w:val="00CB6B4D"/>
    <w:rsid w:val="00CB6EC5"/>
    <w:rsid w:val="00CB7213"/>
    <w:rsid w:val="00CB75E9"/>
    <w:rsid w:val="00CC01C6"/>
    <w:rsid w:val="00CC0330"/>
    <w:rsid w:val="00CC0BE5"/>
    <w:rsid w:val="00CC11AB"/>
    <w:rsid w:val="00CC1644"/>
    <w:rsid w:val="00CC184E"/>
    <w:rsid w:val="00CC1EA5"/>
    <w:rsid w:val="00CC245D"/>
    <w:rsid w:val="00CC2685"/>
    <w:rsid w:val="00CC2CAD"/>
    <w:rsid w:val="00CC328D"/>
    <w:rsid w:val="00CC3391"/>
    <w:rsid w:val="00CC34A0"/>
    <w:rsid w:val="00CC3E7E"/>
    <w:rsid w:val="00CC4258"/>
    <w:rsid w:val="00CC4485"/>
    <w:rsid w:val="00CC460B"/>
    <w:rsid w:val="00CC4A66"/>
    <w:rsid w:val="00CC5240"/>
    <w:rsid w:val="00CC5A55"/>
    <w:rsid w:val="00CC5AE4"/>
    <w:rsid w:val="00CC5BD2"/>
    <w:rsid w:val="00CC659A"/>
    <w:rsid w:val="00CC6D8E"/>
    <w:rsid w:val="00CC70D1"/>
    <w:rsid w:val="00CC73A5"/>
    <w:rsid w:val="00CD0394"/>
    <w:rsid w:val="00CD087D"/>
    <w:rsid w:val="00CD09BE"/>
    <w:rsid w:val="00CD0D51"/>
    <w:rsid w:val="00CD1C6F"/>
    <w:rsid w:val="00CD29EE"/>
    <w:rsid w:val="00CD2EFD"/>
    <w:rsid w:val="00CD3B25"/>
    <w:rsid w:val="00CD464E"/>
    <w:rsid w:val="00CD49C9"/>
    <w:rsid w:val="00CD49E9"/>
    <w:rsid w:val="00CD6440"/>
    <w:rsid w:val="00CD6A08"/>
    <w:rsid w:val="00CD70DB"/>
    <w:rsid w:val="00CD7332"/>
    <w:rsid w:val="00CD78D0"/>
    <w:rsid w:val="00CE06FD"/>
    <w:rsid w:val="00CE0744"/>
    <w:rsid w:val="00CE0B4F"/>
    <w:rsid w:val="00CE1961"/>
    <w:rsid w:val="00CE1F88"/>
    <w:rsid w:val="00CE2141"/>
    <w:rsid w:val="00CE2892"/>
    <w:rsid w:val="00CE2B6B"/>
    <w:rsid w:val="00CE340A"/>
    <w:rsid w:val="00CE3542"/>
    <w:rsid w:val="00CE3592"/>
    <w:rsid w:val="00CE3ED7"/>
    <w:rsid w:val="00CE40BD"/>
    <w:rsid w:val="00CE42B3"/>
    <w:rsid w:val="00CE4946"/>
    <w:rsid w:val="00CE4BA1"/>
    <w:rsid w:val="00CE4C3C"/>
    <w:rsid w:val="00CE6881"/>
    <w:rsid w:val="00CE68FE"/>
    <w:rsid w:val="00CE6AAB"/>
    <w:rsid w:val="00CE705B"/>
    <w:rsid w:val="00CE7630"/>
    <w:rsid w:val="00CE79FD"/>
    <w:rsid w:val="00CF076D"/>
    <w:rsid w:val="00CF08BA"/>
    <w:rsid w:val="00CF1C7F"/>
    <w:rsid w:val="00CF1E39"/>
    <w:rsid w:val="00CF29F9"/>
    <w:rsid w:val="00CF2FC8"/>
    <w:rsid w:val="00CF323F"/>
    <w:rsid w:val="00CF3510"/>
    <w:rsid w:val="00CF39B4"/>
    <w:rsid w:val="00CF3A2B"/>
    <w:rsid w:val="00CF47CA"/>
    <w:rsid w:val="00CF47D9"/>
    <w:rsid w:val="00CF518B"/>
    <w:rsid w:val="00CF578E"/>
    <w:rsid w:val="00CF5886"/>
    <w:rsid w:val="00CF58A8"/>
    <w:rsid w:val="00CF5DFA"/>
    <w:rsid w:val="00CF5F04"/>
    <w:rsid w:val="00CF6497"/>
    <w:rsid w:val="00CF7A6F"/>
    <w:rsid w:val="00CF7CBF"/>
    <w:rsid w:val="00CF7DFA"/>
    <w:rsid w:val="00CF7E14"/>
    <w:rsid w:val="00D0039E"/>
    <w:rsid w:val="00D00A64"/>
    <w:rsid w:val="00D018C8"/>
    <w:rsid w:val="00D021A9"/>
    <w:rsid w:val="00D02680"/>
    <w:rsid w:val="00D03486"/>
    <w:rsid w:val="00D03510"/>
    <w:rsid w:val="00D03E26"/>
    <w:rsid w:val="00D03FEF"/>
    <w:rsid w:val="00D04393"/>
    <w:rsid w:val="00D0507C"/>
    <w:rsid w:val="00D05310"/>
    <w:rsid w:val="00D05A58"/>
    <w:rsid w:val="00D05A89"/>
    <w:rsid w:val="00D05ABE"/>
    <w:rsid w:val="00D05F85"/>
    <w:rsid w:val="00D06434"/>
    <w:rsid w:val="00D0670D"/>
    <w:rsid w:val="00D07454"/>
    <w:rsid w:val="00D07B42"/>
    <w:rsid w:val="00D07E9D"/>
    <w:rsid w:val="00D07ECB"/>
    <w:rsid w:val="00D10003"/>
    <w:rsid w:val="00D10089"/>
    <w:rsid w:val="00D109CF"/>
    <w:rsid w:val="00D10CED"/>
    <w:rsid w:val="00D11BF3"/>
    <w:rsid w:val="00D1200E"/>
    <w:rsid w:val="00D12348"/>
    <w:rsid w:val="00D12634"/>
    <w:rsid w:val="00D12BC8"/>
    <w:rsid w:val="00D13713"/>
    <w:rsid w:val="00D143C4"/>
    <w:rsid w:val="00D14BA6"/>
    <w:rsid w:val="00D15091"/>
    <w:rsid w:val="00D15F44"/>
    <w:rsid w:val="00D1680C"/>
    <w:rsid w:val="00D16E3E"/>
    <w:rsid w:val="00D17412"/>
    <w:rsid w:val="00D1769D"/>
    <w:rsid w:val="00D178B3"/>
    <w:rsid w:val="00D17B32"/>
    <w:rsid w:val="00D17F2E"/>
    <w:rsid w:val="00D2030E"/>
    <w:rsid w:val="00D20602"/>
    <w:rsid w:val="00D20843"/>
    <w:rsid w:val="00D20AD3"/>
    <w:rsid w:val="00D212CF"/>
    <w:rsid w:val="00D220B1"/>
    <w:rsid w:val="00D22661"/>
    <w:rsid w:val="00D228D6"/>
    <w:rsid w:val="00D22CE5"/>
    <w:rsid w:val="00D236CF"/>
    <w:rsid w:val="00D2392B"/>
    <w:rsid w:val="00D24297"/>
    <w:rsid w:val="00D24F2A"/>
    <w:rsid w:val="00D25729"/>
    <w:rsid w:val="00D259AC"/>
    <w:rsid w:val="00D25B55"/>
    <w:rsid w:val="00D26530"/>
    <w:rsid w:val="00D27070"/>
    <w:rsid w:val="00D27B70"/>
    <w:rsid w:val="00D27CE8"/>
    <w:rsid w:val="00D3010F"/>
    <w:rsid w:val="00D30154"/>
    <w:rsid w:val="00D302DB"/>
    <w:rsid w:val="00D302E6"/>
    <w:rsid w:val="00D304E2"/>
    <w:rsid w:val="00D30922"/>
    <w:rsid w:val="00D3179F"/>
    <w:rsid w:val="00D31EE5"/>
    <w:rsid w:val="00D3232C"/>
    <w:rsid w:val="00D32B26"/>
    <w:rsid w:val="00D32E20"/>
    <w:rsid w:val="00D331F4"/>
    <w:rsid w:val="00D333EB"/>
    <w:rsid w:val="00D33B0F"/>
    <w:rsid w:val="00D33DD7"/>
    <w:rsid w:val="00D341A0"/>
    <w:rsid w:val="00D34B14"/>
    <w:rsid w:val="00D3591E"/>
    <w:rsid w:val="00D35C31"/>
    <w:rsid w:val="00D35DA0"/>
    <w:rsid w:val="00D37240"/>
    <w:rsid w:val="00D40EFF"/>
    <w:rsid w:val="00D41209"/>
    <w:rsid w:val="00D42B85"/>
    <w:rsid w:val="00D42EB6"/>
    <w:rsid w:val="00D43875"/>
    <w:rsid w:val="00D43F8F"/>
    <w:rsid w:val="00D44047"/>
    <w:rsid w:val="00D44A40"/>
    <w:rsid w:val="00D44AEE"/>
    <w:rsid w:val="00D45FAB"/>
    <w:rsid w:val="00D45FB9"/>
    <w:rsid w:val="00D46650"/>
    <w:rsid w:val="00D46EE9"/>
    <w:rsid w:val="00D470D3"/>
    <w:rsid w:val="00D47990"/>
    <w:rsid w:val="00D47EBE"/>
    <w:rsid w:val="00D500A2"/>
    <w:rsid w:val="00D50714"/>
    <w:rsid w:val="00D509CC"/>
    <w:rsid w:val="00D50DE1"/>
    <w:rsid w:val="00D512BD"/>
    <w:rsid w:val="00D5191C"/>
    <w:rsid w:val="00D52533"/>
    <w:rsid w:val="00D5286D"/>
    <w:rsid w:val="00D53097"/>
    <w:rsid w:val="00D53489"/>
    <w:rsid w:val="00D53CC1"/>
    <w:rsid w:val="00D53CD5"/>
    <w:rsid w:val="00D548A2"/>
    <w:rsid w:val="00D54AA2"/>
    <w:rsid w:val="00D55A11"/>
    <w:rsid w:val="00D55CBF"/>
    <w:rsid w:val="00D55F7B"/>
    <w:rsid w:val="00D56B8A"/>
    <w:rsid w:val="00D56DB1"/>
    <w:rsid w:val="00D57439"/>
    <w:rsid w:val="00D5795E"/>
    <w:rsid w:val="00D57BBB"/>
    <w:rsid w:val="00D57DA2"/>
    <w:rsid w:val="00D60026"/>
    <w:rsid w:val="00D600FA"/>
    <w:rsid w:val="00D60469"/>
    <w:rsid w:val="00D60E33"/>
    <w:rsid w:val="00D60F02"/>
    <w:rsid w:val="00D613E5"/>
    <w:rsid w:val="00D61F01"/>
    <w:rsid w:val="00D6202D"/>
    <w:rsid w:val="00D6239D"/>
    <w:rsid w:val="00D63056"/>
    <w:rsid w:val="00D63480"/>
    <w:rsid w:val="00D63655"/>
    <w:rsid w:val="00D6381D"/>
    <w:rsid w:val="00D63979"/>
    <w:rsid w:val="00D64603"/>
    <w:rsid w:val="00D64809"/>
    <w:rsid w:val="00D64858"/>
    <w:rsid w:val="00D64F76"/>
    <w:rsid w:val="00D65329"/>
    <w:rsid w:val="00D65454"/>
    <w:rsid w:val="00D65B46"/>
    <w:rsid w:val="00D65E26"/>
    <w:rsid w:val="00D66BC5"/>
    <w:rsid w:val="00D66FEE"/>
    <w:rsid w:val="00D67796"/>
    <w:rsid w:val="00D67BE3"/>
    <w:rsid w:val="00D700D3"/>
    <w:rsid w:val="00D70146"/>
    <w:rsid w:val="00D70198"/>
    <w:rsid w:val="00D7024E"/>
    <w:rsid w:val="00D70307"/>
    <w:rsid w:val="00D703E5"/>
    <w:rsid w:val="00D70E33"/>
    <w:rsid w:val="00D712C2"/>
    <w:rsid w:val="00D71447"/>
    <w:rsid w:val="00D714BE"/>
    <w:rsid w:val="00D71800"/>
    <w:rsid w:val="00D71A38"/>
    <w:rsid w:val="00D72003"/>
    <w:rsid w:val="00D72B6A"/>
    <w:rsid w:val="00D731EF"/>
    <w:rsid w:val="00D7381D"/>
    <w:rsid w:val="00D73941"/>
    <w:rsid w:val="00D73D13"/>
    <w:rsid w:val="00D73F6B"/>
    <w:rsid w:val="00D7428C"/>
    <w:rsid w:val="00D75830"/>
    <w:rsid w:val="00D760CF"/>
    <w:rsid w:val="00D761BE"/>
    <w:rsid w:val="00D7641E"/>
    <w:rsid w:val="00D76B9B"/>
    <w:rsid w:val="00D77071"/>
    <w:rsid w:val="00D7711E"/>
    <w:rsid w:val="00D772DC"/>
    <w:rsid w:val="00D77742"/>
    <w:rsid w:val="00D80BE6"/>
    <w:rsid w:val="00D80F53"/>
    <w:rsid w:val="00D80FDF"/>
    <w:rsid w:val="00D8178D"/>
    <w:rsid w:val="00D81893"/>
    <w:rsid w:val="00D81B92"/>
    <w:rsid w:val="00D81DA8"/>
    <w:rsid w:val="00D82106"/>
    <w:rsid w:val="00D82700"/>
    <w:rsid w:val="00D829B9"/>
    <w:rsid w:val="00D82C69"/>
    <w:rsid w:val="00D835E5"/>
    <w:rsid w:val="00D84BC8"/>
    <w:rsid w:val="00D84C1F"/>
    <w:rsid w:val="00D85AFD"/>
    <w:rsid w:val="00D86034"/>
    <w:rsid w:val="00D860BA"/>
    <w:rsid w:val="00D86BC3"/>
    <w:rsid w:val="00D8708B"/>
    <w:rsid w:val="00D8742A"/>
    <w:rsid w:val="00D87A13"/>
    <w:rsid w:val="00D90BAA"/>
    <w:rsid w:val="00D9186E"/>
    <w:rsid w:val="00D9197D"/>
    <w:rsid w:val="00D92397"/>
    <w:rsid w:val="00D92A73"/>
    <w:rsid w:val="00D93413"/>
    <w:rsid w:val="00D93414"/>
    <w:rsid w:val="00D9370D"/>
    <w:rsid w:val="00D937BA"/>
    <w:rsid w:val="00D93959"/>
    <w:rsid w:val="00D93A1F"/>
    <w:rsid w:val="00D93CAD"/>
    <w:rsid w:val="00D94CCB"/>
    <w:rsid w:val="00D95068"/>
    <w:rsid w:val="00D957A7"/>
    <w:rsid w:val="00D95922"/>
    <w:rsid w:val="00D95FDF"/>
    <w:rsid w:val="00D9677B"/>
    <w:rsid w:val="00D967A5"/>
    <w:rsid w:val="00D96F79"/>
    <w:rsid w:val="00DA03CB"/>
    <w:rsid w:val="00DA04D4"/>
    <w:rsid w:val="00DA0758"/>
    <w:rsid w:val="00DA0855"/>
    <w:rsid w:val="00DA09AA"/>
    <w:rsid w:val="00DA0BC9"/>
    <w:rsid w:val="00DA0C1C"/>
    <w:rsid w:val="00DA196D"/>
    <w:rsid w:val="00DA2BDA"/>
    <w:rsid w:val="00DA2E5A"/>
    <w:rsid w:val="00DA2F48"/>
    <w:rsid w:val="00DA305D"/>
    <w:rsid w:val="00DA36C3"/>
    <w:rsid w:val="00DA4BBA"/>
    <w:rsid w:val="00DA4E23"/>
    <w:rsid w:val="00DA5211"/>
    <w:rsid w:val="00DA6380"/>
    <w:rsid w:val="00DA676C"/>
    <w:rsid w:val="00DA71A0"/>
    <w:rsid w:val="00DA71D4"/>
    <w:rsid w:val="00DA7206"/>
    <w:rsid w:val="00DB063A"/>
    <w:rsid w:val="00DB0839"/>
    <w:rsid w:val="00DB12AC"/>
    <w:rsid w:val="00DB13D4"/>
    <w:rsid w:val="00DB17D2"/>
    <w:rsid w:val="00DB20E4"/>
    <w:rsid w:val="00DB2116"/>
    <w:rsid w:val="00DB2374"/>
    <w:rsid w:val="00DB2E46"/>
    <w:rsid w:val="00DB3655"/>
    <w:rsid w:val="00DB3BB4"/>
    <w:rsid w:val="00DB4005"/>
    <w:rsid w:val="00DB4804"/>
    <w:rsid w:val="00DB4B15"/>
    <w:rsid w:val="00DB50F7"/>
    <w:rsid w:val="00DB53D3"/>
    <w:rsid w:val="00DB587D"/>
    <w:rsid w:val="00DB5886"/>
    <w:rsid w:val="00DB60CD"/>
    <w:rsid w:val="00DB6909"/>
    <w:rsid w:val="00DB6A06"/>
    <w:rsid w:val="00DB6F2E"/>
    <w:rsid w:val="00DB788F"/>
    <w:rsid w:val="00DB7E14"/>
    <w:rsid w:val="00DC01FC"/>
    <w:rsid w:val="00DC0449"/>
    <w:rsid w:val="00DC0A30"/>
    <w:rsid w:val="00DC1078"/>
    <w:rsid w:val="00DC1322"/>
    <w:rsid w:val="00DC1A03"/>
    <w:rsid w:val="00DC1DC9"/>
    <w:rsid w:val="00DC2455"/>
    <w:rsid w:val="00DC2B2D"/>
    <w:rsid w:val="00DC2C0F"/>
    <w:rsid w:val="00DC3D47"/>
    <w:rsid w:val="00DC3E5B"/>
    <w:rsid w:val="00DC40C8"/>
    <w:rsid w:val="00DC43BF"/>
    <w:rsid w:val="00DC44D2"/>
    <w:rsid w:val="00DC4F89"/>
    <w:rsid w:val="00DC512C"/>
    <w:rsid w:val="00DC5C0C"/>
    <w:rsid w:val="00DC6400"/>
    <w:rsid w:val="00DC69FC"/>
    <w:rsid w:val="00DC6A6E"/>
    <w:rsid w:val="00DC6DB8"/>
    <w:rsid w:val="00DC6E9F"/>
    <w:rsid w:val="00DC70D7"/>
    <w:rsid w:val="00DC79C4"/>
    <w:rsid w:val="00DD0633"/>
    <w:rsid w:val="00DD0DD0"/>
    <w:rsid w:val="00DD114B"/>
    <w:rsid w:val="00DD138D"/>
    <w:rsid w:val="00DD15D7"/>
    <w:rsid w:val="00DD19C4"/>
    <w:rsid w:val="00DD2308"/>
    <w:rsid w:val="00DD2637"/>
    <w:rsid w:val="00DD2B1A"/>
    <w:rsid w:val="00DD424C"/>
    <w:rsid w:val="00DD477E"/>
    <w:rsid w:val="00DD4A90"/>
    <w:rsid w:val="00DD5B51"/>
    <w:rsid w:val="00DD5BBA"/>
    <w:rsid w:val="00DD5F95"/>
    <w:rsid w:val="00DD60B0"/>
    <w:rsid w:val="00DD684B"/>
    <w:rsid w:val="00DD72AE"/>
    <w:rsid w:val="00DD75A3"/>
    <w:rsid w:val="00DD79A8"/>
    <w:rsid w:val="00DD7CBB"/>
    <w:rsid w:val="00DE0B75"/>
    <w:rsid w:val="00DE0E91"/>
    <w:rsid w:val="00DE1217"/>
    <w:rsid w:val="00DE138F"/>
    <w:rsid w:val="00DE2561"/>
    <w:rsid w:val="00DE2FD2"/>
    <w:rsid w:val="00DE3038"/>
    <w:rsid w:val="00DE367B"/>
    <w:rsid w:val="00DE3737"/>
    <w:rsid w:val="00DE3E28"/>
    <w:rsid w:val="00DE435C"/>
    <w:rsid w:val="00DE4996"/>
    <w:rsid w:val="00DE5647"/>
    <w:rsid w:val="00DE5C28"/>
    <w:rsid w:val="00DE61B2"/>
    <w:rsid w:val="00DE69B6"/>
    <w:rsid w:val="00DE783E"/>
    <w:rsid w:val="00DF0105"/>
    <w:rsid w:val="00DF023A"/>
    <w:rsid w:val="00DF0AA7"/>
    <w:rsid w:val="00DF0E73"/>
    <w:rsid w:val="00DF11C8"/>
    <w:rsid w:val="00DF172E"/>
    <w:rsid w:val="00DF1A25"/>
    <w:rsid w:val="00DF1B96"/>
    <w:rsid w:val="00DF21AF"/>
    <w:rsid w:val="00DF2BB2"/>
    <w:rsid w:val="00DF2DA6"/>
    <w:rsid w:val="00DF2EFD"/>
    <w:rsid w:val="00DF3CF5"/>
    <w:rsid w:val="00DF4121"/>
    <w:rsid w:val="00DF4E4F"/>
    <w:rsid w:val="00DF5163"/>
    <w:rsid w:val="00DF5B69"/>
    <w:rsid w:val="00DF5E1D"/>
    <w:rsid w:val="00DF6191"/>
    <w:rsid w:val="00DF61B8"/>
    <w:rsid w:val="00DF62C5"/>
    <w:rsid w:val="00DF67D6"/>
    <w:rsid w:val="00DF7908"/>
    <w:rsid w:val="00DF7AB8"/>
    <w:rsid w:val="00E00712"/>
    <w:rsid w:val="00E0099C"/>
    <w:rsid w:val="00E00B7F"/>
    <w:rsid w:val="00E00F7B"/>
    <w:rsid w:val="00E01134"/>
    <w:rsid w:val="00E0130A"/>
    <w:rsid w:val="00E01F4B"/>
    <w:rsid w:val="00E02201"/>
    <w:rsid w:val="00E0298D"/>
    <w:rsid w:val="00E0453D"/>
    <w:rsid w:val="00E052B0"/>
    <w:rsid w:val="00E054E8"/>
    <w:rsid w:val="00E05984"/>
    <w:rsid w:val="00E061EC"/>
    <w:rsid w:val="00E06454"/>
    <w:rsid w:val="00E06487"/>
    <w:rsid w:val="00E06844"/>
    <w:rsid w:val="00E06BB2"/>
    <w:rsid w:val="00E07044"/>
    <w:rsid w:val="00E07D77"/>
    <w:rsid w:val="00E07E99"/>
    <w:rsid w:val="00E10953"/>
    <w:rsid w:val="00E10E9C"/>
    <w:rsid w:val="00E11413"/>
    <w:rsid w:val="00E11F3E"/>
    <w:rsid w:val="00E11F48"/>
    <w:rsid w:val="00E1228D"/>
    <w:rsid w:val="00E126B4"/>
    <w:rsid w:val="00E13EDC"/>
    <w:rsid w:val="00E142E4"/>
    <w:rsid w:val="00E14ECC"/>
    <w:rsid w:val="00E15359"/>
    <w:rsid w:val="00E1545B"/>
    <w:rsid w:val="00E1579C"/>
    <w:rsid w:val="00E15C5F"/>
    <w:rsid w:val="00E2000C"/>
    <w:rsid w:val="00E201D3"/>
    <w:rsid w:val="00E20A77"/>
    <w:rsid w:val="00E20BD6"/>
    <w:rsid w:val="00E20BDA"/>
    <w:rsid w:val="00E20E9D"/>
    <w:rsid w:val="00E2164A"/>
    <w:rsid w:val="00E219FA"/>
    <w:rsid w:val="00E22544"/>
    <w:rsid w:val="00E226A4"/>
    <w:rsid w:val="00E22B44"/>
    <w:rsid w:val="00E22DD8"/>
    <w:rsid w:val="00E23503"/>
    <w:rsid w:val="00E23993"/>
    <w:rsid w:val="00E23D71"/>
    <w:rsid w:val="00E25992"/>
    <w:rsid w:val="00E25C85"/>
    <w:rsid w:val="00E2605C"/>
    <w:rsid w:val="00E267EA"/>
    <w:rsid w:val="00E26C31"/>
    <w:rsid w:val="00E275CB"/>
    <w:rsid w:val="00E2787B"/>
    <w:rsid w:val="00E27E0B"/>
    <w:rsid w:val="00E30697"/>
    <w:rsid w:val="00E3097F"/>
    <w:rsid w:val="00E30E2C"/>
    <w:rsid w:val="00E310CB"/>
    <w:rsid w:val="00E3198B"/>
    <w:rsid w:val="00E323DB"/>
    <w:rsid w:val="00E324DD"/>
    <w:rsid w:val="00E32D1E"/>
    <w:rsid w:val="00E32F68"/>
    <w:rsid w:val="00E32FB5"/>
    <w:rsid w:val="00E34A3A"/>
    <w:rsid w:val="00E35300"/>
    <w:rsid w:val="00E355BA"/>
    <w:rsid w:val="00E359B7"/>
    <w:rsid w:val="00E366EB"/>
    <w:rsid w:val="00E37064"/>
    <w:rsid w:val="00E37620"/>
    <w:rsid w:val="00E37F51"/>
    <w:rsid w:val="00E40371"/>
    <w:rsid w:val="00E40467"/>
    <w:rsid w:val="00E40878"/>
    <w:rsid w:val="00E40D7D"/>
    <w:rsid w:val="00E41170"/>
    <w:rsid w:val="00E413F1"/>
    <w:rsid w:val="00E41CAD"/>
    <w:rsid w:val="00E42050"/>
    <w:rsid w:val="00E42A4B"/>
    <w:rsid w:val="00E42BEA"/>
    <w:rsid w:val="00E42F0B"/>
    <w:rsid w:val="00E43226"/>
    <w:rsid w:val="00E432CE"/>
    <w:rsid w:val="00E4357D"/>
    <w:rsid w:val="00E4376D"/>
    <w:rsid w:val="00E43EB2"/>
    <w:rsid w:val="00E43ED1"/>
    <w:rsid w:val="00E44312"/>
    <w:rsid w:val="00E44674"/>
    <w:rsid w:val="00E4563C"/>
    <w:rsid w:val="00E45743"/>
    <w:rsid w:val="00E45D57"/>
    <w:rsid w:val="00E46670"/>
    <w:rsid w:val="00E46E35"/>
    <w:rsid w:val="00E473E2"/>
    <w:rsid w:val="00E474E8"/>
    <w:rsid w:val="00E4773E"/>
    <w:rsid w:val="00E47BA1"/>
    <w:rsid w:val="00E50951"/>
    <w:rsid w:val="00E510F5"/>
    <w:rsid w:val="00E516A3"/>
    <w:rsid w:val="00E517BE"/>
    <w:rsid w:val="00E5199F"/>
    <w:rsid w:val="00E5242D"/>
    <w:rsid w:val="00E52728"/>
    <w:rsid w:val="00E5300D"/>
    <w:rsid w:val="00E53AFE"/>
    <w:rsid w:val="00E54644"/>
    <w:rsid w:val="00E548C8"/>
    <w:rsid w:val="00E54955"/>
    <w:rsid w:val="00E55160"/>
    <w:rsid w:val="00E55255"/>
    <w:rsid w:val="00E5536F"/>
    <w:rsid w:val="00E55C72"/>
    <w:rsid w:val="00E55F1D"/>
    <w:rsid w:val="00E56788"/>
    <w:rsid w:val="00E56B6D"/>
    <w:rsid w:val="00E57230"/>
    <w:rsid w:val="00E57335"/>
    <w:rsid w:val="00E57F5D"/>
    <w:rsid w:val="00E60361"/>
    <w:rsid w:val="00E607D5"/>
    <w:rsid w:val="00E610A7"/>
    <w:rsid w:val="00E612E5"/>
    <w:rsid w:val="00E612EA"/>
    <w:rsid w:val="00E6160C"/>
    <w:rsid w:val="00E61AF2"/>
    <w:rsid w:val="00E61C10"/>
    <w:rsid w:val="00E61F13"/>
    <w:rsid w:val="00E6244A"/>
    <w:rsid w:val="00E6279D"/>
    <w:rsid w:val="00E62C5E"/>
    <w:rsid w:val="00E62CA1"/>
    <w:rsid w:val="00E62EA3"/>
    <w:rsid w:val="00E638CC"/>
    <w:rsid w:val="00E64355"/>
    <w:rsid w:val="00E66818"/>
    <w:rsid w:val="00E6687A"/>
    <w:rsid w:val="00E6687D"/>
    <w:rsid w:val="00E67500"/>
    <w:rsid w:val="00E67A1F"/>
    <w:rsid w:val="00E67B8A"/>
    <w:rsid w:val="00E67DFA"/>
    <w:rsid w:val="00E70E65"/>
    <w:rsid w:val="00E711D0"/>
    <w:rsid w:val="00E7166A"/>
    <w:rsid w:val="00E719C4"/>
    <w:rsid w:val="00E71A86"/>
    <w:rsid w:val="00E71F98"/>
    <w:rsid w:val="00E72695"/>
    <w:rsid w:val="00E7340E"/>
    <w:rsid w:val="00E73D84"/>
    <w:rsid w:val="00E74C38"/>
    <w:rsid w:val="00E75893"/>
    <w:rsid w:val="00E758BA"/>
    <w:rsid w:val="00E7591A"/>
    <w:rsid w:val="00E75F0C"/>
    <w:rsid w:val="00E77BBA"/>
    <w:rsid w:val="00E80348"/>
    <w:rsid w:val="00E80650"/>
    <w:rsid w:val="00E80655"/>
    <w:rsid w:val="00E8083B"/>
    <w:rsid w:val="00E8083F"/>
    <w:rsid w:val="00E80878"/>
    <w:rsid w:val="00E809E7"/>
    <w:rsid w:val="00E80A2E"/>
    <w:rsid w:val="00E811C0"/>
    <w:rsid w:val="00E8148C"/>
    <w:rsid w:val="00E81878"/>
    <w:rsid w:val="00E81AF0"/>
    <w:rsid w:val="00E81B56"/>
    <w:rsid w:val="00E81DF1"/>
    <w:rsid w:val="00E81F1F"/>
    <w:rsid w:val="00E82110"/>
    <w:rsid w:val="00E82235"/>
    <w:rsid w:val="00E827A7"/>
    <w:rsid w:val="00E829BA"/>
    <w:rsid w:val="00E830C7"/>
    <w:rsid w:val="00E839B2"/>
    <w:rsid w:val="00E83A92"/>
    <w:rsid w:val="00E84592"/>
    <w:rsid w:val="00E86241"/>
    <w:rsid w:val="00E864AC"/>
    <w:rsid w:val="00E876CC"/>
    <w:rsid w:val="00E87752"/>
    <w:rsid w:val="00E91020"/>
    <w:rsid w:val="00E9191B"/>
    <w:rsid w:val="00E91954"/>
    <w:rsid w:val="00E91C45"/>
    <w:rsid w:val="00E91DE2"/>
    <w:rsid w:val="00E9204C"/>
    <w:rsid w:val="00E921FC"/>
    <w:rsid w:val="00E92C3F"/>
    <w:rsid w:val="00E92CDD"/>
    <w:rsid w:val="00E92FE4"/>
    <w:rsid w:val="00E9362C"/>
    <w:rsid w:val="00E93946"/>
    <w:rsid w:val="00E94832"/>
    <w:rsid w:val="00E94A28"/>
    <w:rsid w:val="00E951D2"/>
    <w:rsid w:val="00E9574E"/>
    <w:rsid w:val="00E957F2"/>
    <w:rsid w:val="00E96686"/>
    <w:rsid w:val="00E96802"/>
    <w:rsid w:val="00E96805"/>
    <w:rsid w:val="00E969A6"/>
    <w:rsid w:val="00E96C0A"/>
    <w:rsid w:val="00E96E79"/>
    <w:rsid w:val="00E96ED3"/>
    <w:rsid w:val="00E9728C"/>
    <w:rsid w:val="00E976AB"/>
    <w:rsid w:val="00E97C01"/>
    <w:rsid w:val="00EA0670"/>
    <w:rsid w:val="00EA0B0E"/>
    <w:rsid w:val="00EA1272"/>
    <w:rsid w:val="00EA1EDD"/>
    <w:rsid w:val="00EA1F56"/>
    <w:rsid w:val="00EA20F0"/>
    <w:rsid w:val="00EA2955"/>
    <w:rsid w:val="00EA2979"/>
    <w:rsid w:val="00EA2B01"/>
    <w:rsid w:val="00EA3686"/>
    <w:rsid w:val="00EA3790"/>
    <w:rsid w:val="00EA4164"/>
    <w:rsid w:val="00EA42AF"/>
    <w:rsid w:val="00EA4932"/>
    <w:rsid w:val="00EA4E03"/>
    <w:rsid w:val="00EA4E11"/>
    <w:rsid w:val="00EA5063"/>
    <w:rsid w:val="00EA5807"/>
    <w:rsid w:val="00EA66C5"/>
    <w:rsid w:val="00EA6ECA"/>
    <w:rsid w:val="00EA7065"/>
    <w:rsid w:val="00EA76E6"/>
    <w:rsid w:val="00EB0787"/>
    <w:rsid w:val="00EB0FEE"/>
    <w:rsid w:val="00EB19AA"/>
    <w:rsid w:val="00EB1A59"/>
    <w:rsid w:val="00EB1AC3"/>
    <w:rsid w:val="00EB21B6"/>
    <w:rsid w:val="00EB2C7C"/>
    <w:rsid w:val="00EB3185"/>
    <w:rsid w:val="00EB363C"/>
    <w:rsid w:val="00EB37C8"/>
    <w:rsid w:val="00EB3833"/>
    <w:rsid w:val="00EB38B4"/>
    <w:rsid w:val="00EB3C5F"/>
    <w:rsid w:val="00EB3EC7"/>
    <w:rsid w:val="00EB4211"/>
    <w:rsid w:val="00EB47B0"/>
    <w:rsid w:val="00EB4C5A"/>
    <w:rsid w:val="00EB507A"/>
    <w:rsid w:val="00EB52FF"/>
    <w:rsid w:val="00EB6552"/>
    <w:rsid w:val="00EB66C3"/>
    <w:rsid w:val="00EB68C0"/>
    <w:rsid w:val="00EB7A69"/>
    <w:rsid w:val="00EB7C3B"/>
    <w:rsid w:val="00EB7D4E"/>
    <w:rsid w:val="00EB7D71"/>
    <w:rsid w:val="00EC0CE6"/>
    <w:rsid w:val="00EC0EF4"/>
    <w:rsid w:val="00EC36E9"/>
    <w:rsid w:val="00EC36F2"/>
    <w:rsid w:val="00EC3917"/>
    <w:rsid w:val="00EC3C44"/>
    <w:rsid w:val="00EC4275"/>
    <w:rsid w:val="00EC4AC5"/>
    <w:rsid w:val="00EC7166"/>
    <w:rsid w:val="00EC75CF"/>
    <w:rsid w:val="00EC78D0"/>
    <w:rsid w:val="00EC7BEB"/>
    <w:rsid w:val="00EC7D9B"/>
    <w:rsid w:val="00ED0A2A"/>
    <w:rsid w:val="00ED0D6D"/>
    <w:rsid w:val="00ED11AB"/>
    <w:rsid w:val="00ED1722"/>
    <w:rsid w:val="00ED1B9A"/>
    <w:rsid w:val="00ED238F"/>
    <w:rsid w:val="00ED250E"/>
    <w:rsid w:val="00ED2906"/>
    <w:rsid w:val="00ED31D5"/>
    <w:rsid w:val="00ED343A"/>
    <w:rsid w:val="00ED35BE"/>
    <w:rsid w:val="00ED38BA"/>
    <w:rsid w:val="00ED3A55"/>
    <w:rsid w:val="00ED4537"/>
    <w:rsid w:val="00ED467D"/>
    <w:rsid w:val="00ED4A79"/>
    <w:rsid w:val="00ED4FF4"/>
    <w:rsid w:val="00ED5693"/>
    <w:rsid w:val="00ED5C5F"/>
    <w:rsid w:val="00ED5FDD"/>
    <w:rsid w:val="00ED61D8"/>
    <w:rsid w:val="00ED6491"/>
    <w:rsid w:val="00ED65C6"/>
    <w:rsid w:val="00ED6EDF"/>
    <w:rsid w:val="00ED6F96"/>
    <w:rsid w:val="00ED73C9"/>
    <w:rsid w:val="00ED7534"/>
    <w:rsid w:val="00ED78CC"/>
    <w:rsid w:val="00EE06DA"/>
    <w:rsid w:val="00EE0D78"/>
    <w:rsid w:val="00EE1245"/>
    <w:rsid w:val="00EE221F"/>
    <w:rsid w:val="00EE2918"/>
    <w:rsid w:val="00EE2B87"/>
    <w:rsid w:val="00EE339D"/>
    <w:rsid w:val="00EE3757"/>
    <w:rsid w:val="00EE588D"/>
    <w:rsid w:val="00EE5935"/>
    <w:rsid w:val="00EE66C2"/>
    <w:rsid w:val="00EE6B1F"/>
    <w:rsid w:val="00EE7020"/>
    <w:rsid w:val="00EE7EC1"/>
    <w:rsid w:val="00EF0368"/>
    <w:rsid w:val="00EF0ED7"/>
    <w:rsid w:val="00EF2628"/>
    <w:rsid w:val="00EF264D"/>
    <w:rsid w:val="00EF27A1"/>
    <w:rsid w:val="00EF2CBC"/>
    <w:rsid w:val="00EF34ED"/>
    <w:rsid w:val="00EF493B"/>
    <w:rsid w:val="00EF520B"/>
    <w:rsid w:val="00EF56D1"/>
    <w:rsid w:val="00EF56DB"/>
    <w:rsid w:val="00EF58DB"/>
    <w:rsid w:val="00EF64B1"/>
    <w:rsid w:val="00EF7043"/>
    <w:rsid w:val="00EF72E1"/>
    <w:rsid w:val="00EF7912"/>
    <w:rsid w:val="00EF7CD3"/>
    <w:rsid w:val="00F00623"/>
    <w:rsid w:val="00F0078F"/>
    <w:rsid w:val="00F007C9"/>
    <w:rsid w:val="00F00856"/>
    <w:rsid w:val="00F01191"/>
    <w:rsid w:val="00F019F5"/>
    <w:rsid w:val="00F01BFC"/>
    <w:rsid w:val="00F020E5"/>
    <w:rsid w:val="00F027F0"/>
    <w:rsid w:val="00F02E53"/>
    <w:rsid w:val="00F030E8"/>
    <w:rsid w:val="00F03435"/>
    <w:rsid w:val="00F03764"/>
    <w:rsid w:val="00F03950"/>
    <w:rsid w:val="00F05287"/>
    <w:rsid w:val="00F05864"/>
    <w:rsid w:val="00F06407"/>
    <w:rsid w:val="00F06803"/>
    <w:rsid w:val="00F06AFE"/>
    <w:rsid w:val="00F06EF7"/>
    <w:rsid w:val="00F07405"/>
    <w:rsid w:val="00F07C76"/>
    <w:rsid w:val="00F1008E"/>
    <w:rsid w:val="00F1134B"/>
    <w:rsid w:val="00F11758"/>
    <w:rsid w:val="00F1184B"/>
    <w:rsid w:val="00F12473"/>
    <w:rsid w:val="00F12C6D"/>
    <w:rsid w:val="00F12CC6"/>
    <w:rsid w:val="00F12F99"/>
    <w:rsid w:val="00F1325E"/>
    <w:rsid w:val="00F13CE0"/>
    <w:rsid w:val="00F13CEF"/>
    <w:rsid w:val="00F13E02"/>
    <w:rsid w:val="00F149B1"/>
    <w:rsid w:val="00F15C86"/>
    <w:rsid w:val="00F16152"/>
    <w:rsid w:val="00F163B7"/>
    <w:rsid w:val="00F16906"/>
    <w:rsid w:val="00F170CD"/>
    <w:rsid w:val="00F177CB"/>
    <w:rsid w:val="00F179B9"/>
    <w:rsid w:val="00F17C35"/>
    <w:rsid w:val="00F17CFD"/>
    <w:rsid w:val="00F2011F"/>
    <w:rsid w:val="00F204CC"/>
    <w:rsid w:val="00F20B7C"/>
    <w:rsid w:val="00F21642"/>
    <w:rsid w:val="00F22EAB"/>
    <w:rsid w:val="00F23343"/>
    <w:rsid w:val="00F23422"/>
    <w:rsid w:val="00F23445"/>
    <w:rsid w:val="00F241F7"/>
    <w:rsid w:val="00F246A7"/>
    <w:rsid w:val="00F24922"/>
    <w:rsid w:val="00F255AE"/>
    <w:rsid w:val="00F262EB"/>
    <w:rsid w:val="00F26519"/>
    <w:rsid w:val="00F266B2"/>
    <w:rsid w:val="00F266F8"/>
    <w:rsid w:val="00F26817"/>
    <w:rsid w:val="00F26AE0"/>
    <w:rsid w:val="00F26B1A"/>
    <w:rsid w:val="00F26C62"/>
    <w:rsid w:val="00F27C53"/>
    <w:rsid w:val="00F27D9F"/>
    <w:rsid w:val="00F27F42"/>
    <w:rsid w:val="00F30697"/>
    <w:rsid w:val="00F3072F"/>
    <w:rsid w:val="00F30959"/>
    <w:rsid w:val="00F30B65"/>
    <w:rsid w:val="00F30D78"/>
    <w:rsid w:val="00F310E7"/>
    <w:rsid w:val="00F312C4"/>
    <w:rsid w:val="00F319F5"/>
    <w:rsid w:val="00F31F51"/>
    <w:rsid w:val="00F32126"/>
    <w:rsid w:val="00F330B2"/>
    <w:rsid w:val="00F332A0"/>
    <w:rsid w:val="00F33384"/>
    <w:rsid w:val="00F34C5B"/>
    <w:rsid w:val="00F350AC"/>
    <w:rsid w:val="00F354A6"/>
    <w:rsid w:val="00F35795"/>
    <w:rsid w:val="00F35A7E"/>
    <w:rsid w:val="00F361CB"/>
    <w:rsid w:val="00F364F3"/>
    <w:rsid w:val="00F36606"/>
    <w:rsid w:val="00F369D5"/>
    <w:rsid w:val="00F36C2D"/>
    <w:rsid w:val="00F36E56"/>
    <w:rsid w:val="00F373C2"/>
    <w:rsid w:val="00F377E8"/>
    <w:rsid w:val="00F37A29"/>
    <w:rsid w:val="00F37D4D"/>
    <w:rsid w:val="00F37E67"/>
    <w:rsid w:val="00F400E5"/>
    <w:rsid w:val="00F40D37"/>
    <w:rsid w:val="00F411BA"/>
    <w:rsid w:val="00F41944"/>
    <w:rsid w:val="00F41F62"/>
    <w:rsid w:val="00F42E89"/>
    <w:rsid w:val="00F43265"/>
    <w:rsid w:val="00F433C8"/>
    <w:rsid w:val="00F434FF"/>
    <w:rsid w:val="00F43AA5"/>
    <w:rsid w:val="00F43BDE"/>
    <w:rsid w:val="00F43FC7"/>
    <w:rsid w:val="00F444EC"/>
    <w:rsid w:val="00F44FF5"/>
    <w:rsid w:val="00F45680"/>
    <w:rsid w:val="00F462AC"/>
    <w:rsid w:val="00F46640"/>
    <w:rsid w:val="00F4764D"/>
    <w:rsid w:val="00F47A26"/>
    <w:rsid w:val="00F47F67"/>
    <w:rsid w:val="00F5033B"/>
    <w:rsid w:val="00F50464"/>
    <w:rsid w:val="00F50C42"/>
    <w:rsid w:val="00F50D1A"/>
    <w:rsid w:val="00F50DCE"/>
    <w:rsid w:val="00F50E10"/>
    <w:rsid w:val="00F5199D"/>
    <w:rsid w:val="00F51C94"/>
    <w:rsid w:val="00F524D8"/>
    <w:rsid w:val="00F52A7D"/>
    <w:rsid w:val="00F52EB0"/>
    <w:rsid w:val="00F537F4"/>
    <w:rsid w:val="00F53DBD"/>
    <w:rsid w:val="00F5400B"/>
    <w:rsid w:val="00F54114"/>
    <w:rsid w:val="00F54528"/>
    <w:rsid w:val="00F5466E"/>
    <w:rsid w:val="00F54676"/>
    <w:rsid w:val="00F54DD0"/>
    <w:rsid w:val="00F54F75"/>
    <w:rsid w:val="00F54FD1"/>
    <w:rsid w:val="00F554AA"/>
    <w:rsid w:val="00F559D8"/>
    <w:rsid w:val="00F55C38"/>
    <w:rsid w:val="00F5637B"/>
    <w:rsid w:val="00F56749"/>
    <w:rsid w:val="00F5692B"/>
    <w:rsid w:val="00F57900"/>
    <w:rsid w:val="00F57A9F"/>
    <w:rsid w:val="00F6027E"/>
    <w:rsid w:val="00F60580"/>
    <w:rsid w:val="00F60E95"/>
    <w:rsid w:val="00F611CD"/>
    <w:rsid w:val="00F61343"/>
    <w:rsid w:val="00F61CD5"/>
    <w:rsid w:val="00F61EF5"/>
    <w:rsid w:val="00F6212C"/>
    <w:rsid w:val="00F62F0B"/>
    <w:rsid w:val="00F631F1"/>
    <w:rsid w:val="00F63575"/>
    <w:rsid w:val="00F635CC"/>
    <w:rsid w:val="00F63D2C"/>
    <w:rsid w:val="00F6402D"/>
    <w:rsid w:val="00F6409C"/>
    <w:rsid w:val="00F6446D"/>
    <w:rsid w:val="00F64963"/>
    <w:rsid w:val="00F64A68"/>
    <w:rsid w:val="00F64F00"/>
    <w:rsid w:val="00F6561C"/>
    <w:rsid w:val="00F65955"/>
    <w:rsid w:val="00F6609F"/>
    <w:rsid w:val="00F66559"/>
    <w:rsid w:val="00F666EF"/>
    <w:rsid w:val="00F66B15"/>
    <w:rsid w:val="00F66F22"/>
    <w:rsid w:val="00F66F88"/>
    <w:rsid w:val="00F674A0"/>
    <w:rsid w:val="00F67A58"/>
    <w:rsid w:val="00F70189"/>
    <w:rsid w:val="00F703AE"/>
    <w:rsid w:val="00F70A51"/>
    <w:rsid w:val="00F70A79"/>
    <w:rsid w:val="00F70E34"/>
    <w:rsid w:val="00F71410"/>
    <w:rsid w:val="00F7219A"/>
    <w:rsid w:val="00F72A29"/>
    <w:rsid w:val="00F72AB2"/>
    <w:rsid w:val="00F72FEC"/>
    <w:rsid w:val="00F7309E"/>
    <w:rsid w:val="00F7351E"/>
    <w:rsid w:val="00F73982"/>
    <w:rsid w:val="00F74324"/>
    <w:rsid w:val="00F7493A"/>
    <w:rsid w:val="00F755EC"/>
    <w:rsid w:val="00F76F96"/>
    <w:rsid w:val="00F77250"/>
    <w:rsid w:val="00F77428"/>
    <w:rsid w:val="00F775B7"/>
    <w:rsid w:val="00F7796D"/>
    <w:rsid w:val="00F80027"/>
    <w:rsid w:val="00F806CC"/>
    <w:rsid w:val="00F810E2"/>
    <w:rsid w:val="00F8129A"/>
    <w:rsid w:val="00F81B40"/>
    <w:rsid w:val="00F81D7D"/>
    <w:rsid w:val="00F8208F"/>
    <w:rsid w:val="00F8289A"/>
    <w:rsid w:val="00F82DDB"/>
    <w:rsid w:val="00F82FCC"/>
    <w:rsid w:val="00F8302F"/>
    <w:rsid w:val="00F832D7"/>
    <w:rsid w:val="00F83B7E"/>
    <w:rsid w:val="00F8404D"/>
    <w:rsid w:val="00F848BB"/>
    <w:rsid w:val="00F84C04"/>
    <w:rsid w:val="00F853CD"/>
    <w:rsid w:val="00F85B7D"/>
    <w:rsid w:val="00F85BBE"/>
    <w:rsid w:val="00F85E58"/>
    <w:rsid w:val="00F865A8"/>
    <w:rsid w:val="00F874DE"/>
    <w:rsid w:val="00F87807"/>
    <w:rsid w:val="00F90283"/>
    <w:rsid w:val="00F9081E"/>
    <w:rsid w:val="00F90C99"/>
    <w:rsid w:val="00F90E1F"/>
    <w:rsid w:val="00F9148A"/>
    <w:rsid w:val="00F91C24"/>
    <w:rsid w:val="00F927EB"/>
    <w:rsid w:val="00F92F2C"/>
    <w:rsid w:val="00F92F44"/>
    <w:rsid w:val="00F93058"/>
    <w:rsid w:val="00F939C2"/>
    <w:rsid w:val="00F93A7E"/>
    <w:rsid w:val="00F93B99"/>
    <w:rsid w:val="00F944E6"/>
    <w:rsid w:val="00F94759"/>
    <w:rsid w:val="00F948E0"/>
    <w:rsid w:val="00F94952"/>
    <w:rsid w:val="00F94E9E"/>
    <w:rsid w:val="00F953F1"/>
    <w:rsid w:val="00F95E4E"/>
    <w:rsid w:val="00F969CC"/>
    <w:rsid w:val="00F96A4D"/>
    <w:rsid w:val="00F96A5D"/>
    <w:rsid w:val="00F97195"/>
    <w:rsid w:val="00F97878"/>
    <w:rsid w:val="00F9796C"/>
    <w:rsid w:val="00F97B54"/>
    <w:rsid w:val="00F97E68"/>
    <w:rsid w:val="00FA0C7B"/>
    <w:rsid w:val="00FA0DE5"/>
    <w:rsid w:val="00FA2216"/>
    <w:rsid w:val="00FA25AB"/>
    <w:rsid w:val="00FA2D17"/>
    <w:rsid w:val="00FA2D75"/>
    <w:rsid w:val="00FA2FEE"/>
    <w:rsid w:val="00FA4454"/>
    <w:rsid w:val="00FA4E55"/>
    <w:rsid w:val="00FA55A0"/>
    <w:rsid w:val="00FA63E9"/>
    <w:rsid w:val="00FA709D"/>
    <w:rsid w:val="00FA7519"/>
    <w:rsid w:val="00FA7E8C"/>
    <w:rsid w:val="00FB096E"/>
    <w:rsid w:val="00FB0C2B"/>
    <w:rsid w:val="00FB106A"/>
    <w:rsid w:val="00FB20E5"/>
    <w:rsid w:val="00FB20E9"/>
    <w:rsid w:val="00FB28FA"/>
    <w:rsid w:val="00FB2A14"/>
    <w:rsid w:val="00FB2E90"/>
    <w:rsid w:val="00FB32D7"/>
    <w:rsid w:val="00FB330B"/>
    <w:rsid w:val="00FB416C"/>
    <w:rsid w:val="00FB474F"/>
    <w:rsid w:val="00FB4DC1"/>
    <w:rsid w:val="00FB56F3"/>
    <w:rsid w:val="00FB606A"/>
    <w:rsid w:val="00FB62A4"/>
    <w:rsid w:val="00FB63EC"/>
    <w:rsid w:val="00FB650C"/>
    <w:rsid w:val="00FB6DFF"/>
    <w:rsid w:val="00FB76CF"/>
    <w:rsid w:val="00FB771D"/>
    <w:rsid w:val="00FB7B61"/>
    <w:rsid w:val="00FB7D17"/>
    <w:rsid w:val="00FB7F64"/>
    <w:rsid w:val="00FC104C"/>
    <w:rsid w:val="00FC1B90"/>
    <w:rsid w:val="00FC3572"/>
    <w:rsid w:val="00FC539B"/>
    <w:rsid w:val="00FC5435"/>
    <w:rsid w:val="00FC54F0"/>
    <w:rsid w:val="00FC583C"/>
    <w:rsid w:val="00FC6374"/>
    <w:rsid w:val="00FC6DC2"/>
    <w:rsid w:val="00FC7F56"/>
    <w:rsid w:val="00FD06FA"/>
    <w:rsid w:val="00FD0F04"/>
    <w:rsid w:val="00FD1976"/>
    <w:rsid w:val="00FD2DDA"/>
    <w:rsid w:val="00FD33CC"/>
    <w:rsid w:val="00FD34C9"/>
    <w:rsid w:val="00FD35C7"/>
    <w:rsid w:val="00FD40FD"/>
    <w:rsid w:val="00FD410D"/>
    <w:rsid w:val="00FD41A5"/>
    <w:rsid w:val="00FD43FB"/>
    <w:rsid w:val="00FD4469"/>
    <w:rsid w:val="00FD4A5B"/>
    <w:rsid w:val="00FD4DAB"/>
    <w:rsid w:val="00FD4EDF"/>
    <w:rsid w:val="00FD605D"/>
    <w:rsid w:val="00FD643C"/>
    <w:rsid w:val="00FD6668"/>
    <w:rsid w:val="00FD6742"/>
    <w:rsid w:val="00FD7B5C"/>
    <w:rsid w:val="00FD7DE9"/>
    <w:rsid w:val="00FD7F48"/>
    <w:rsid w:val="00FE0378"/>
    <w:rsid w:val="00FE05EC"/>
    <w:rsid w:val="00FE1311"/>
    <w:rsid w:val="00FE1C60"/>
    <w:rsid w:val="00FE1E42"/>
    <w:rsid w:val="00FE24B2"/>
    <w:rsid w:val="00FE29C9"/>
    <w:rsid w:val="00FE2D0D"/>
    <w:rsid w:val="00FE2D27"/>
    <w:rsid w:val="00FE2DBD"/>
    <w:rsid w:val="00FE38D3"/>
    <w:rsid w:val="00FE391E"/>
    <w:rsid w:val="00FE3DD1"/>
    <w:rsid w:val="00FE67C5"/>
    <w:rsid w:val="00FE68A5"/>
    <w:rsid w:val="00FE70C3"/>
    <w:rsid w:val="00FE7245"/>
    <w:rsid w:val="00FE7823"/>
    <w:rsid w:val="00FE7CC7"/>
    <w:rsid w:val="00FF0B9F"/>
    <w:rsid w:val="00FF0CB2"/>
    <w:rsid w:val="00FF2160"/>
    <w:rsid w:val="00FF26C3"/>
    <w:rsid w:val="00FF2972"/>
    <w:rsid w:val="00FF2ACB"/>
    <w:rsid w:val="00FF3C42"/>
    <w:rsid w:val="00FF42F4"/>
    <w:rsid w:val="00FF486E"/>
    <w:rsid w:val="00FF5DA9"/>
    <w:rsid w:val="00FF5FFA"/>
    <w:rsid w:val="00FF6258"/>
    <w:rsid w:val="00FF6D2E"/>
    <w:rsid w:val="00FF6FA7"/>
    <w:rsid w:val="00FF7FB5"/>
    <w:rsid w:val="018C2D3C"/>
    <w:rsid w:val="02520A57"/>
    <w:rsid w:val="028B1425"/>
    <w:rsid w:val="02AA742B"/>
    <w:rsid w:val="0513E33E"/>
    <w:rsid w:val="055F2A35"/>
    <w:rsid w:val="05E069AD"/>
    <w:rsid w:val="05EDE527"/>
    <w:rsid w:val="07176DDB"/>
    <w:rsid w:val="0749FB03"/>
    <w:rsid w:val="082B75E8"/>
    <w:rsid w:val="09DA15B2"/>
    <w:rsid w:val="0AC7EC55"/>
    <w:rsid w:val="0BE61E82"/>
    <w:rsid w:val="0C7AE2AE"/>
    <w:rsid w:val="0F6E3545"/>
    <w:rsid w:val="11F26646"/>
    <w:rsid w:val="1202E280"/>
    <w:rsid w:val="1248E5AB"/>
    <w:rsid w:val="1481F99A"/>
    <w:rsid w:val="1494B100"/>
    <w:rsid w:val="171C56CE"/>
    <w:rsid w:val="17D8F545"/>
    <w:rsid w:val="17F6F164"/>
    <w:rsid w:val="192182BF"/>
    <w:rsid w:val="1949E9D7"/>
    <w:rsid w:val="1A42BCB9"/>
    <w:rsid w:val="1D23DE16"/>
    <w:rsid w:val="1EF8D541"/>
    <w:rsid w:val="2073B29F"/>
    <w:rsid w:val="207924C8"/>
    <w:rsid w:val="248C8E89"/>
    <w:rsid w:val="268A6D2A"/>
    <w:rsid w:val="2802C02B"/>
    <w:rsid w:val="28D9BA5B"/>
    <w:rsid w:val="295DC87D"/>
    <w:rsid w:val="298ECCF5"/>
    <w:rsid w:val="29B24BDE"/>
    <w:rsid w:val="2B2D2327"/>
    <w:rsid w:val="2B91E43E"/>
    <w:rsid w:val="2C05EBBB"/>
    <w:rsid w:val="2C2CA7D8"/>
    <w:rsid w:val="2DA634D5"/>
    <w:rsid w:val="2E7636EB"/>
    <w:rsid w:val="2F586A11"/>
    <w:rsid w:val="30009215"/>
    <w:rsid w:val="30799028"/>
    <w:rsid w:val="309D878C"/>
    <w:rsid w:val="30C82207"/>
    <w:rsid w:val="31CA1CE7"/>
    <w:rsid w:val="31FFACF9"/>
    <w:rsid w:val="3354408E"/>
    <w:rsid w:val="34CF1900"/>
    <w:rsid w:val="35102593"/>
    <w:rsid w:val="3542A2FD"/>
    <w:rsid w:val="376B697C"/>
    <w:rsid w:val="38626D79"/>
    <w:rsid w:val="386EEE7D"/>
    <w:rsid w:val="3A0FD8C5"/>
    <w:rsid w:val="3A22FA76"/>
    <w:rsid w:val="3AA218D0"/>
    <w:rsid w:val="3AAC6AF6"/>
    <w:rsid w:val="3AE0B4E5"/>
    <w:rsid w:val="3AF289D5"/>
    <w:rsid w:val="3B3F3458"/>
    <w:rsid w:val="3B8D66E2"/>
    <w:rsid w:val="3C089982"/>
    <w:rsid w:val="3E726BB9"/>
    <w:rsid w:val="3F5846E9"/>
    <w:rsid w:val="3FE3A540"/>
    <w:rsid w:val="40BF0C60"/>
    <w:rsid w:val="43AE2C57"/>
    <w:rsid w:val="43E60751"/>
    <w:rsid w:val="445C27FB"/>
    <w:rsid w:val="45B1B6F4"/>
    <w:rsid w:val="47A74F67"/>
    <w:rsid w:val="482821EB"/>
    <w:rsid w:val="48E957B6"/>
    <w:rsid w:val="4A852817"/>
    <w:rsid w:val="4AF1B485"/>
    <w:rsid w:val="4B5177DF"/>
    <w:rsid w:val="4E4259C8"/>
    <w:rsid w:val="4ECB6960"/>
    <w:rsid w:val="4F1EF36D"/>
    <w:rsid w:val="4FCEEE61"/>
    <w:rsid w:val="52C16C8F"/>
    <w:rsid w:val="54A820D9"/>
    <w:rsid w:val="55948C17"/>
    <w:rsid w:val="573FB8E2"/>
    <w:rsid w:val="58DE7E9B"/>
    <w:rsid w:val="5AEE3C02"/>
    <w:rsid w:val="5BC02E6E"/>
    <w:rsid w:val="5D11B6D8"/>
    <w:rsid w:val="5E30196D"/>
    <w:rsid w:val="5E608CAF"/>
    <w:rsid w:val="5FA3B644"/>
    <w:rsid w:val="5FD5501D"/>
    <w:rsid w:val="6011114A"/>
    <w:rsid w:val="60CB071E"/>
    <w:rsid w:val="631CB2ED"/>
    <w:rsid w:val="63309EB1"/>
    <w:rsid w:val="657423EE"/>
    <w:rsid w:val="65AC4641"/>
    <w:rsid w:val="65F7A5CA"/>
    <w:rsid w:val="66166528"/>
    <w:rsid w:val="66C01D5B"/>
    <w:rsid w:val="67710E5A"/>
    <w:rsid w:val="696DD6E1"/>
    <w:rsid w:val="6A67BFE0"/>
    <w:rsid w:val="6A956AF4"/>
    <w:rsid w:val="6AED5701"/>
    <w:rsid w:val="6BBE9769"/>
    <w:rsid w:val="6C396D12"/>
    <w:rsid w:val="6E1EB4F8"/>
    <w:rsid w:val="6E367B29"/>
    <w:rsid w:val="6E862488"/>
    <w:rsid w:val="6F0F6088"/>
    <w:rsid w:val="6FFFAEAE"/>
    <w:rsid w:val="7108BB5A"/>
    <w:rsid w:val="718591E5"/>
    <w:rsid w:val="719C8CA7"/>
    <w:rsid w:val="73543CBC"/>
    <w:rsid w:val="737329E9"/>
    <w:rsid w:val="73761F41"/>
    <w:rsid w:val="7383A623"/>
    <w:rsid w:val="7433A117"/>
    <w:rsid w:val="750C447B"/>
    <w:rsid w:val="758C892D"/>
    <w:rsid w:val="75945AE7"/>
    <w:rsid w:val="766EF032"/>
    <w:rsid w:val="776B41D9"/>
    <w:rsid w:val="77B2160E"/>
    <w:rsid w:val="7A825C21"/>
    <w:rsid w:val="7A9CE611"/>
    <w:rsid w:val="7B24C03F"/>
    <w:rsid w:val="7D7DC744"/>
    <w:rsid w:val="7DD4E035"/>
    <w:rsid w:val="7E318909"/>
    <w:rsid w:val="7EBDCA16"/>
    <w:rsid w:val="7EDA8BBB"/>
    <w:rsid w:val="7F706A45"/>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4DF6CE"/>
  <w15:chartTrackingRefBased/>
  <w15:docId w15:val="{3B630E80-4DCB-4923-9B6E-6772BD6028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1" w:defUIPriority="99" w:defSemiHidden="0" w:defUnhideWhenUsed="0" w:defQFormat="0" w:count="376">
    <w:lsdException w:name="Normal" w:locked="0"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ln">
    <w:name w:val="Normal"/>
    <w:qFormat/>
    <w:rsid w:val="00335E16"/>
  </w:style>
  <w:style w:type="paragraph" w:styleId="Nadpis1">
    <w:name w:val="heading 1"/>
    <w:basedOn w:val="Normln"/>
    <w:next w:val="Normln"/>
    <w:link w:val="Nadpis1Char"/>
    <w:uiPriority w:val="9"/>
    <w:qFormat/>
    <w:locked/>
    <w:rsid w:val="00452FC2"/>
    <w:pPr>
      <w:keepNext/>
      <w:keepLines/>
      <w:numPr>
        <w:numId w:val="3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locked/>
    <w:rsid w:val="00452FC2"/>
    <w:pPr>
      <w:keepNext/>
      <w:keepLines/>
      <w:numPr>
        <w:ilvl w:val="1"/>
        <w:numId w:val="3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locked/>
    <w:rsid w:val="00452FC2"/>
    <w:pPr>
      <w:keepNext/>
      <w:keepLines/>
      <w:numPr>
        <w:ilvl w:val="2"/>
        <w:numId w:val="3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locked/>
    <w:rsid w:val="00A61825"/>
    <w:pPr>
      <w:keepNext/>
      <w:keepLines/>
      <w:numPr>
        <w:ilvl w:val="3"/>
        <w:numId w:val="3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semiHidden/>
    <w:unhideWhenUsed/>
    <w:qFormat/>
    <w:locked/>
    <w:rsid w:val="00A61825"/>
    <w:pPr>
      <w:keepNext/>
      <w:keepLines/>
      <w:numPr>
        <w:ilvl w:val="4"/>
        <w:numId w:val="3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locked/>
    <w:rsid w:val="00677654"/>
    <w:pPr>
      <w:keepNext/>
      <w:keepLines/>
      <w:numPr>
        <w:ilvl w:val="5"/>
        <w:numId w:val="3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semiHidden/>
    <w:unhideWhenUsed/>
    <w:qFormat/>
    <w:locked/>
    <w:rsid w:val="00FE1E42"/>
    <w:pPr>
      <w:keepNext/>
      <w:keepLines/>
      <w:numPr>
        <w:ilvl w:val="6"/>
        <w:numId w:val="3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locked/>
    <w:rsid w:val="00A61825"/>
    <w:pPr>
      <w:keepNext/>
      <w:keepLines/>
      <w:numPr>
        <w:ilvl w:val="7"/>
        <w:numId w:val="3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nhideWhenUsed/>
    <w:qFormat/>
    <w:locked/>
    <w:rsid w:val="00173427"/>
    <w:pPr>
      <w:keepNext/>
      <w:keepLines/>
      <w:numPr>
        <w:ilvl w:val="8"/>
        <w:numId w:val="3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locked/>
    <w:rsid w:val="002B53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Nad,Odstavec cíl se seznamem,Odstavec se seznamem5,Odstavec_muj,_Odstavec se seznamem,Seznam - odrážky,Conclusion de partie,odrážky"/>
    <w:basedOn w:val="Normln"/>
    <w:link w:val="OdstavecseseznamemChar"/>
    <w:uiPriority w:val="34"/>
    <w:qFormat/>
    <w:locked/>
    <w:rsid w:val="00041405"/>
    <w:pPr>
      <w:ind w:left="720"/>
      <w:contextualSpacing/>
    </w:pPr>
  </w:style>
  <w:style w:type="paragraph" w:customStyle="1" w:styleId="KOMNadp1">
    <w:name w:val="KOMNadp.1"/>
    <w:basedOn w:val="Normln"/>
    <w:link w:val="KOMNadp1Char"/>
    <w:qFormat/>
    <w:rsid w:val="00E56B6D"/>
    <w:pPr>
      <w:keepNext/>
      <w:pageBreakBefore/>
      <w:numPr>
        <w:numId w:val="40"/>
      </w:numPr>
      <w:tabs>
        <w:tab w:val="left" w:pos="284"/>
      </w:tabs>
      <w:spacing w:before="240" w:after="360" w:line="240" w:lineRule="auto"/>
      <w:jc w:val="both"/>
    </w:pPr>
    <w:rPr>
      <w:rFonts w:eastAsia="Times New Roman" w:cs="Times New Roman"/>
      <w:b/>
      <w:smallCaps/>
      <w:sz w:val="32"/>
      <w:szCs w:val="32"/>
      <w:lang w:eastAsia="cs-CZ"/>
    </w:rPr>
  </w:style>
  <w:style w:type="character" w:customStyle="1" w:styleId="KOMNadp1Char">
    <w:name w:val="KOMNadp.1 Char"/>
    <w:link w:val="KOMNadp1"/>
    <w:rsid w:val="00E56B6D"/>
    <w:rPr>
      <w:rFonts w:eastAsia="Times New Roman" w:cs="Times New Roman"/>
      <w:b/>
      <w:smallCaps/>
      <w:sz w:val="32"/>
      <w:szCs w:val="32"/>
      <w:lang w:eastAsia="cs-CZ"/>
    </w:rPr>
  </w:style>
  <w:style w:type="paragraph" w:customStyle="1" w:styleId="KOMnadp2">
    <w:name w:val="KOMnadp2"/>
    <w:basedOn w:val="Normln"/>
    <w:next w:val="Normln"/>
    <w:qFormat/>
    <w:rsid w:val="00FE67C5"/>
    <w:pPr>
      <w:keepNext/>
      <w:keepLines/>
      <w:numPr>
        <w:ilvl w:val="1"/>
        <w:numId w:val="40"/>
      </w:numPr>
      <w:spacing w:before="240" w:after="120" w:line="276" w:lineRule="auto"/>
      <w:ind w:left="284"/>
      <w:jc w:val="both"/>
    </w:pPr>
    <w:rPr>
      <w:rFonts w:eastAsia="Times New Roman" w:cs="Times New Roman"/>
      <w:b/>
      <w:sz w:val="28"/>
      <w:szCs w:val="20"/>
      <w:lang w:eastAsia="cs-CZ"/>
    </w:rPr>
  </w:style>
  <w:style w:type="paragraph" w:customStyle="1" w:styleId="KOMnadp3">
    <w:name w:val="KOMnadp3"/>
    <w:basedOn w:val="Normln"/>
    <w:link w:val="KOMnadp3Char"/>
    <w:qFormat/>
    <w:rsid w:val="00E20BD6"/>
    <w:pPr>
      <w:keepNext/>
      <w:keepLines/>
      <w:numPr>
        <w:ilvl w:val="2"/>
        <w:numId w:val="40"/>
      </w:numPr>
      <w:spacing w:before="240" w:after="240" w:line="276" w:lineRule="auto"/>
      <w:ind w:left="737" w:hanging="737"/>
      <w:jc w:val="both"/>
    </w:pPr>
    <w:rPr>
      <w:rFonts w:eastAsia="Times New Roman" w:cs="Times New Roman"/>
      <w:b/>
      <w:color w:val="4472C4" w:themeColor="accent5"/>
      <w:sz w:val="26"/>
      <w:szCs w:val="24"/>
      <w:lang w:eastAsia="cs-CZ"/>
    </w:rPr>
  </w:style>
  <w:style w:type="character" w:customStyle="1" w:styleId="KOMnadp3Char">
    <w:name w:val="KOMnadp3 Char"/>
    <w:link w:val="KOMnadp3"/>
    <w:rsid w:val="00E20BD6"/>
    <w:rPr>
      <w:rFonts w:eastAsia="Times New Roman" w:cs="Times New Roman"/>
      <w:b/>
      <w:color w:val="4472C4" w:themeColor="accent5"/>
      <w:sz w:val="26"/>
      <w:szCs w:val="24"/>
      <w:lang w:eastAsia="cs-CZ"/>
    </w:rPr>
  </w:style>
  <w:style w:type="character" w:customStyle="1" w:styleId="Nadpis1Char">
    <w:name w:val="Nadpis 1 Char"/>
    <w:basedOn w:val="Standardnpsmoodstavce"/>
    <w:link w:val="Nadpis1"/>
    <w:uiPriority w:val="9"/>
    <w:rsid w:val="00452FC2"/>
    <w:rPr>
      <w:rFonts w:asciiTheme="majorHAnsi" w:eastAsiaTheme="majorEastAsia" w:hAnsiTheme="majorHAnsi" w:cstheme="majorBidi"/>
      <w:color w:val="2E74B5" w:themeColor="accent1" w:themeShade="BF"/>
      <w:sz w:val="32"/>
      <w:szCs w:val="32"/>
    </w:rPr>
  </w:style>
  <w:style w:type="paragraph" w:styleId="Nadpisobsahu">
    <w:name w:val="TOC Heading"/>
    <w:basedOn w:val="Nadpis1"/>
    <w:next w:val="Normln"/>
    <w:uiPriority w:val="39"/>
    <w:unhideWhenUsed/>
    <w:qFormat/>
    <w:locked/>
    <w:rsid w:val="00452FC2"/>
    <w:pPr>
      <w:numPr>
        <w:numId w:val="0"/>
      </w:numPr>
      <w:outlineLvl w:val="9"/>
    </w:pPr>
    <w:rPr>
      <w:lang w:eastAsia="cs-CZ"/>
    </w:rPr>
  </w:style>
  <w:style w:type="character" w:customStyle="1" w:styleId="Nadpis2Char">
    <w:name w:val="Nadpis 2 Char"/>
    <w:basedOn w:val="Standardnpsmoodstavce"/>
    <w:link w:val="Nadpis2"/>
    <w:uiPriority w:val="9"/>
    <w:rsid w:val="00452FC2"/>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Standardnpsmoodstavce"/>
    <w:link w:val="Nadpis3"/>
    <w:uiPriority w:val="9"/>
    <w:rsid w:val="00452FC2"/>
    <w:rPr>
      <w:rFonts w:asciiTheme="majorHAnsi" w:eastAsiaTheme="majorEastAsia" w:hAnsiTheme="majorHAnsi" w:cstheme="majorBidi"/>
      <w:color w:val="1F4D78" w:themeColor="accent1" w:themeShade="7F"/>
      <w:sz w:val="24"/>
      <w:szCs w:val="24"/>
    </w:rPr>
  </w:style>
  <w:style w:type="paragraph" w:styleId="Obsah1">
    <w:name w:val="toc 1"/>
    <w:basedOn w:val="Normln"/>
    <w:next w:val="Normln"/>
    <w:autoRedefine/>
    <w:uiPriority w:val="39"/>
    <w:unhideWhenUsed/>
    <w:locked/>
    <w:rsid w:val="003006C5"/>
    <w:pPr>
      <w:tabs>
        <w:tab w:val="left" w:pos="284"/>
        <w:tab w:val="right" w:leader="dot" w:pos="9062"/>
      </w:tabs>
      <w:spacing w:after="100"/>
    </w:pPr>
    <w:rPr>
      <w:b/>
      <w:noProof/>
    </w:rPr>
  </w:style>
  <w:style w:type="paragraph" w:styleId="Obsah2">
    <w:name w:val="toc 2"/>
    <w:basedOn w:val="Normln"/>
    <w:next w:val="Normln"/>
    <w:autoRedefine/>
    <w:uiPriority w:val="39"/>
    <w:unhideWhenUsed/>
    <w:locked/>
    <w:rsid w:val="005E2B55"/>
    <w:pPr>
      <w:tabs>
        <w:tab w:val="left" w:pos="567"/>
        <w:tab w:val="right" w:leader="dot" w:pos="9062"/>
      </w:tabs>
      <w:spacing w:after="40"/>
      <w:ind w:left="567" w:hanging="425"/>
    </w:pPr>
  </w:style>
  <w:style w:type="paragraph" w:styleId="Obsah3">
    <w:name w:val="toc 3"/>
    <w:basedOn w:val="Normln"/>
    <w:next w:val="Normln"/>
    <w:autoRedefine/>
    <w:uiPriority w:val="39"/>
    <w:unhideWhenUsed/>
    <w:locked/>
    <w:rsid w:val="00F73982"/>
    <w:pPr>
      <w:tabs>
        <w:tab w:val="left" w:pos="1320"/>
        <w:tab w:val="right" w:leader="dot" w:pos="9062"/>
      </w:tabs>
      <w:spacing w:after="100"/>
      <w:ind w:left="993" w:hanging="553"/>
    </w:pPr>
  </w:style>
  <w:style w:type="character" w:styleId="Hypertextovodkaz">
    <w:name w:val="Hyperlink"/>
    <w:basedOn w:val="Standardnpsmoodstavce"/>
    <w:uiPriority w:val="99"/>
    <w:unhideWhenUsed/>
    <w:locked/>
    <w:rsid w:val="00452FC2"/>
    <w:rPr>
      <w:color w:val="0563C1" w:themeColor="hyperlink"/>
      <w:u w:val="single"/>
    </w:rPr>
  </w:style>
  <w:style w:type="paragraph" w:styleId="Zhlav">
    <w:name w:val="header"/>
    <w:basedOn w:val="Normln"/>
    <w:link w:val="ZhlavChar"/>
    <w:uiPriority w:val="99"/>
    <w:unhideWhenUsed/>
    <w:locked/>
    <w:rsid w:val="0032380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2380E"/>
  </w:style>
  <w:style w:type="paragraph" w:styleId="Zpat">
    <w:name w:val="footer"/>
    <w:basedOn w:val="Normln"/>
    <w:link w:val="ZpatChar"/>
    <w:uiPriority w:val="99"/>
    <w:unhideWhenUsed/>
    <w:locked/>
    <w:rsid w:val="0032380E"/>
    <w:pPr>
      <w:tabs>
        <w:tab w:val="center" w:pos="4536"/>
        <w:tab w:val="right" w:pos="9072"/>
      </w:tabs>
      <w:spacing w:after="0" w:line="240" w:lineRule="auto"/>
    </w:pPr>
  </w:style>
  <w:style w:type="character" w:customStyle="1" w:styleId="ZpatChar">
    <w:name w:val="Zápatí Char"/>
    <w:basedOn w:val="Standardnpsmoodstavce"/>
    <w:link w:val="Zpat"/>
    <w:uiPriority w:val="99"/>
    <w:rsid w:val="0032380E"/>
  </w:style>
  <w:style w:type="paragraph" w:customStyle="1" w:styleId="KOMtext">
    <w:name w:val="KOMtext"/>
    <w:basedOn w:val="Zkladntext"/>
    <w:link w:val="KOMtextChar"/>
    <w:qFormat/>
    <w:rsid w:val="00610867"/>
    <w:pPr>
      <w:keepLines/>
      <w:spacing w:before="240" w:after="240" w:line="276" w:lineRule="auto"/>
      <w:jc w:val="both"/>
    </w:pPr>
    <w:rPr>
      <w:rFonts w:eastAsia="Times New Roman" w:cs="Times New Roman"/>
      <w:sz w:val="24"/>
      <w:szCs w:val="20"/>
      <w:lang w:eastAsia="cs-CZ"/>
    </w:rPr>
  </w:style>
  <w:style w:type="character" w:customStyle="1" w:styleId="KOMtextChar">
    <w:name w:val="KOMtext Char"/>
    <w:link w:val="KOMtext"/>
    <w:rsid w:val="00610867"/>
    <w:rPr>
      <w:rFonts w:eastAsia="Times New Roman" w:cs="Times New Roman"/>
      <w:sz w:val="24"/>
      <w:szCs w:val="20"/>
      <w:lang w:eastAsia="cs-CZ"/>
    </w:rPr>
  </w:style>
  <w:style w:type="paragraph" w:styleId="Zkladntext">
    <w:name w:val="Body Text"/>
    <w:basedOn w:val="Normln"/>
    <w:link w:val="ZkladntextChar"/>
    <w:uiPriority w:val="99"/>
    <w:unhideWhenUsed/>
    <w:locked/>
    <w:rsid w:val="00E43ED1"/>
    <w:pPr>
      <w:spacing w:after="120"/>
    </w:pPr>
  </w:style>
  <w:style w:type="character" w:customStyle="1" w:styleId="ZkladntextChar">
    <w:name w:val="Základní text Char"/>
    <w:basedOn w:val="Standardnpsmoodstavce"/>
    <w:link w:val="Zkladntext"/>
    <w:uiPriority w:val="99"/>
    <w:rsid w:val="00E43ED1"/>
  </w:style>
  <w:style w:type="character" w:customStyle="1" w:styleId="Nadpis9Char">
    <w:name w:val="Nadpis 9 Char"/>
    <w:basedOn w:val="Standardnpsmoodstavce"/>
    <w:link w:val="Nadpis9"/>
    <w:rsid w:val="00E43ED1"/>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locked/>
    <w:rsid w:val="001E576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1E5765"/>
    <w:rPr>
      <w:rFonts w:ascii="Segoe UI" w:hAnsi="Segoe UI" w:cs="Segoe UI"/>
      <w:sz w:val="18"/>
      <w:szCs w:val="18"/>
    </w:rPr>
  </w:style>
  <w:style w:type="paragraph" w:styleId="Titulek">
    <w:name w:val="caption"/>
    <w:basedOn w:val="Normln"/>
    <w:next w:val="Normln"/>
    <w:link w:val="TitulekChar"/>
    <w:qFormat/>
    <w:locked/>
    <w:rsid w:val="00C15CFF"/>
    <w:pPr>
      <w:keepNext/>
      <w:spacing w:before="360" w:after="240" w:line="240" w:lineRule="auto"/>
      <w:jc w:val="both"/>
    </w:pPr>
    <w:rPr>
      <w:rFonts w:ascii="Times New Roman" w:eastAsia="Times New Roman" w:hAnsi="Times New Roman" w:cs="Times New Roman"/>
      <w:b/>
      <w:sz w:val="24"/>
      <w:szCs w:val="24"/>
      <w:lang w:eastAsia="cs-CZ"/>
    </w:rPr>
  </w:style>
  <w:style w:type="character" w:styleId="Siln">
    <w:name w:val="Strong"/>
    <w:qFormat/>
    <w:locked/>
    <w:rsid w:val="00C15CFF"/>
    <w:rPr>
      <w:b/>
      <w:bCs/>
    </w:rPr>
  </w:style>
  <w:style w:type="character" w:customStyle="1" w:styleId="Nadpis6Char">
    <w:name w:val="Nadpis 6 Char"/>
    <w:basedOn w:val="Standardnpsmoodstavce"/>
    <w:link w:val="Nadpis6"/>
    <w:uiPriority w:val="9"/>
    <w:rsid w:val="00677654"/>
    <w:rPr>
      <w:rFonts w:asciiTheme="majorHAnsi" w:eastAsiaTheme="majorEastAsia" w:hAnsiTheme="majorHAnsi" w:cstheme="majorBidi"/>
      <w:color w:val="1F4D78" w:themeColor="accent1" w:themeShade="7F"/>
    </w:rPr>
  </w:style>
  <w:style w:type="paragraph" w:customStyle="1" w:styleId="KOMnadp4">
    <w:name w:val="KOMnadp4"/>
    <w:link w:val="KOMnadp4Char"/>
    <w:qFormat/>
    <w:rsid w:val="008A0E44"/>
    <w:pPr>
      <w:keepNext/>
      <w:spacing w:before="240" w:after="240"/>
    </w:pPr>
    <w:rPr>
      <w:rFonts w:eastAsiaTheme="majorEastAsia" w:cstheme="minorHAnsi"/>
      <w:b/>
      <w:color w:val="4472C4" w:themeColor="accent5"/>
      <w:sz w:val="24"/>
      <w:szCs w:val="24"/>
      <w:u w:val="single"/>
    </w:rPr>
  </w:style>
  <w:style w:type="paragraph" w:customStyle="1" w:styleId="KOMnadp5">
    <w:name w:val="KOMnadp5"/>
    <w:basedOn w:val="Nadpis6"/>
    <w:link w:val="KOMnadp5Char"/>
    <w:qFormat/>
    <w:rsid w:val="006E0DB2"/>
    <w:pPr>
      <w:numPr>
        <w:ilvl w:val="0"/>
        <w:numId w:val="4"/>
      </w:numPr>
      <w:spacing w:before="160" w:after="160"/>
      <w:jc w:val="both"/>
    </w:pPr>
    <w:rPr>
      <w:rFonts w:asciiTheme="minorHAnsi" w:hAnsiTheme="minorHAnsi" w:cstheme="minorHAnsi"/>
      <w:color w:val="2E74B5" w:themeColor="accent1" w:themeShade="BF"/>
      <w:sz w:val="24"/>
      <w:szCs w:val="24"/>
      <w:u w:val="single"/>
    </w:rPr>
  </w:style>
  <w:style w:type="character" w:customStyle="1" w:styleId="KOMnadp4Char">
    <w:name w:val="KOMnadp4 Char"/>
    <w:basedOn w:val="Nadpis6Char"/>
    <w:link w:val="KOMnadp4"/>
    <w:rsid w:val="008A0E44"/>
    <w:rPr>
      <w:rFonts w:asciiTheme="majorHAnsi" w:eastAsiaTheme="majorEastAsia" w:hAnsiTheme="majorHAnsi" w:cstheme="minorHAnsi"/>
      <w:b/>
      <w:color w:val="4472C4" w:themeColor="accent5"/>
      <w:sz w:val="24"/>
      <w:szCs w:val="24"/>
      <w:u w:val="single"/>
    </w:rPr>
  </w:style>
  <w:style w:type="character" w:customStyle="1" w:styleId="KOMnadp5Char">
    <w:name w:val="KOMnadp5 Char"/>
    <w:basedOn w:val="Nadpis6Char"/>
    <w:link w:val="KOMnadp5"/>
    <w:rsid w:val="006E0DB2"/>
    <w:rPr>
      <w:rFonts w:asciiTheme="majorHAnsi" w:eastAsiaTheme="majorEastAsia" w:hAnsiTheme="majorHAnsi" w:cstheme="minorHAnsi"/>
      <w:color w:val="2E74B5" w:themeColor="accent1" w:themeShade="BF"/>
      <w:sz w:val="24"/>
      <w:szCs w:val="24"/>
      <w:u w:val="single"/>
    </w:rPr>
  </w:style>
  <w:style w:type="paragraph" w:customStyle="1" w:styleId="Znormal">
    <w:name w:val="Zúnormal"/>
    <w:basedOn w:val="Normln"/>
    <w:link w:val="ZnormalChar"/>
    <w:locked/>
    <w:rsid w:val="00EC3C44"/>
    <w:pPr>
      <w:spacing w:before="120" w:after="0" w:line="240" w:lineRule="auto"/>
      <w:ind w:firstLine="708"/>
      <w:jc w:val="both"/>
    </w:pPr>
    <w:rPr>
      <w:rFonts w:ascii="Times New Roman" w:eastAsia="Times New Roman" w:hAnsi="Times New Roman" w:cs="Times New Roman"/>
      <w:sz w:val="24"/>
      <w:szCs w:val="20"/>
      <w:lang w:eastAsia="cs-CZ"/>
    </w:rPr>
  </w:style>
  <w:style w:type="character" w:customStyle="1" w:styleId="ZnormalChar">
    <w:name w:val="Zúnormal Char"/>
    <w:link w:val="Znormal"/>
    <w:rsid w:val="00EC3C44"/>
    <w:rPr>
      <w:rFonts w:ascii="Times New Roman" w:eastAsia="Times New Roman" w:hAnsi="Times New Roman" w:cs="Times New Roman"/>
      <w:sz w:val="24"/>
      <w:szCs w:val="20"/>
      <w:lang w:eastAsia="cs-CZ"/>
    </w:rPr>
  </w:style>
  <w:style w:type="character" w:customStyle="1" w:styleId="KOModrkyChar">
    <w:name w:val="KOModrážky Char"/>
    <w:link w:val="KOModrky"/>
    <w:locked/>
    <w:rsid w:val="00637A0D"/>
    <w:rPr>
      <w:sz w:val="24"/>
      <w:szCs w:val="24"/>
      <w:lang w:eastAsia="cs-CZ"/>
    </w:rPr>
  </w:style>
  <w:style w:type="paragraph" w:customStyle="1" w:styleId="KOModrky">
    <w:name w:val="KOModrážky"/>
    <w:basedOn w:val="Normln"/>
    <w:link w:val="KOModrkyChar"/>
    <w:qFormat/>
    <w:rsid w:val="00637A0D"/>
    <w:pPr>
      <w:numPr>
        <w:numId w:val="8"/>
      </w:numPr>
      <w:spacing w:before="120" w:after="120" w:line="240" w:lineRule="auto"/>
      <w:ind w:left="714" w:hanging="357"/>
      <w:jc w:val="both"/>
    </w:pPr>
    <w:rPr>
      <w:sz w:val="24"/>
      <w:szCs w:val="24"/>
      <w:lang w:eastAsia="cs-CZ"/>
    </w:rPr>
  </w:style>
  <w:style w:type="character" w:customStyle="1" w:styleId="OdstavecseseznamemChar">
    <w:name w:val="Odstavec se seznamem Char"/>
    <w:aliases w:val="Nad Char,Odstavec cíl se seznamem Char,Odstavec se seznamem5 Char,Odstavec_muj Char,_Odstavec se seznamem Char,Seznam - odrážky Char,Conclusion de partie Char,odrážky Char"/>
    <w:link w:val="Odstavecseseznamem"/>
    <w:uiPriority w:val="34"/>
    <w:locked/>
    <w:rsid w:val="00FE1E42"/>
  </w:style>
  <w:style w:type="paragraph" w:customStyle="1" w:styleId="Nvod">
    <w:name w:val="Návod"/>
    <w:basedOn w:val="Normln"/>
    <w:locked/>
    <w:rsid w:val="00FE1E42"/>
    <w:pPr>
      <w:overflowPunct w:val="0"/>
      <w:autoSpaceDE w:val="0"/>
      <w:autoSpaceDN w:val="0"/>
      <w:adjustRightInd w:val="0"/>
      <w:spacing w:after="0" w:line="240" w:lineRule="auto"/>
      <w:ind w:left="340" w:hanging="340"/>
    </w:pPr>
    <w:rPr>
      <w:rFonts w:ascii="Times New Roman" w:eastAsia="Times New Roman" w:hAnsi="Times New Roman" w:cs="Times New Roman"/>
      <w:sz w:val="24"/>
      <w:szCs w:val="20"/>
      <w:lang w:eastAsia="cs-CZ"/>
    </w:rPr>
  </w:style>
  <w:style w:type="character" w:customStyle="1" w:styleId="Nadpis7Char">
    <w:name w:val="Nadpis 7 Char"/>
    <w:basedOn w:val="Standardnpsmoodstavce"/>
    <w:link w:val="Nadpis7"/>
    <w:uiPriority w:val="9"/>
    <w:semiHidden/>
    <w:rsid w:val="00FE1E42"/>
    <w:rPr>
      <w:rFonts w:asciiTheme="majorHAnsi" w:eastAsiaTheme="majorEastAsia" w:hAnsiTheme="majorHAnsi" w:cstheme="majorBidi"/>
      <w:i/>
      <w:iCs/>
      <w:color w:val="1F4D78" w:themeColor="accent1" w:themeShade="7F"/>
    </w:rPr>
  </w:style>
  <w:style w:type="character" w:styleId="Sledovanodkaz">
    <w:name w:val="FollowedHyperlink"/>
    <w:basedOn w:val="Standardnpsmoodstavce"/>
    <w:uiPriority w:val="99"/>
    <w:semiHidden/>
    <w:unhideWhenUsed/>
    <w:locked/>
    <w:rsid w:val="00A17419"/>
    <w:rPr>
      <w:color w:val="954F72" w:themeColor="followedHyperlink"/>
      <w:u w:val="single"/>
    </w:rPr>
  </w:style>
  <w:style w:type="paragraph" w:styleId="Revize">
    <w:name w:val="Revision"/>
    <w:hidden/>
    <w:uiPriority w:val="99"/>
    <w:semiHidden/>
    <w:rsid w:val="003F67E3"/>
    <w:pPr>
      <w:spacing w:after="0" w:line="240" w:lineRule="auto"/>
    </w:pPr>
  </w:style>
  <w:style w:type="paragraph" w:customStyle="1" w:styleId="Default">
    <w:name w:val="Default"/>
    <w:locked/>
    <w:rsid w:val="003C3EEE"/>
    <w:pPr>
      <w:autoSpaceDE w:val="0"/>
      <w:autoSpaceDN w:val="0"/>
      <w:adjustRightInd w:val="0"/>
      <w:spacing w:after="0" w:line="240" w:lineRule="auto"/>
    </w:pPr>
    <w:rPr>
      <w:rFonts w:ascii="Times New Roman" w:hAnsi="Times New Roman" w:cs="Times New Roman"/>
      <w:color w:val="000000"/>
      <w:sz w:val="24"/>
      <w:szCs w:val="24"/>
    </w:rPr>
  </w:style>
  <w:style w:type="paragraph" w:styleId="Obsah4">
    <w:name w:val="toc 4"/>
    <w:basedOn w:val="Normln"/>
    <w:next w:val="Normln"/>
    <w:autoRedefine/>
    <w:uiPriority w:val="39"/>
    <w:unhideWhenUsed/>
    <w:locked/>
    <w:rsid w:val="00222AC8"/>
    <w:pPr>
      <w:spacing w:after="100"/>
      <w:ind w:left="660"/>
    </w:pPr>
    <w:rPr>
      <w:rFonts w:eastAsiaTheme="minorEastAsia"/>
      <w:lang w:eastAsia="cs-CZ"/>
    </w:rPr>
  </w:style>
  <w:style w:type="paragraph" w:styleId="Obsah5">
    <w:name w:val="toc 5"/>
    <w:basedOn w:val="Normln"/>
    <w:next w:val="Normln"/>
    <w:autoRedefine/>
    <w:uiPriority w:val="39"/>
    <w:unhideWhenUsed/>
    <w:locked/>
    <w:rsid w:val="00222AC8"/>
    <w:pPr>
      <w:spacing w:after="100"/>
      <w:ind w:left="880"/>
    </w:pPr>
    <w:rPr>
      <w:rFonts w:eastAsiaTheme="minorEastAsia"/>
      <w:lang w:eastAsia="cs-CZ"/>
    </w:rPr>
  </w:style>
  <w:style w:type="paragraph" w:styleId="Obsah6">
    <w:name w:val="toc 6"/>
    <w:basedOn w:val="Normln"/>
    <w:next w:val="Normln"/>
    <w:autoRedefine/>
    <w:uiPriority w:val="39"/>
    <w:unhideWhenUsed/>
    <w:locked/>
    <w:rsid w:val="00222AC8"/>
    <w:pPr>
      <w:spacing w:after="100"/>
      <w:ind w:left="1100"/>
    </w:pPr>
    <w:rPr>
      <w:rFonts w:eastAsiaTheme="minorEastAsia"/>
      <w:lang w:eastAsia="cs-CZ"/>
    </w:rPr>
  </w:style>
  <w:style w:type="paragraph" w:styleId="Obsah7">
    <w:name w:val="toc 7"/>
    <w:basedOn w:val="Normln"/>
    <w:next w:val="Normln"/>
    <w:autoRedefine/>
    <w:uiPriority w:val="39"/>
    <w:unhideWhenUsed/>
    <w:locked/>
    <w:rsid w:val="00222AC8"/>
    <w:pPr>
      <w:spacing w:after="100"/>
      <w:ind w:left="1320"/>
    </w:pPr>
    <w:rPr>
      <w:rFonts w:eastAsiaTheme="minorEastAsia"/>
      <w:lang w:eastAsia="cs-CZ"/>
    </w:rPr>
  </w:style>
  <w:style w:type="paragraph" w:styleId="Obsah8">
    <w:name w:val="toc 8"/>
    <w:basedOn w:val="Normln"/>
    <w:next w:val="Normln"/>
    <w:autoRedefine/>
    <w:uiPriority w:val="39"/>
    <w:unhideWhenUsed/>
    <w:locked/>
    <w:rsid w:val="00222AC8"/>
    <w:pPr>
      <w:spacing w:after="100"/>
      <w:ind w:left="1540"/>
    </w:pPr>
    <w:rPr>
      <w:rFonts w:eastAsiaTheme="minorEastAsia"/>
      <w:lang w:eastAsia="cs-CZ"/>
    </w:rPr>
  </w:style>
  <w:style w:type="paragraph" w:styleId="Obsah9">
    <w:name w:val="toc 9"/>
    <w:basedOn w:val="Normln"/>
    <w:next w:val="Normln"/>
    <w:autoRedefine/>
    <w:uiPriority w:val="39"/>
    <w:unhideWhenUsed/>
    <w:locked/>
    <w:rsid w:val="00222AC8"/>
    <w:pPr>
      <w:spacing w:after="100"/>
      <w:ind w:left="1760"/>
    </w:pPr>
    <w:rPr>
      <w:rFonts w:eastAsiaTheme="minorEastAsia"/>
      <w:lang w:eastAsia="cs-CZ"/>
    </w:rPr>
  </w:style>
  <w:style w:type="paragraph" w:styleId="Textpoznpodarou">
    <w:name w:val="footnote text"/>
    <w:basedOn w:val="Normln"/>
    <w:link w:val="TextpoznpodarouChar"/>
    <w:locked/>
    <w:rsid w:val="00222AC8"/>
    <w:pPr>
      <w:spacing w:after="0" w:line="240" w:lineRule="auto"/>
    </w:pPr>
    <w:rPr>
      <w:rFonts w:ascii="Times New Roman" w:eastAsia="Times New Roman" w:hAnsi="Times New Roman" w:cs="Times New Roman"/>
      <w:sz w:val="20"/>
      <w:szCs w:val="20"/>
      <w:lang w:eastAsia="cs-CZ"/>
    </w:rPr>
  </w:style>
  <w:style w:type="character" w:customStyle="1" w:styleId="TextpoznpodarouChar">
    <w:name w:val="Text pozn. pod čarou Char"/>
    <w:basedOn w:val="Standardnpsmoodstavce"/>
    <w:link w:val="Textpoznpodarou"/>
    <w:rsid w:val="00222AC8"/>
    <w:rPr>
      <w:rFonts w:ascii="Times New Roman" w:eastAsia="Times New Roman" w:hAnsi="Times New Roman" w:cs="Times New Roman"/>
      <w:sz w:val="20"/>
      <w:szCs w:val="20"/>
      <w:lang w:eastAsia="cs-CZ"/>
    </w:rPr>
  </w:style>
  <w:style w:type="table" w:customStyle="1" w:styleId="Mkatabulky1">
    <w:name w:val="Mřížka tabulky1"/>
    <w:basedOn w:val="Normlntabulka"/>
    <w:next w:val="Mkatabulky"/>
    <w:locked/>
    <w:rsid w:val="00222AC8"/>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locked/>
    <w:rsid w:val="00222AC8"/>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ktulnseznam1">
    <w:name w:val="Aktuální seznam1"/>
    <w:uiPriority w:val="99"/>
    <w:locked/>
    <w:rsid w:val="006419D3"/>
    <w:pPr>
      <w:numPr>
        <w:numId w:val="27"/>
      </w:numPr>
    </w:pPr>
  </w:style>
  <w:style w:type="numbering" w:customStyle="1" w:styleId="Aktulnseznam2">
    <w:name w:val="Aktuální seznam2"/>
    <w:uiPriority w:val="99"/>
    <w:locked/>
    <w:rsid w:val="004D55BE"/>
    <w:pPr>
      <w:numPr>
        <w:numId w:val="28"/>
      </w:numPr>
    </w:pPr>
  </w:style>
  <w:style w:type="paragraph" w:customStyle="1" w:styleId="komnadp40">
    <w:name w:val="komnadp4"/>
    <w:basedOn w:val="KOMnadp2"/>
    <w:rsid w:val="00B1100A"/>
    <w:pPr>
      <w:tabs>
        <w:tab w:val="num" w:pos="2880"/>
      </w:tabs>
      <w:ind w:left="2880"/>
    </w:pPr>
    <w:rPr>
      <w:sz w:val="24"/>
    </w:rPr>
  </w:style>
  <w:style w:type="paragraph" w:customStyle="1" w:styleId="Styl1">
    <w:name w:val="Styl1"/>
    <w:basedOn w:val="Normln"/>
    <w:qFormat/>
    <w:locked/>
    <w:rsid w:val="00B1100A"/>
    <w:pPr>
      <w:keepLines/>
      <w:spacing w:before="120" w:after="240" w:line="276" w:lineRule="auto"/>
      <w:jc w:val="both"/>
    </w:pPr>
    <w:rPr>
      <w:rFonts w:eastAsia="Times New Roman" w:cs="Times New Roman"/>
      <w:iCs/>
      <w:sz w:val="24"/>
      <w:szCs w:val="24"/>
      <w:lang w:eastAsia="cs-CZ"/>
    </w:rPr>
  </w:style>
  <w:style w:type="paragraph" w:customStyle="1" w:styleId="NADPIS10">
    <w:name w:val="_NADPIS_1"/>
    <w:basedOn w:val="Normln"/>
    <w:qFormat/>
    <w:locked/>
    <w:rsid w:val="00682B49"/>
    <w:pPr>
      <w:numPr>
        <w:numId w:val="29"/>
      </w:numPr>
      <w:spacing w:before="480" w:after="0" w:line="240" w:lineRule="auto"/>
      <w:jc w:val="both"/>
    </w:pPr>
    <w:rPr>
      <w:rFonts w:ascii="Times New Roman" w:eastAsia="Times New Roman" w:hAnsi="Times New Roman" w:cs="Times New Roman"/>
      <w:b/>
      <w:caps/>
      <w:sz w:val="24"/>
      <w:szCs w:val="24"/>
      <w:u w:val="single"/>
      <w:lang w:eastAsia="cs-CZ"/>
    </w:rPr>
  </w:style>
  <w:style w:type="paragraph" w:customStyle="1" w:styleId="NADPIS20">
    <w:name w:val="_NADPIS_2"/>
    <w:basedOn w:val="Normln"/>
    <w:qFormat/>
    <w:locked/>
    <w:rsid w:val="00C26060"/>
    <w:pPr>
      <w:numPr>
        <w:ilvl w:val="1"/>
        <w:numId w:val="29"/>
      </w:numPr>
      <w:spacing w:before="360" w:after="0" w:line="240" w:lineRule="auto"/>
      <w:jc w:val="both"/>
    </w:pPr>
    <w:rPr>
      <w:rFonts w:ascii="Times New Roman" w:eastAsia="Times New Roman" w:hAnsi="Times New Roman" w:cs="Times New Roman"/>
      <w:b/>
      <w:sz w:val="24"/>
      <w:szCs w:val="24"/>
      <w:lang w:eastAsia="cs-CZ"/>
    </w:rPr>
  </w:style>
  <w:style w:type="paragraph" w:customStyle="1" w:styleId="NADPIS30">
    <w:name w:val="_NADPIS_3"/>
    <w:basedOn w:val="Normln"/>
    <w:qFormat/>
    <w:locked/>
    <w:rsid w:val="00C26060"/>
    <w:pPr>
      <w:numPr>
        <w:ilvl w:val="2"/>
        <w:numId w:val="29"/>
      </w:numPr>
      <w:spacing w:before="360" w:after="0" w:line="240" w:lineRule="auto"/>
      <w:jc w:val="both"/>
    </w:pPr>
    <w:rPr>
      <w:rFonts w:ascii="Times New Roman" w:eastAsia="Times New Roman" w:hAnsi="Times New Roman" w:cs="Times New Roman"/>
      <w:b/>
      <w:sz w:val="24"/>
      <w:szCs w:val="24"/>
      <w:lang w:eastAsia="cs-CZ"/>
    </w:rPr>
  </w:style>
  <w:style w:type="character" w:customStyle="1" w:styleId="Nadpis4Char">
    <w:name w:val="Nadpis 4 Char"/>
    <w:basedOn w:val="Standardnpsmoodstavce"/>
    <w:link w:val="Nadpis4"/>
    <w:uiPriority w:val="9"/>
    <w:semiHidden/>
    <w:rsid w:val="007D71AE"/>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semiHidden/>
    <w:rsid w:val="007D71AE"/>
    <w:rPr>
      <w:rFonts w:asciiTheme="majorHAnsi" w:eastAsiaTheme="majorEastAsia" w:hAnsiTheme="majorHAnsi" w:cstheme="majorBidi"/>
      <w:color w:val="2E74B5" w:themeColor="accent1" w:themeShade="BF"/>
    </w:rPr>
  </w:style>
  <w:style w:type="character" w:customStyle="1" w:styleId="Nadpis8Char">
    <w:name w:val="Nadpis 8 Char"/>
    <w:basedOn w:val="Standardnpsmoodstavce"/>
    <w:link w:val="Nadpis8"/>
    <w:uiPriority w:val="9"/>
    <w:semiHidden/>
    <w:rsid w:val="007D71AE"/>
    <w:rPr>
      <w:rFonts w:asciiTheme="majorHAnsi" w:eastAsiaTheme="majorEastAsia" w:hAnsiTheme="majorHAnsi" w:cstheme="majorBidi"/>
      <w:color w:val="272727" w:themeColor="text1" w:themeTint="D8"/>
      <w:sz w:val="21"/>
      <w:szCs w:val="21"/>
    </w:rPr>
  </w:style>
  <w:style w:type="paragraph" w:customStyle="1" w:styleId="ODRKY">
    <w:name w:val="_ODRÁŽKY"/>
    <w:basedOn w:val="Normln"/>
    <w:qFormat/>
    <w:locked/>
    <w:rsid w:val="004D23DC"/>
    <w:pPr>
      <w:numPr>
        <w:numId w:val="30"/>
      </w:numPr>
      <w:spacing w:before="120" w:after="0" w:line="240" w:lineRule="auto"/>
      <w:jc w:val="both"/>
    </w:pPr>
    <w:rPr>
      <w:rFonts w:ascii="Times New Roman" w:eastAsia="Times New Roman" w:hAnsi="Times New Roman" w:cs="Times New Roman"/>
      <w:sz w:val="24"/>
      <w:szCs w:val="24"/>
      <w:lang w:eastAsia="cs-CZ"/>
    </w:rPr>
  </w:style>
  <w:style w:type="paragraph" w:customStyle="1" w:styleId="TEXT">
    <w:name w:val="_TEXT"/>
    <w:basedOn w:val="Normln"/>
    <w:link w:val="TEXTChar"/>
    <w:qFormat/>
    <w:locked/>
    <w:rsid w:val="00CF7CBF"/>
    <w:pPr>
      <w:spacing w:before="120" w:after="0" w:line="240" w:lineRule="auto"/>
      <w:ind w:firstLine="709"/>
      <w:jc w:val="both"/>
    </w:pPr>
    <w:rPr>
      <w:rFonts w:ascii="Times New Roman" w:eastAsia="Times New Roman" w:hAnsi="Times New Roman" w:cs="Times New Roman"/>
      <w:sz w:val="24"/>
      <w:szCs w:val="24"/>
      <w:lang w:eastAsia="cs-CZ"/>
    </w:rPr>
  </w:style>
  <w:style w:type="paragraph" w:customStyle="1" w:styleId="NADPIS40">
    <w:name w:val="_NADPIS_4"/>
    <w:basedOn w:val="Normln"/>
    <w:qFormat/>
    <w:locked/>
    <w:rsid w:val="00CF7CBF"/>
    <w:pPr>
      <w:spacing w:before="240" w:after="0" w:line="240" w:lineRule="auto"/>
      <w:jc w:val="both"/>
    </w:pPr>
    <w:rPr>
      <w:rFonts w:ascii="Times New Roman" w:eastAsia="Times New Roman" w:hAnsi="Times New Roman" w:cs="Times New Roman"/>
      <w:b/>
      <w:sz w:val="24"/>
      <w:szCs w:val="24"/>
      <w:u w:val="single"/>
      <w:lang w:eastAsia="cs-CZ"/>
    </w:rPr>
  </w:style>
  <w:style w:type="character" w:customStyle="1" w:styleId="TEXTChar">
    <w:name w:val="_TEXT Char"/>
    <w:link w:val="TEXT"/>
    <w:locked/>
    <w:rsid w:val="00CF7CBF"/>
    <w:rPr>
      <w:rFonts w:ascii="Times New Roman" w:eastAsia="Times New Roman" w:hAnsi="Times New Roman" w:cs="Times New Roman"/>
      <w:sz w:val="24"/>
      <w:szCs w:val="24"/>
      <w:lang w:eastAsia="cs-CZ"/>
    </w:rPr>
  </w:style>
  <w:style w:type="paragraph" w:customStyle="1" w:styleId="NADPIS50">
    <w:name w:val="_NADPIS_5"/>
    <w:basedOn w:val="Normln"/>
    <w:locked/>
    <w:rsid w:val="00CF7CBF"/>
    <w:pPr>
      <w:spacing w:before="120" w:after="0" w:line="240" w:lineRule="auto"/>
      <w:ind w:left="709"/>
      <w:jc w:val="both"/>
    </w:pPr>
    <w:rPr>
      <w:rFonts w:ascii="Times New Roman" w:eastAsia="Times New Roman" w:hAnsi="Times New Roman" w:cs="Times New Roman"/>
      <w:i/>
      <w:sz w:val="24"/>
      <w:szCs w:val="24"/>
      <w:u w:val="single"/>
      <w:lang w:eastAsia="cs-CZ"/>
    </w:rPr>
  </w:style>
  <w:style w:type="character" w:customStyle="1" w:styleId="KOMNadp1CharChar">
    <w:name w:val="KOMNadp.1 Char Char"/>
    <w:rsid w:val="007E7213"/>
    <w:rPr>
      <w:rFonts w:ascii="Times New Roman" w:eastAsia="Times New Roman" w:hAnsi="Times New Roman" w:cs="Times New Roman"/>
      <w:b/>
      <w:smallCaps/>
      <w:sz w:val="32"/>
      <w:szCs w:val="32"/>
      <w:lang w:eastAsia="cs-CZ"/>
    </w:rPr>
  </w:style>
  <w:style w:type="paragraph" w:customStyle="1" w:styleId="KOMGrafy">
    <w:name w:val="KOMGrafy"/>
    <w:basedOn w:val="Titulek"/>
    <w:link w:val="KOMGrafyChar"/>
    <w:qFormat/>
    <w:rsid w:val="002C0F0D"/>
    <w:rPr>
      <w:rFonts w:asciiTheme="minorHAnsi" w:hAnsiTheme="minorHAnsi"/>
    </w:rPr>
  </w:style>
  <w:style w:type="character" w:customStyle="1" w:styleId="TitulekChar">
    <w:name w:val="Titulek Char"/>
    <w:basedOn w:val="Standardnpsmoodstavce"/>
    <w:link w:val="Titulek"/>
    <w:rsid w:val="008E65DA"/>
    <w:rPr>
      <w:rFonts w:ascii="Times New Roman" w:eastAsia="Times New Roman" w:hAnsi="Times New Roman" w:cs="Times New Roman"/>
      <w:b/>
      <w:sz w:val="24"/>
      <w:szCs w:val="24"/>
      <w:lang w:eastAsia="cs-CZ"/>
    </w:rPr>
  </w:style>
  <w:style w:type="character" w:customStyle="1" w:styleId="KOMGrafyChar">
    <w:name w:val="KOMGrafy Char"/>
    <w:basedOn w:val="TitulekChar"/>
    <w:link w:val="KOMGrafy"/>
    <w:rsid w:val="002C0F0D"/>
    <w:rPr>
      <w:rFonts w:ascii="Times New Roman" w:eastAsia="Times New Roman" w:hAnsi="Times New Roman" w:cs="Times New Roman"/>
      <w:b/>
      <w:sz w:val="24"/>
      <w:szCs w:val="24"/>
      <w:lang w:eastAsia="cs-CZ"/>
    </w:rPr>
  </w:style>
  <w:style w:type="paragraph" w:customStyle="1" w:styleId="StylZa6b">
    <w:name w:val="Styl Za:  6 b."/>
    <w:basedOn w:val="Normln"/>
    <w:next w:val="Normln"/>
    <w:rsid w:val="00943BA9"/>
    <w:pPr>
      <w:spacing w:after="120" w:line="240" w:lineRule="auto"/>
    </w:pPr>
    <w:rPr>
      <w:rFonts w:ascii="Times New Roman" w:eastAsia="Times New Roman" w:hAnsi="Times New Roman" w:cs="Times New Roman"/>
      <w:sz w:val="24"/>
      <w:szCs w:val="20"/>
      <w:lang w:eastAsia="cs-CZ"/>
    </w:rPr>
  </w:style>
  <w:style w:type="paragraph" w:styleId="Zkladntextodsazen">
    <w:name w:val="Body Text Indent"/>
    <w:basedOn w:val="Normln"/>
    <w:link w:val="ZkladntextodsazenChar"/>
    <w:uiPriority w:val="99"/>
    <w:unhideWhenUsed/>
    <w:locked/>
    <w:rsid w:val="001E49DC"/>
    <w:pPr>
      <w:spacing w:after="120"/>
      <w:ind w:left="283"/>
    </w:pPr>
  </w:style>
  <w:style w:type="character" w:customStyle="1" w:styleId="ZkladntextodsazenChar">
    <w:name w:val="Základní text odsazený Char"/>
    <w:basedOn w:val="Standardnpsmoodstavce"/>
    <w:link w:val="Zkladntextodsazen"/>
    <w:uiPriority w:val="99"/>
    <w:rsid w:val="001E49DC"/>
  </w:style>
  <w:style w:type="paragraph" w:styleId="Seznamobrzk">
    <w:name w:val="table of figures"/>
    <w:basedOn w:val="Normln"/>
    <w:next w:val="Normln"/>
    <w:uiPriority w:val="99"/>
    <w:unhideWhenUsed/>
    <w:locked/>
    <w:rsid w:val="00F1008E"/>
    <w:pPr>
      <w:spacing w:after="0"/>
    </w:pPr>
  </w:style>
  <w:style w:type="paragraph" w:styleId="Rejstk1">
    <w:name w:val="index 1"/>
    <w:basedOn w:val="Normln"/>
    <w:next w:val="Normln"/>
    <w:autoRedefine/>
    <w:uiPriority w:val="99"/>
    <w:semiHidden/>
    <w:unhideWhenUsed/>
    <w:locked/>
    <w:rsid w:val="00F1008E"/>
    <w:pPr>
      <w:spacing w:after="0" w:line="240" w:lineRule="auto"/>
      <w:ind w:left="220" w:hanging="220"/>
    </w:pPr>
  </w:style>
  <w:style w:type="paragraph" w:styleId="Hlavikaobsahu">
    <w:name w:val="toa heading"/>
    <w:basedOn w:val="Normln"/>
    <w:next w:val="Normln"/>
    <w:uiPriority w:val="99"/>
    <w:semiHidden/>
    <w:unhideWhenUsed/>
    <w:locked/>
    <w:rsid w:val="00F1008E"/>
    <w:pPr>
      <w:spacing w:before="120"/>
    </w:pPr>
    <w:rPr>
      <w:rFonts w:asciiTheme="majorHAnsi" w:eastAsiaTheme="majorEastAsia" w:hAnsiTheme="majorHAnsi" w:cstheme="majorBidi"/>
      <w:b/>
      <w:bCs/>
      <w:sz w:val="24"/>
      <w:szCs w:val="24"/>
    </w:rPr>
  </w:style>
  <w:style w:type="paragraph" w:customStyle="1" w:styleId="MDSR">
    <w:name w:val="MDS ČR"/>
    <w:basedOn w:val="Normln"/>
    <w:rsid w:val="00F30B65"/>
    <w:pPr>
      <w:suppressAutoHyphens/>
      <w:overflowPunct w:val="0"/>
      <w:autoSpaceDE w:val="0"/>
      <w:autoSpaceDN w:val="0"/>
      <w:adjustRightInd w:val="0"/>
      <w:spacing w:before="120" w:after="0" w:line="240" w:lineRule="auto"/>
      <w:ind w:firstLine="567"/>
      <w:jc w:val="both"/>
      <w:textAlignment w:val="baseline"/>
    </w:pPr>
    <w:rPr>
      <w:rFonts w:ascii="Times New Roman" w:eastAsia="Times New Roman" w:hAnsi="Times New Roman" w:cs="Times New Roman"/>
      <w:sz w:val="24"/>
      <w:szCs w:val="20"/>
      <w:lang w:eastAsia="cs-CZ"/>
    </w:rPr>
  </w:style>
  <w:style w:type="character" w:styleId="Znakapoznpodarou">
    <w:name w:val="footnote reference"/>
    <w:locked/>
    <w:rsid w:val="007522DB"/>
    <w:rPr>
      <w:vertAlign w:val="superscript"/>
    </w:rPr>
  </w:style>
  <w:style w:type="table" w:customStyle="1" w:styleId="Mkatabulky3">
    <w:name w:val="Mřížka tabulky3"/>
    <w:basedOn w:val="Normlntabulka"/>
    <w:next w:val="Mkatabulky"/>
    <w:rsid w:val="00E14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rsid w:val="00E14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5">
    <w:name w:val="Mřížka tabulky5"/>
    <w:basedOn w:val="Normlntabulka"/>
    <w:next w:val="Mkatabulky"/>
    <w:rsid w:val="00E14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6">
    <w:name w:val="Mřížka tabulky6"/>
    <w:basedOn w:val="Normlntabulka"/>
    <w:next w:val="Mkatabulky"/>
    <w:rsid w:val="00E14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7">
    <w:name w:val="Mřížka tabulky7"/>
    <w:basedOn w:val="Normlntabulka"/>
    <w:next w:val="Mkatabulky"/>
    <w:rsid w:val="00E14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8">
    <w:name w:val="Mřížka tabulky8"/>
    <w:basedOn w:val="Normlntabulka"/>
    <w:next w:val="Mkatabulky"/>
    <w:rsid w:val="00E14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2">
    <w:name w:val="Základní text (2)_"/>
    <w:basedOn w:val="Standardnpsmoodstavce"/>
    <w:link w:val="Zkladntext20"/>
    <w:locked/>
    <w:rsid w:val="002A4337"/>
    <w:rPr>
      <w:rFonts w:ascii="Arial" w:eastAsia="Arial" w:hAnsi="Arial" w:cs="Arial"/>
      <w:sz w:val="21"/>
      <w:szCs w:val="21"/>
      <w:shd w:val="clear" w:color="auto" w:fill="FFFFFF"/>
    </w:rPr>
  </w:style>
  <w:style w:type="paragraph" w:customStyle="1" w:styleId="Zkladntext20">
    <w:name w:val="Základní text (2)"/>
    <w:basedOn w:val="Normln"/>
    <w:link w:val="Zkladntext2"/>
    <w:rsid w:val="002A4337"/>
    <w:pPr>
      <w:widowControl w:val="0"/>
      <w:shd w:val="clear" w:color="auto" w:fill="FFFFFF"/>
      <w:spacing w:before="300" w:after="0" w:line="374" w:lineRule="exact"/>
      <w:ind w:hanging="580"/>
    </w:pPr>
    <w:rPr>
      <w:rFonts w:ascii="Arial" w:eastAsia="Arial" w:hAnsi="Arial" w:cs="Arial"/>
      <w:sz w:val="21"/>
      <w:szCs w:val="21"/>
    </w:rPr>
  </w:style>
  <w:style w:type="character" w:customStyle="1" w:styleId="FontStyle15">
    <w:name w:val="Font Style15"/>
    <w:rsid w:val="002A4337"/>
    <w:rPr>
      <w:rFonts w:ascii="Times New Roman" w:hAnsi="Times New Roman" w:cs="Times New Roman" w:hint="default"/>
      <w:sz w:val="22"/>
      <w:szCs w:val="22"/>
    </w:rPr>
  </w:style>
  <w:style w:type="paragraph" w:customStyle="1" w:styleId="Dopisspozdravem">
    <w:name w:val="Dopis s pozdravem"/>
    <w:basedOn w:val="Normln"/>
    <w:rsid w:val="002A4337"/>
    <w:pPr>
      <w:widowControl w:val="0"/>
      <w:spacing w:before="240" w:after="960" w:line="240" w:lineRule="auto"/>
    </w:pPr>
    <w:rPr>
      <w:rFonts w:ascii="Arial" w:eastAsia="Times New Roman" w:hAnsi="Arial" w:cs="Times New Roman"/>
      <w:sz w:val="24"/>
      <w:szCs w:val="20"/>
      <w:lang w:eastAsia="cs-CZ"/>
    </w:rPr>
  </w:style>
  <w:style w:type="paragraph" w:customStyle="1" w:styleId="TITULEK0">
    <w:name w:val="_TITULEK"/>
    <w:basedOn w:val="Normln"/>
    <w:next w:val="Normln"/>
    <w:qFormat/>
    <w:rsid w:val="004465A9"/>
    <w:pPr>
      <w:spacing w:before="240" w:after="60" w:line="240" w:lineRule="auto"/>
    </w:pPr>
    <w:rPr>
      <w:rFonts w:ascii="Times New Roman" w:eastAsia="Times New Roman" w:hAnsi="Times New Roman" w:cs="Times New Roman"/>
      <w:b/>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749183">
      <w:bodyDiv w:val="1"/>
      <w:marLeft w:val="0"/>
      <w:marRight w:val="0"/>
      <w:marTop w:val="0"/>
      <w:marBottom w:val="0"/>
      <w:divBdr>
        <w:top w:val="none" w:sz="0" w:space="0" w:color="auto"/>
        <w:left w:val="none" w:sz="0" w:space="0" w:color="auto"/>
        <w:bottom w:val="none" w:sz="0" w:space="0" w:color="auto"/>
        <w:right w:val="none" w:sz="0" w:space="0" w:color="auto"/>
      </w:divBdr>
    </w:div>
    <w:div w:id="517155920">
      <w:bodyDiv w:val="1"/>
      <w:marLeft w:val="0"/>
      <w:marRight w:val="0"/>
      <w:marTop w:val="0"/>
      <w:marBottom w:val="0"/>
      <w:divBdr>
        <w:top w:val="none" w:sz="0" w:space="0" w:color="auto"/>
        <w:left w:val="none" w:sz="0" w:space="0" w:color="auto"/>
        <w:bottom w:val="none" w:sz="0" w:space="0" w:color="auto"/>
        <w:right w:val="none" w:sz="0" w:space="0" w:color="auto"/>
      </w:divBdr>
      <w:divsChild>
        <w:div w:id="854266478">
          <w:marLeft w:val="547"/>
          <w:marRight w:val="0"/>
          <w:marTop w:val="0"/>
          <w:marBottom w:val="0"/>
          <w:divBdr>
            <w:top w:val="none" w:sz="0" w:space="0" w:color="auto"/>
            <w:left w:val="none" w:sz="0" w:space="0" w:color="auto"/>
            <w:bottom w:val="none" w:sz="0" w:space="0" w:color="auto"/>
            <w:right w:val="none" w:sz="0" w:space="0" w:color="auto"/>
          </w:divBdr>
        </w:div>
      </w:divsChild>
    </w:div>
    <w:div w:id="835531077">
      <w:bodyDiv w:val="1"/>
      <w:marLeft w:val="0"/>
      <w:marRight w:val="0"/>
      <w:marTop w:val="0"/>
      <w:marBottom w:val="0"/>
      <w:divBdr>
        <w:top w:val="none" w:sz="0" w:space="0" w:color="auto"/>
        <w:left w:val="none" w:sz="0" w:space="0" w:color="auto"/>
        <w:bottom w:val="none" w:sz="0" w:space="0" w:color="auto"/>
        <w:right w:val="none" w:sz="0" w:space="0" w:color="auto"/>
      </w:divBdr>
    </w:div>
    <w:div w:id="892235002">
      <w:bodyDiv w:val="1"/>
      <w:marLeft w:val="0"/>
      <w:marRight w:val="0"/>
      <w:marTop w:val="0"/>
      <w:marBottom w:val="0"/>
      <w:divBdr>
        <w:top w:val="none" w:sz="0" w:space="0" w:color="auto"/>
        <w:left w:val="none" w:sz="0" w:space="0" w:color="auto"/>
        <w:bottom w:val="none" w:sz="0" w:space="0" w:color="auto"/>
        <w:right w:val="none" w:sz="0" w:space="0" w:color="auto"/>
      </w:divBdr>
    </w:div>
    <w:div w:id="899513011">
      <w:bodyDiv w:val="1"/>
      <w:marLeft w:val="0"/>
      <w:marRight w:val="0"/>
      <w:marTop w:val="0"/>
      <w:marBottom w:val="0"/>
      <w:divBdr>
        <w:top w:val="none" w:sz="0" w:space="0" w:color="auto"/>
        <w:left w:val="none" w:sz="0" w:space="0" w:color="auto"/>
        <w:bottom w:val="none" w:sz="0" w:space="0" w:color="auto"/>
        <w:right w:val="none" w:sz="0" w:space="0" w:color="auto"/>
      </w:divBdr>
    </w:div>
    <w:div w:id="986013404">
      <w:bodyDiv w:val="1"/>
      <w:marLeft w:val="0"/>
      <w:marRight w:val="0"/>
      <w:marTop w:val="0"/>
      <w:marBottom w:val="0"/>
      <w:divBdr>
        <w:top w:val="none" w:sz="0" w:space="0" w:color="auto"/>
        <w:left w:val="none" w:sz="0" w:space="0" w:color="auto"/>
        <w:bottom w:val="none" w:sz="0" w:space="0" w:color="auto"/>
        <w:right w:val="none" w:sz="0" w:space="0" w:color="auto"/>
      </w:divBdr>
    </w:div>
    <w:div w:id="1470248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microsoft.com/office/2007/relationships/diagramDrawing" Target="diagrams/drawing15.xml"/><Relationship Id="rId21" Type="http://schemas.openxmlformats.org/officeDocument/2006/relationships/diagramData" Target="diagrams/data1.xml"/><Relationship Id="rId42" Type="http://schemas.microsoft.com/office/2007/relationships/diagramDrawing" Target="diagrams/drawing3.xml"/><Relationship Id="rId63" Type="http://schemas.openxmlformats.org/officeDocument/2006/relationships/diagramColors" Target="diagrams/colors7.xml"/><Relationship Id="rId84" Type="http://schemas.openxmlformats.org/officeDocument/2006/relationships/diagramQuickStyle" Target="diagrams/quickStyle11.xml"/><Relationship Id="rId138" Type="http://schemas.openxmlformats.org/officeDocument/2006/relationships/diagramData" Target="diagrams/data19.xml"/><Relationship Id="rId107" Type="http://schemas.openxmlformats.org/officeDocument/2006/relationships/chart" Target="charts/chart24.xml"/><Relationship Id="rId11" Type="http://schemas.openxmlformats.org/officeDocument/2006/relationships/image" Target="media/image1.png"/><Relationship Id="rId32" Type="http://schemas.microsoft.com/office/2007/relationships/diagramDrawing" Target="diagrams/drawing2.xml"/><Relationship Id="rId53" Type="http://schemas.microsoft.com/office/2007/relationships/diagramDrawing" Target="diagrams/drawing5.xml"/><Relationship Id="rId74" Type="http://schemas.openxmlformats.org/officeDocument/2006/relationships/diagramColors" Target="diagrams/colors9.xml"/><Relationship Id="rId128" Type="http://schemas.openxmlformats.org/officeDocument/2006/relationships/diagramData" Target="diagrams/data17.xml"/><Relationship Id="rId149" Type="http://schemas.openxmlformats.org/officeDocument/2006/relationships/fontTable" Target="fontTable.xml"/><Relationship Id="rId5" Type="http://schemas.openxmlformats.org/officeDocument/2006/relationships/numbering" Target="numbering.xml"/><Relationship Id="rId95" Type="http://schemas.openxmlformats.org/officeDocument/2006/relationships/diagramQuickStyle" Target="diagrams/quickStyle13.xml"/><Relationship Id="rId22" Type="http://schemas.openxmlformats.org/officeDocument/2006/relationships/diagramLayout" Target="diagrams/layout1.xml"/><Relationship Id="rId27" Type="http://schemas.openxmlformats.org/officeDocument/2006/relationships/chart" Target="charts/chart9.xml"/><Relationship Id="rId43" Type="http://schemas.openxmlformats.org/officeDocument/2006/relationships/diagramData" Target="diagrams/data4.xml"/><Relationship Id="rId48" Type="http://schemas.openxmlformats.org/officeDocument/2006/relationships/chart" Target="charts/chart15.xml"/><Relationship Id="rId64" Type="http://schemas.microsoft.com/office/2007/relationships/diagramDrawing" Target="diagrams/drawing7.xml"/><Relationship Id="rId69" Type="http://schemas.microsoft.com/office/2007/relationships/diagramDrawing" Target="diagrams/drawing8.xml"/><Relationship Id="rId113" Type="http://schemas.openxmlformats.org/officeDocument/2006/relationships/diagramData" Target="diagrams/data15.xml"/><Relationship Id="rId118" Type="http://schemas.openxmlformats.org/officeDocument/2006/relationships/diagramData" Target="diagrams/data16.xml"/><Relationship Id="rId134" Type="http://schemas.openxmlformats.org/officeDocument/2006/relationships/diagramLayout" Target="diagrams/layout18.xml"/><Relationship Id="rId139" Type="http://schemas.openxmlformats.org/officeDocument/2006/relationships/diagramLayout" Target="diagrams/layout19.xml"/><Relationship Id="rId80" Type="http://schemas.microsoft.com/office/2007/relationships/diagramDrawing" Target="diagrams/drawing10.xml"/><Relationship Id="rId85" Type="http://schemas.openxmlformats.org/officeDocument/2006/relationships/diagramColors" Target="diagrams/colors11.xml"/><Relationship Id="rId150" Type="http://schemas.openxmlformats.org/officeDocument/2006/relationships/theme" Target="theme/theme1.xml"/><Relationship Id="rId12" Type="http://schemas.openxmlformats.org/officeDocument/2006/relationships/image" Target="media/image2.jpeg"/><Relationship Id="rId17" Type="http://schemas.openxmlformats.org/officeDocument/2006/relationships/chart" Target="charts/chart4.xml"/><Relationship Id="rId33" Type="http://schemas.openxmlformats.org/officeDocument/2006/relationships/chart" Target="charts/chart10.xml"/><Relationship Id="rId38" Type="http://schemas.openxmlformats.org/officeDocument/2006/relationships/diagramData" Target="diagrams/data3.xml"/><Relationship Id="rId59" Type="http://schemas.openxmlformats.org/officeDocument/2006/relationships/chart" Target="charts/chart16.xml"/><Relationship Id="rId103" Type="http://schemas.openxmlformats.org/officeDocument/2006/relationships/chart" Target="charts/chart20.xml"/><Relationship Id="rId108" Type="http://schemas.openxmlformats.org/officeDocument/2006/relationships/chart" Target="charts/chart25.xml"/><Relationship Id="rId124" Type="http://schemas.openxmlformats.org/officeDocument/2006/relationships/chart" Target="charts/chart31.xml"/><Relationship Id="rId129" Type="http://schemas.openxmlformats.org/officeDocument/2006/relationships/diagramLayout" Target="diagrams/layout17.xml"/><Relationship Id="rId54" Type="http://schemas.openxmlformats.org/officeDocument/2006/relationships/diagramData" Target="diagrams/data6.xml"/><Relationship Id="rId70" Type="http://schemas.openxmlformats.org/officeDocument/2006/relationships/chart" Target="charts/chart17.xml"/><Relationship Id="rId75" Type="http://schemas.microsoft.com/office/2007/relationships/diagramDrawing" Target="diagrams/drawing9.xml"/><Relationship Id="rId91" Type="http://schemas.microsoft.com/office/2007/relationships/diagramDrawing" Target="diagrams/drawing12.xml"/><Relationship Id="rId96" Type="http://schemas.openxmlformats.org/officeDocument/2006/relationships/diagramColors" Target="diagrams/colors13.xml"/><Relationship Id="rId140" Type="http://schemas.openxmlformats.org/officeDocument/2006/relationships/diagramQuickStyle" Target="diagrams/quickStyle19.xml"/><Relationship Id="rId145" Type="http://schemas.openxmlformats.org/officeDocument/2006/relationships/diagramQuickStyle" Target="diagrams/quickStyle20.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diagramQuickStyle" Target="diagrams/quickStyle1.xml"/><Relationship Id="rId28" Type="http://schemas.openxmlformats.org/officeDocument/2006/relationships/diagramData" Target="diagrams/data2.xml"/><Relationship Id="rId49" Type="http://schemas.openxmlformats.org/officeDocument/2006/relationships/diagramData" Target="diagrams/data5.xml"/><Relationship Id="rId114" Type="http://schemas.openxmlformats.org/officeDocument/2006/relationships/diagramLayout" Target="diagrams/layout15.xml"/><Relationship Id="rId119" Type="http://schemas.openxmlformats.org/officeDocument/2006/relationships/diagramLayout" Target="diagrams/layout16.xml"/><Relationship Id="rId44" Type="http://schemas.openxmlformats.org/officeDocument/2006/relationships/diagramLayout" Target="diagrams/layout4.xml"/><Relationship Id="rId60" Type="http://schemas.openxmlformats.org/officeDocument/2006/relationships/diagramData" Target="diagrams/data7.xml"/><Relationship Id="rId65" Type="http://schemas.openxmlformats.org/officeDocument/2006/relationships/diagramData" Target="diagrams/data8.xml"/><Relationship Id="rId81" Type="http://schemas.openxmlformats.org/officeDocument/2006/relationships/chart" Target="charts/chart18.xml"/><Relationship Id="rId86" Type="http://schemas.microsoft.com/office/2007/relationships/diagramDrawing" Target="diagrams/drawing11.xml"/><Relationship Id="rId130" Type="http://schemas.openxmlformats.org/officeDocument/2006/relationships/diagramQuickStyle" Target="diagrams/quickStyle17.xml"/><Relationship Id="rId135" Type="http://schemas.openxmlformats.org/officeDocument/2006/relationships/diagramQuickStyle" Target="diagrams/quickStyle18.xml"/><Relationship Id="rId13" Type="http://schemas.openxmlformats.org/officeDocument/2006/relationships/footer" Target="footer1.xml"/><Relationship Id="rId18" Type="http://schemas.openxmlformats.org/officeDocument/2006/relationships/chart" Target="charts/chart5.xml"/><Relationship Id="rId39" Type="http://schemas.openxmlformats.org/officeDocument/2006/relationships/diagramLayout" Target="diagrams/layout3.xml"/><Relationship Id="rId109" Type="http://schemas.openxmlformats.org/officeDocument/2006/relationships/chart" Target="charts/chart26.xml"/><Relationship Id="rId34" Type="http://schemas.openxmlformats.org/officeDocument/2006/relationships/chart" Target="charts/chart11.xml"/><Relationship Id="rId50" Type="http://schemas.openxmlformats.org/officeDocument/2006/relationships/diagramLayout" Target="diagrams/layout5.xml"/><Relationship Id="rId55" Type="http://schemas.openxmlformats.org/officeDocument/2006/relationships/diagramLayout" Target="diagrams/layout6.xml"/><Relationship Id="rId76" Type="http://schemas.openxmlformats.org/officeDocument/2006/relationships/diagramData" Target="diagrams/data10.xml"/><Relationship Id="rId97" Type="http://schemas.microsoft.com/office/2007/relationships/diagramDrawing" Target="diagrams/drawing13.xml"/><Relationship Id="rId104" Type="http://schemas.openxmlformats.org/officeDocument/2006/relationships/chart" Target="charts/chart21.xml"/><Relationship Id="rId120" Type="http://schemas.openxmlformats.org/officeDocument/2006/relationships/diagramQuickStyle" Target="diagrams/quickStyle16.xml"/><Relationship Id="rId125" Type="http://schemas.openxmlformats.org/officeDocument/2006/relationships/chart" Target="charts/chart32.xml"/><Relationship Id="rId141" Type="http://schemas.openxmlformats.org/officeDocument/2006/relationships/diagramColors" Target="diagrams/colors19.xml"/><Relationship Id="rId146" Type="http://schemas.openxmlformats.org/officeDocument/2006/relationships/diagramColors" Target="diagrams/colors20.xml"/><Relationship Id="rId7" Type="http://schemas.openxmlformats.org/officeDocument/2006/relationships/settings" Target="settings.xml"/><Relationship Id="rId71" Type="http://schemas.openxmlformats.org/officeDocument/2006/relationships/diagramData" Target="diagrams/data9.xml"/><Relationship Id="rId92" Type="http://schemas.openxmlformats.org/officeDocument/2006/relationships/chart" Target="charts/chart19.xml"/><Relationship Id="rId2" Type="http://schemas.openxmlformats.org/officeDocument/2006/relationships/customXml" Target="../customXml/item2.xml"/><Relationship Id="rId29" Type="http://schemas.openxmlformats.org/officeDocument/2006/relationships/diagramLayout" Target="diagrams/layout2.xml"/><Relationship Id="rId24" Type="http://schemas.openxmlformats.org/officeDocument/2006/relationships/diagramColors" Target="diagrams/colors1.xml"/><Relationship Id="rId40" Type="http://schemas.openxmlformats.org/officeDocument/2006/relationships/diagramQuickStyle" Target="diagrams/quickStyle3.xml"/><Relationship Id="rId45" Type="http://schemas.openxmlformats.org/officeDocument/2006/relationships/diagramQuickStyle" Target="diagrams/quickStyle4.xml"/><Relationship Id="rId66" Type="http://schemas.openxmlformats.org/officeDocument/2006/relationships/diagramLayout" Target="diagrams/layout8.xml"/><Relationship Id="rId87" Type="http://schemas.openxmlformats.org/officeDocument/2006/relationships/diagramData" Target="diagrams/data12.xml"/><Relationship Id="rId110" Type="http://schemas.openxmlformats.org/officeDocument/2006/relationships/chart" Target="charts/chart27.xml"/><Relationship Id="rId115" Type="http://schemas.openxmlformats.org/officeDocument/2006/relationships/diagramQuickStyle" Target="diagrams/quickStyle15.xml"/><Relationship Id="rId131" Type="http://schemas.openxmlformats.org/officeDocument/2006/relationships/diagramColors" Target="diagrams/colors17.xml"/><Relationship Id="rId136" Type="http://schemas.openxmlformats.org/officeDocument/2006/relationships/diagramColors" Target="diagrams/colors18.xml"/><Relationship Id="rId61" Type="http://schemas.openxmlformats.org/officeDocument/2006/relationships/diagramLayout" Target="diagrams/layout7.xml"/><Relationship Id="rId82" Type="http://schemas.openxmlformats.org/officeDocument/2006/relationships/diagramData" Target="diagrams/data11.xml"/><Relationship Id="rId19" Type="http://schemas.openxmlformats.org/officeDocument/2006/relationships/chart" Target="charts/chart6.xml"/><Relationship Id="rId14" Type="http://schemas.openxmlformats.org/officeDocument/2006/relationships/chart" Target="charts/chart1.xml"/><Relationship Id="rId30" Type="http://schemas.openxmlformats.org/officeDocument/2006/relationships/diagramQuickStyle" Target="diagrams/quickStyle2.xml"/><Relationship Id="rId35" Type="http://schemas.openxmlformats.org/officeDocument/2006/relationships/chart" Target="charts/chart12.xml"/><Relationship Id="rId56" Type="http://schemas.openxmlformats.org/officeDocument/2006/relationships/diagramQuickStyle" Target="diagrams/quickStyle6.xml"/><Relationship Id="rId77" Type="http://schemas.openxmlformats.org/officeDocument/2006/relationships/diagramLayout" Target="diagrams/layout10.xml"/><Relationship Id="rId100" Type="http://schemas.openxmlformats.org/officeDocument/2006/relationships/diagramQuickStyle" Target="diagrams/quickStyle14.xml"/><Relationship Id="rId105" Type="http://schemas.openxmlformats.org/officeDocument/2006/relationships/chart" Target="charts/chart22.xml"/><Relationship Id="rId126" Type="http://schemas.openxmlformats.org/officeDocument/2006/relationships/chart" Target="charts/chart33.xml"/><Relationship Id="rId147" Type="http://schemas.microsoft.com/office/2007/relationships/diagramDrawing" Target="diagrams/drawing20.xml"/><Relationship Id="rId8" Type="http://schemas.openxmlformats.org/officeDocument/2006/relationships/webSettings" Target="webSettings.xml"/><Relationship Id="rId51" Type="http://schemas.openxmlformats.org/officeDocument/2006/relationships/diagramQuickStyle" Target="diagrams/quickStyle5.xml"/><Relationship Id="rId72" Type="http://schemas.openxmlformats.org/officeDocument/2006/relationships/diagramLayout" Target="diagrams/layout9.xml"/><Relationship Id="rId93" Type="http://schemas.openxmlformats.org/officeDocument/2006/relationships/diagramData" Target="diagrams/data13.xml"/><Relationship Id="rId98" Type="http://schemas.openxmlformats.org/officeDocument/2006/relationships/diagramData" Target="diagrams/data14.xml"/><Relationship Id="rId121" Type="http://schemas.openxmlformats.org/officeDocument/2006/relationships/diagramColors" Target="diagrams/colors16.xml"/><Relationship Id="rId142" Type="http://schemas.microsoft.com/office/2007/relationships/diagramDrawing" Target="diagrams/drawing19.xml"/><Relationship Id="rId3" Type="http://schemas.openxmlformats.org/officeDocument/2006/relationships/customXml" Target="../customXml/item3.xml"/><Relationship Id="rId25" Type="http://schemas.microsoft.com/office/2007/relationships/diagramDrawing" Target="diagrams/drawing1.xml"/><Relationship Id="rId46" Type="http://schemas.openxmlformats.org/officeDocument/2006/relationships/diagramColors" Target="diagrams/colors4.xml"/><Relationship Id="rId67" Type="http://schemas.openxmlformats.org/officeDocument/2006/relationships/diagramQuickStyle" Target="diagrams/quickStyle8.xml"/><Relationship Id="rId116" Type="http://schemas.openxmlformats.org/officeDocument/2006/relationships/diagramColors" Target="diagrams/colors15.xml"/><Relationship Id="rId137" Type="http://schemas.microsoft.com/office/2007/relationships/diagramDrawing" Target="diagrams/drawing18.xml"/><Relationship Id="rId20" Type="http://schemas.openxmlformats.org/officeDocument/2006/relationships/chart" Target="charts/chart7.xml"/><Relationship Id="rId41" Type="http://schemas.openxmlformats.org/officeDocument/2006/relationships/diagramColors" Target="diagrams/colors3.xml"/><Relationship Id="rId62" Type="http://schemas.openxmlformats.org/officeDocument/2006/relationships/diagramQuickStyle" Target="diagrams/quickStyle7.xml"/><Relationship Id="rId83" Type="http://schemas.openxmlformats.org/officeDocument/2006/relationships/diagramLayout" Target="diagrams/layout11.xml"/><Relationship Id="rId88" Type="http://schemas.openxmlformats.org/officeDocument/2006/relationships/diagramLayout" Target="diagrams/layout12.xml"/><Relationship Id="rId111" Type="http://schemas.openxmlformats.org/officeDocument/2006/relationships/chart" Target="charts/chart28.xml"/><Relationship Id="rId132" Type="http://schemas.microsoft.com/office/2007/relationships/diagramDrawing" Target="diagrams/drawing17.xml"/><Relationship Id="rId15" Type="http://schemas.openxmlformats.org/officeDocument/2006/relationships/chart" Target="charts/chart2.xml"/><Relationship Id="rId36" Type="http://schemas.openxmlformats.org/officeDocument/2006/relationships/chart" Target="charts/chart13.xml"/><Relationship Id="rId57" Type="http://schemas.openxmlformats.org/officeDocument/2006/relationships/diagramColors" Target="diagrams/colors6.xml"/><Relationship Id="rId106" Type="http://schemas.openxmlformats.org/officeDocument/2006/relationships/chart" Target="charts/chart23.xml"/><Relationship Id="rId127" Type="http://schemas.openxmlformats.org/officeDocument/2006/relationships/chart" Target="charts/chart34.xml"/><Relationship Id="rId10" Type="http://schemas.openxmlformats.org/officeDocument/2006/relationships/endnotes" Target="endnotes.xml"/><Relationship Id="rId31" Type="http://schemas.openxmlformats.org/officeDocument/2006/relationships/diagramColors" Target="diagrams/colors2.xml"/><Relationship Id="rId52" Type="http://schemas.openxmlformats.org/officeDocument/2006/relationships/diagramColors" Target="diagrams/colors5.xml"/><Relationship Id="rId73" Type="http://schemas.openxmlformats.org/officeDocument/2006/relationships/diagramQuickStyle" Target="diagrams/quickStyle9.xml"/><Relationship Id="rId78" Type="http://schemas.openxmlformats.org/officeDocument/2006/relationships/diagramQuickStyle" Target="diagrams/quickStyle10.xml"/><Relationship Id="rId94" Type="http://schemas.openxmlformats.org/officeDocument/2006/relationships/diagramLayout" Target="diagrams/layout13.xml"/><Relationship Id="rId99" Type="http://schemas.openxmlformats.org/officeDocument/2006/relationships/diagramLayout" Target="diagrams/layout14.xml"/><Relationship Id="rId101" Type="http://schemas.openxmlformats.org/officeDocument/2006/relationships/diagramColors" Target="diagrams/colors14.xml"/><Relationship Id="rId122" Type="http://schemas.microsoft.com/office/2007/relationships/diagramDrawing" Target="diagrams/drawing16.xml"/><Relationship Id="rId143" Type="http://schemas.openxmlformats.org/officeDocument/2006/relationships/diagramData" Target="diagrams/data20.xml"/><Relationship Id="rId148"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chart" Target="charts/chart8.xml"/><Relationship Id="rId47" Type="http://schemas.microsoft.com/office/2007/relationships/diagramDrawing" Target="diagrams/drawing4.xml"/><Relationship Id="rId68" Type="http://schemas.openxmlformats.org/officeDocument/2006/relationships/diagramColors" Target="diagrams/colors8.xml"/><Relationship Id="rId89" Type="http://schemas.openxmlformats.org/officeDocument/2006/relationships/diagramQuickStyle" Target="diagrams/quickStyle12.xml"/><Relationship Id="rId112" Type="http://schemas.openxmlformats.org/officeDocument/2006/relationships/chart" Target="charts/chart29.xml"/><Relationship Id="rId133" Type="http://schemas.openxmlformats.org/officeDocument/2006/relationships/diagramData" Target="diagrams/data18.xml"/><Relationship Id="rId16" Type="http://schemas.openxmlformats.org/officeDocument/2006/relationships/chart" Target="charts/chart3.xml"/><Relationship Id="rId37" Type="http://schemas.openxmlformats.org/officeDocument/2006/relationships/chart" Target="charts/chart14.xml"/><Relationship Id="rId58" Type="http://schemas.microsoft.com/office/2007/relationships/diagramDrawing" Target="diagrams/drawing6.xml"/><Relationship Id="rId79" Type="http://schemas.openxmlformats.org/officeDocument/2006/relationships/diagramColors" Target="diagrams/colors10.xml"/><Relationship Id="rId102" Type="http://schemas.microsoft.com/office/2007/relationships/diagramDrawing" Target="diagrams/drawing14.xml"/><Relationship Id="rId123" Type="http://schemas.openxmlformats.org/officeDocument/2006/relationships/chart" Target="charts/chart30.xml"/><Relationship Id="rId144" Type="http://schemas.openxmlformats.org/officeDocument/2006/relationships/diagramLayout" Target="diagrams/layout20.xml"/><Relationship Id="rId90" Type="http://schemas.openxmlformats.org/officeDocument/2006/relationships/diagramColors" Target="diagrams/colors12.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2.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13.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14.xlsx"/></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5.xlsx"/></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16.xlsx"/></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17.xlsx"/></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package" Target="../embeddings/Microsoft_Excel_Worksheet18.xlsx"/></Relationships>
</file>

<file path=word/charts/_rels/chart20.xml.rels><?xml version="1.0" encoding="UTF-8" standalone="yes"?>
<Relationships xmlns="http://schemas.openxmlformats.org/package/2006/relationships"><Relationship Id="rId3" Type="http://schemas.openxmlformats.org/officeDocument/2006/relationships/package" Target="../embeddings/Microsoft_Excel_Worksheet19.xlsx"/><Relationship Id="rId2" Type="http://schemas.microsoft.com/office/2011/relationships/chartColorStyle" Target="colors19.xml"/><Relationship Id="rId1" Type="http://schemas.microsoft.com/office/2011/relationships/chartStyle" Target="style19.xml"/></Relationships>
</file>

<file path=word/charts/_rels/chart21.xml.rels><?xml version="1.0" encoding="UTF-8" standalone="yes"?>
<Relationships xmlns="http://schemas.openxmlformats.org/package/2006/relationships"><Relationship Id="rId3" Type="http://schemas.openxmlformats.org/officeDocument/2006/relationships/package" Target="../embeddings/Microsoft_Excel_Worksheet20.xlsx"/><Relationship Id="rId2" Type="http://schemas.microsoft.com/office/2011/relationships/chartColorStyle" Target="colors20.xml"/><Relationship Id="rId1" Type="http://schemas.microsoft.com/office/2011/relationships/chartStyle" Target="style20.xml"/></Relationships>
</file>

<file path=word/charts/_rels/chart22.xml.rels><?xml version="1.0" encoding="UTF-8" standalone="yes"?>
<Relationships xmlns="http://schemas.openxmlformats.org/package/2006/relationships"><Relationship Id="rId3" Type="http://schemas.openxmlformats.org/officeDocument/2006/relationships/package" Target="../embeddings/Microsoft_Excel_Worksheet21.xlsx"/><Relationship Id="rId2" Type="http://schemas.microsoft.com/office/2011/relationships/chartColorStyle" Target="colors21.xml"/><Relationship Id="rId1" Type="http://schemas.microsoft.com/office/2011/relationships/chartStyle" Target="style21.xml"/></Relationships>
</file>

<file path=word/charts/_rels/chart23.xml.rels><?xml version="1.0" encoding="UTF-8" standalone="yes"?>
<Relationships xmlns="http://schemas.openxmlformats.org/package/2006/relationships"><Relationship Id="rId3" Type="http://schemas.openxmlformats.org/officeDocument/2006/relationships/package" Target="../embeddings/Microsoft_Excel_Worksheet22.xlsx"/><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package" Target="../embeddings/Microsoft_Excel_Worksheet23.xlsx"/><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3" Type="http://schemas.openxmlformats.org/officeDocument/2006/relationships/package" Target="../embeddings/Microsoft_Excel_Worksheet24.xlsx"/><Relationship Id="rId2" Type="http://schemas.microsoft.com/office/2011/relationships/chartColorStyle" Target="colors24.xml"/><Relationship Id="rId1" Type="http://schemas.microsoft.com/office/2011/relationships/chartStyle" Target="style24.xml"/></Relationships>
</file>

<file path=word/charts/_rels/chart26.xml.rels><?xml version="1.0" encoding="UTF-8" standalone="yes"?>
<Relationships xmlns="http://schemas.openxmlformats.org/package/2006/relationships"><Relationship Id="rId3" Type="http://schemas.openxmlformats.org/officeDocument/2006/relationships/package" Target="../embeddings/Microsoft_Excel_Worksheet25.xlsx"/><Relationship Id="rId2" Type="http://schemas.microsoft.com/office/2011/relationships/chartColorStyle" Target="colors25.xml"/><Relationship Id="rId1" Type="http://schemas.microsoft.com/office/2011/relationships/chartStyle" Target="style25.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11.xml"/></Relationships>
</file>

<file path=word/charts/_rels/chart28.xml.rels><?xml version="1.0" encoding="UTF-8" standalone="yes"?>
<Relationships xmlns="http://schemas.openxmlformats.org/package/2006/relationships"><Relationship Id="rId3" Type="http://schemas.openxmlformats.org/officeDocument/2006/relationships/package" Target="../embeddings/Microsoft_Excel_Worksheet27.xlsx"/><Relationship Id="rId2" Type="http://schemas.microsoft.com/office/2011/relationships/chartColorStyle" Target="colors26.xml"/><Relationship Id="rId1" Type="http://schemas.microsoft.com/office/2011/relationships/chartStyle" Target="style26.xml"/></Relationships>
</file>

<file path=word/charts/_rels/chart29.xml.rels><?xml version="1.0" encoding="UTF-8" standalone="yes"?>
<Relationships xmlns="http://schemas.openxmlformats.org/package/2006/relationships"><Relationship Id="rId3" Type="http://schemas.openxmlformats.org/officeDocument/2006/relationships/package" Target="../embeddings/Microsoft_Excel_Worksheet28.xlsx"/><Relationship Id="rId2" Type="http://schemas.microsoft.com/office/2011/relationships/chartColorStyle" Target="colors27.xml"/><Relationship Id="rId1" Type="http://schemas.microsoft.com/office/2011/relationships/chartStyle" Target="style27.xml"/></Relationships>
</file>

<file path=word/charts/_rels/chart30.xml.rels><?xml version="1.0" encoding="UTF-8" standalone="yes"?>
<Relationships xmlns="http://schemas.openxmlformats.org/package/2006/relationships"><Relationship Id="rId3" Type="http://schemas.openxmlformats.org/officeDocument/2006/relationships/package" Target="../embeddings/Microsoft_Excel_Worksheet29.xlsx"/><Relationship Id="rId2" Type="http://schemas.microsoft.com/office/2011/relationships/chartColorStyle" Target="colors28.xml"/><Relationship Id="rId1" Type="http://schemas.microsoft.com/office/2011/relationships/chartStyle" Target="style28.xml"/></Relationships>
</file>

<file path=word/charts/_rels/chart31.xml.rels><?xml version="1.0" encoding="UTF-8" standalone="yes"?>
<Relationships xmlns="http://schemas.openxmlformats.org/package/2006/relationships"><Relationship Id="rId3" Type="http://schemas.openxmlformats.org/officeDocument/2006/relationships/package" Target="../embeddings/Microsoft_Excel_Worksheet30.xlsx"/><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chartUserShapes" Target="../drawings/drawing2.xml"/></Relationships>
</file>

<file path=word/charts/_rels/chart32.xml.rels><?xml version="1.0" encoding="UTF-8" standalone="yes"?>
<Relationships xmlns="http://schemas.openxmlformats.org/package/2006/relationships"><Relationship Id="rId3" Type="http://schemas.openxmlformats.org/officeDocument/2006/relationships/package" Target="../embeddings/Microsoft_Excel_Worksheet31.xlsx"/><Relationship Id="rId2" Type="http://schemas.microsoft.com/office/2011/relationships/chartColorStyle" Target="colors30.xml"/><Relationship Id="rId1" Type="http://schemas.microsoft.com/office/2011/relationships/chartStyle" Target="style30.xml"/></Relationships>
</file>

<file path=word/charts/_rels/chart33.xml.rels><?xml version="1.0" encoding="UTF-8" standalone="yes"?>
<Relationships xmlns="http://schemas.openxmlformats.org/package/2006/relationships"><Relationship Id="rId3" Type="http://schemas.openxmlformats.org/officeDocument/2006/relationships/package" Target="../embeddings/Microsoft_Excel_Worksheet32.xlsx"/><Relationship Id="rId2" Type="http://schemas.microsoft.com/office/2011/relationships/chartColorStyle" Target="colors31.xml"/><Relationship Id="rId1" Type="http://schemas.microsoft.com/office/2011/relationships/chartStyle" Target="style31.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1337729703218381"/>
          <c:y val="3.2175123542720618E-3"/>
          <c:w val="0.37856068572044843"/>
          <c:h val="0.99678248764572797"/>
        </c:manualLayout>
      </c:layout>
      <c:doughnutChart>
        <c:varyColors val="1"/>
        <c:ser>
          <c:idx val="0"/>
          <c:order val="0"/>
          <c:tx>
            <c:strRef>
              <c:f>Sheet1!$A$2</c:f>
              <c:strCache>
                <c:ptCount val="1"/>
                <c:pt idx="0">
                  <c:v>Výdaje</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553-4173-8123-78CCDBFD41C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553-4173-8123-78CCDBFD41C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553-4173-8123-78CCDBFD41CB}"/>
              </c:ext>
            </c:extLst>
          </c:dPt>
          <c:dLbls>
            <c:dLbl>
              <c:idx val="0"/>
              <c:layout>
                <c:manualLayout>
                  <c:x val="0.11210221098423438"/>
                  <c:y val="6.8643144420745913E-2"/>
                </c:manualLayout>
              </c:layout>
              <c:tx>
                <c:rich>
                  <a:bodyPr/>
                  <a:lstStyle/>
                  <a:p>
                    <a:fld id="{82F6F692-05A1-46C3-AD31-20915081D1BD}" type="CATEGORYNAME">
                      <a:rPr lang="en-US" b="0"/>
                      <a:pPr/>
                      <a:t>[NÁZEV KATEGORIE]</a:t>
                    </a:fld>
                    <a:r>
                      <a:rPr lang="en-US" b="0" baseline="0"/>
                      <a:t>
</a:t>
                    </a:r>
                    <a:fld id="{1B92A46D-E898-4BE0-A28C-49DD56B9CC28}" type="PERCENTAGE">
                      <a:rPr lang="en-US" b="0" baseline="0"/>
                      <a:pPr/>
                      <a:t>[PROCENTO]</a:t>
                    </a:fld>
                    <a:endParaRPr lang="en-US" b="0" baseline="0"/>
                  </a:p>
                </c:rich>
              </c:tx>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B553-4173-8123-78CCDBFD41CB}"/>
                </c:ext>
              </c:extLst>
            </c:dLbl>
            <c:dLbl>
              <c:idx val="1"/>
              <c:layout>
                <c:manualLayout>
                  <c:x val="-0.16017451945667974"/>
                  <c:y val="-0.2665621357971750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553-4173-8123-78CCDBFD41CB}"/>
                </c:ext>
              </c:extLst>
            </c:dLbl>
            <c:dLbl>
              <c:idx val="2"/>
              <c:delete val="1"/>
              <c:extLst>
                <c:ext xmlns:c15="http://schemas.microsoft.com/office/drawing/2012/chart" uri="{CE6537A1-D6FC-4f65-9D91-7224C49458BB}"/>
                <c:ext xmlns:c16="http://schemas.microsoft.com/office/drawing/2014/chart" uri="{C3380CC4-5D6E-409C-BE32-E72D297353CC}">
                  <c16:uniqueId val="{00000005-B553-4173-8123-78CCDBFD41CB}"/>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1"/>
            <c:showSerName val="0"/>
            <c:showPercent val="1"/>
            <c:showBubbleSize val="0"/>
            <c:showLeaderLines val="0"/>
            <c:extLst>
              <c:ext xmlns:c15="http://schemas.microsoft.com/office/drawing/2012/chart" uri="{CE6537A1-D6FC-4f65-9D91-7224C49458BB}"/>
            </c:extLst>
          </c:dLbls>
          <c:cat>
            <c:strRef>
              <c:f>Sheet1!$B$1:$D$1</c:f>
              <c:strCache>
                <c:ptCount val="2"/>
                <c:pt idx="0">
                  <c:v>Běžné výdaje</c:v>
                </c:pt>
                <c:pt idx="1">
                  <c:v>Kapitálové výdaje</c:v>
                </c:pt>
              </c:strCache>
            </c:strRef>
          </c:cat>
          <c:val>
            <c:numRef>
              <c:f>Sheet1!$B$2:$D$2</c:f>
              <c:numCache>
                <c:formatCode>#,##0</c:formatCode>
                <c:ptCount val="3"/>
                <c:pt idx="0">
                  <c:v>40044596</c:v>
                </c:pt>
                <c:pt idx="1">
                  <c:v>71292552</c:v>
                </c:pt>
              </c:numCache>
            </c:numRef>
          </c:val>
          <c:extLst>
            <c:ext xmlns:c16="http://schemas.microsoft.com/office/drawing/2014/chart" uri="{C3380CC4-5D6E-409C-BE32-E72D297353CC}">
              <c16:uniqueId val="{00000006-B553-4173-8123-78CCDBFD41CB}"/>
            </c:ext>
          </c:extLst>
        </c:ser>
        <c:dLbls>
          <c:showLegendKey val="0"/>
          <c:showVal val="0"/>
          <c:showCatName val="0"/>
          <c:showSerName val="0"/>
          <c:showPercent val="1"/>
          <c:showBubbleSize val="0"/>
          <c:showLeaderLines val="0"/>
        </c:dLbls>
        <c:firstSliceAng val="0"/>
        <c:holeSize val="85"/>
      </c:doughnut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List1!$B$1</c:f>
              <c:strCache>
                <c:ptCount val="1"/>
                <c:pt idx="0">
                  <c:v>skutečnost</c:v>
                </c:pt>
              </c:strCache>
            </c:strRef>
          </c:tx>
          <c:spPr>
            <a:solidFill>
              <a:schemeClr val="accent1"/>
            </a:solidFill>
            <a:ln>
              <a:noFill/>
            </a:ln>
            <a:effectLst/>
          </c:spPr>
          <c:invertIfNegative val="0"/>
          <c:dLbls>
            <c:dLbl>
              <c:idx val="0"/>
              <c:layout>
                <c:manualLayout>
                  <c:x val="0"/>
                  <c:y val="1.581364829396321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665-4FCB-ABF8-64BCF0B94575}"/>
                </c:ext>
              </c:extLst>
            </c:dLbl>
            <c:dLbl>
              <c:idx val="1"/>
              <c:layout>
                <c:manualLayout>
                  <c:x val="-8.4875562720133283E-17"/>
                  <c:y val="1.581364829396325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665-4FCB-ABF8-64BCF0B94575}"/>
                </c:ext>
              </c:extLst>
            </c:dLbl>
            <c:dLbl>
              <c:idx val="2"/>
              <c:layout>
                <c:manualLayout>
                  <c:x val="0"/>
                  <c:y val="-4.431102362204739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665-4FCB-ABF8-64BCF0B9457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List1!$A$2:$A$4</c:f>
              <c:strCache>
                <c:ptCount val="3"/>
                <c:pt idx="0">
                  <c:v>daňové příjmy</c:v>
                </c:pt>
                <c:pt idx="1">
                  <c:v>nedaňové příjmy</c:v>
                </c:pt>
                <c:pt idx="2">
                  <c:v>kapitálové příjmy</c:v>
                </c:pt>
              </c:strCache>
            </c:strRef>
          </c:cat>
          <c:val>
            <c:numRef>
              <c:f>List1!$B$2:$B$4</c:f>
              <c:numCache>
                <c:formatCode>#,##0</c:formatCode>
                <c:ptCount val="3"/>
                <c:pt idx="0">
                  <c:v>235601</c:v>
                </c:pt>
                <c:pt idx="1">
                  <c:v>197422</c:v>
                </c:pt>
                <c:pt idx="2">
                  <c:v>65</c:v>
                </c:pt>
              </c:numCache>
            </c:numRef>
          </c:val>
          <c:extLst>
            <c:ext xmlns:c16="http://schemas.microsoft.com/office/drawing/2014/chart" uri="{C3380CC4-5D6E-409C-BE32-E72D297353CC}">
              <c16:uniqueId val="{00000003-4665-4FCB-ABF8-64BCF0B94575}"/>
            </c:ext>
          </c:extLst>
        </c:ser>
        <c:dLbls>
          <c:dLblPos val="inEnd"/>
          <c:showLegendKey val="0"/>
          <c:showVal val="1"/>
          <c:showCatName val="0"/>
          <c:showSerName val="0"/>
          <c:showPercent val="0"/>
          <c:showBubbleSize val="0"/>
        </c:dLbls>
        <c:gapWidth val="247"/>
        <c:overlap val="-27"/>
        <c:axId val="657630864"/>
        <c:axId val="657634800"/>
      </c:barChart>
      <c:lineChart>
        <c:grouping val="standard"/>
        <c:varyColors val="0"/>
        <c:ser>
          <c:idx val="1"/>
          <c:order val="1"/>
          <c:tx>
            <c:strRef>
              <c:f>List1!$C$1</c:f>
              <c:strCache>
                <c:ptCount val="1"/>
                <c:pt idx="0">
                  <c:v>rozpočet</c:v>
                </c:pt>
              </c:strCache>
            </c:strRef>
          </c:tx>
          <c:spPr>
            <a:ln w="22225" cap="rnd">
              <a:solidFill>
                <a:schemeClr val="accent2"/>
              </a:solidFill>
              <a:round/>
            </a:ln>
            <a:effectLst/>
          </c:spPr>
          <c:marker>
            <c:symbol val="circle"/>
            <c:size val="6"/>
            <c:spPr>
              <a:solidFill>
                <a:schemeClr val="lt1"/>
              </a:solidFill>
              <a:ln w="15875">
                <a:solidFill>
                  <a:schemeClr val="accent2"/>
                </a:solidFill>
                <a:round/>
              </a:ln>
              <a:effectLst/>
            </c:spPr>
          </c:marker>
          <c:dPt>
            <c:idx val="1"/>
            <c:marker>
              <c:symbol val="circle"/>
              <c:size val="6"/>
              <c:spPr>
                <a:solidFill>
                  <a:schemeClr val="lt1"/>
                </a:solidFill>
                <a:ln w="15875">
                  <a:solidFill>
                    <a:schemeClr val="accent2"/>
                  </a:solidFill>
                  <a:round/>
                </a:ln>
                <a:effectLst/>
              </c:spPr>
            </c:marker>
            <c:bubble3D val="0"/>
            <c:extLst>
              <c:ext xmlns:c16="http://schemas.microsoft.com/office/drawing/2014/chart" uri="{C3380CC4-5D6E-409C-BE32-E72D297353CC}">
                <c16:uniqueId val="{00000004-4665-4FCB-ABF8-64BCF0B94575}"/>
              </c:ext>
            </c:extLst>
          </c:dPt>
          <c:dLbls>
            <c:dLbl>
              <c:idx val="0"/>
              <c:layout>
                <c:manualLayout>
                  <c:x val="-5.3240790644074332E-2"/>
                  <c:y val="-3.64506039214960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665-4FCB-ABF8-64BCF0B94575}"/>
                </c:ext>
              </c:extLst>
            </c:dLbl>
            <c:dLbl>
              <c:idx val="1"/>
              <c:layout>
                <c:manualLayout>
                  <c:x val="-4.878892642593307E-2"/>
                  <c:y val="-7.89346347878229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665-4FCB-ABF8-64BCF0B94575}"/>
                </c:ext>
              </c:extLst>
            </c:dLbl>
            <c:dLbl>
              <c:idx val="2"/>
              <c:layout>
                <c:manualLayout>
                  <c:x val="-1.5670386777612733E-2"/>
                  <c:y val="-4.36508816679606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665-4FCB-ABF8-64BCF0B9457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List1!$A$2:$A$4</c:f>
              <c:strCache>
                <c:ptCount val="3"/>
                <c:pt idx="0">
                  <c:v>daňové příjmy</c:v>
                </c:pt>
                <c:pt idx="1">
                  <c:v>nedaňové příjmy</c:v>
                </c:pt>
                <c:pt idx="2">
                  <c:v>kapitálové příjmy</c:v>
                </c:pt>
              </c:strCache>
            </c:strRef>
          </c:cat>
          <c:val>
            <c:numRef>
              <c:f>List1!$C$2:$C$4</c:f>
              <c:numCache>
                <c:formatCode>#,##0</c:formatCode>
                <c:ptCount val="3"/>
                <c:pt idx="0">
                  <c:v>185000</c:v>
                </c:pt>
                <c:pt idx="1">
                  <c:v>82000</c:v>
                </c:pt>
                <c:pt idx="2" formatCode="General">
                  <c:v>0</c:v>
                </c:pt>
              </c:numCache>
            </c:numRef>
          </c:val>
          <c:smooth val="0"/>
          <c:extLst>
            <c:ext xmlns:c16="http://schemas.microsoft.com/office/drawing/2014/chart" uri="{C3380CC4-5D6E-409C-BE32-E72D297353CC}">
              <c16:uniqueId val="{00000007-4665-4FCB-ABF8-64BCF0B94575}"/>
            </c:ext>
          </c:extLst>
        </c:ser>
        <c:dLbls>
          <c:showLegendKey val="0"/>
          <c:showVal val="1"/>
          <c:showCatName val="0"/>
          <c:showSerName val="0"/>
          <c:showPercent val="0"/>
          <c:showBubbleSize val="0"/>
        </c:dLbls>
        <c:marker val="1"/>
        <c:smooth val="0"/>
        <c:axId val="657630864"/>
        <c:axId val="657634800"/>
      </c:lineChart>
      <c:catAx>
        <c:axId val="65763086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657634800"/>
        <c:crosses val="autoZero"/>
        <c:auto val="1"/>
        <c:lblAlgn val="ctr"/>
        <c:lblOffset val="100"/>
        <c:noMultiLvlLbl val="0"/>
      </c:catAx>
      <c:valAx>
        <c:axId val="657634800"/>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65763086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887772194304858"/>
          <c:y val="7.746478873239436E-2"/>
          <c:w val="0.83003561169156836"/>
          <c:h val="0.68439096214871464"/>
        </c:manualLayout>
      </c:layout>
      <c:barChart>
        <c:barDir val="col"/>
        <c:grouping val="clustered"/>
        <c:varyColors val="0"/>
        <c:ser>
          <c:idx val="0"/>
          <c:order val="0"/>
          <c:tx>
            <c:strRef>
              <c:f>Sheet1!$A$2</c:f>
              <c:strCache>
                <c:ptCount val="1"/>
                <c:pt idx="0">
                  <c:v>Rozpočet</c:v>
                </c:pt>
              </c:strCache>
            </c:strRef>
          </c:tx>
          <c:spPr>
            <a:solidFill>
              <a:schemeClr val="accent1"/>
            </a:solidFill>
            <a:ln>
              <a:noFill/>
            </a:ln>
            <a:effectLst/>
          </c:spPr>
          <c:invertIfNegative val="0"/>
          <c:dLbls>
            <c:dLbl>
              <c:idx val="3"/>
              <c:layout>
                <c:manualLayout>
                  <c:x val="-1.3326673064030603E-2"/>
                  <c:y val="1.758663415803989E-3"/>
                </c:manualLayout>
              </c:layout>
              <c:tx>
                <c:rich>
                  <a:bodyPr/>
                  <a:lstStyle/>
                  <a:p>
                    <a:r>
                      <a:rPr lang="en-US" b="1" i="0">
                        <a:solidFill>
                          <a:sysClr val="windowText" lastClr="000000"/>
                        </a:solidFill>
                      </a:rPr>
                      <a:t>28</a:t>
                    </a:r>
                    <a:r>
                      <a:rPr lang="en-US" b="1" i="0" baseline="0">
                        <a:solidFill>
                          <a:sysClr val="windowText" lastClr="000000"/>
                        </a:solidFill>
                      </a:rPr>
                      <a:t> 663 473</a:t>
                    </a:r>
                    <a:endParaRPr lang="en-US" b="1" i="0">
                      <a:solidFill>
                        <a:sysClr val="windowText" lastClr="000000"/>
                      </a:solidFill>
                    </a:endParaRP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740F-480C-B9D6-73561BDCA99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převody z ost. vlastních fondů</c:v>
                </c:pt>
                <c:pt idx="1">
                  <c:v>převody z rezervních fondů OSS</c:v>
                </c:pt>
                <c:pt idx="2">
                  <c:v>neinvestiční převody z NF a transfery z EU</c:v>
                </c:pt>
                <c:pt idx="3">
                  <c:v>investiční převody z NF a transfery z EU</c:v>
                </c:pt>
              </c:strCache>
            </c:strRef>
          </c:cat>
          <c:val>
            <c:numRef>
              <c:f>Sheet1!$B$2:$E$2</c:f>
              <c:numCache>
                <c:formatCode>#,##0</c:formatCode>
                <c:ptCount val="4"/>
                <c:pt idx="0">
                  <c:v>0</c:v>
                </c:pt>
                <c:pt idx="1">
                  <c:v>0</c:v>
                </c:pt>
                <c:pt idx="2">
                  <c:v>124871</c:v>
                </c:pt>
                <c:pt idx="3">
                  <c:v>429952.09499999997</c:v>
                </c:pt>
              </c:numCache>
            </c:numRef>
          </c:val>
          <c:extLst>
            <c:ext xmlns:c16="http://schemas.microsoft.com/office/drawing/2014/chart" uri="{C3380CC4-5D6E-409C-BE32-E72D297353CC}">
              <c16:uniqueId val="{00000001-740F-480C-B9D6-73561BDCA992}"/>
            </c:ext>
          </c:extLst>
        </c:ser>
        <c:ser>
          <c:idx val="1"/>
          <c:order val="1"/>
          <c:tx>
            <c:strRef>
              <c:f>Sheet1!$A$3</c:f>
              <c:strCache>
                <c:ptCount val="1"/>
                <c:pt idx="0">
                  <c:v>Skutečnost</c:v>
                </c:pt>
              </c:strCache>
            </c:strRef>
          </c:tx>
          <c:spPr>
            <a:solidFill>
              <a:schemeClr val="accent2"/>
            </a:solidFill>
            <a:ln>
              <a:noFill/>
            </a:ln>
            <a:effectLst/>
          </c:spPr>
          <c:invertIfNegative val="0"/>
          <c:dLbls>
            <c:dLbl>
              <c:idx val="1"/>
              <c:layout>
                <c:manualLayout>
                  <c:x val="-8.0558591882011597E-17"/>
                  <c:y val="2.809778027535824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40F-480C-B9D6-73561BDCA992}"/>
                </c:ext>
              </c:extLst>
            </c:dLbl>
            <c:dLbl>
              <c:idx val="2"/>
              <c:layout>
                <c:manualLayout>
                  <c:x val="2.1104290177417304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40F-480C-B9D6-73561BDCA992}"/>
                </c:ext>
              </c:extLst>
            </c:dLbl>
            <c:dLbl>
              <c:idx val="3"/>
              <c:layout>
                <c:manualLayout>
                  <c:x val="4.422944627747746E-3"/>
                  <c:y val="1.1280315848843767E-2"/>
                </c:manualLayout>
              </c:layout>
              <c:tx>
                <c:rich>
                  <a:bodyPr/>
                  <a:lstStyle/>
                  <a:p>
                    <a:r>
                      <a:rPr lang="en-US" b="1">
                        <a:solidFill>
                          <a:sysClr val="windowText" lastClr="000000"/>
                        </a:solidFill>
                      </a:rPr>
                      <a:t>50</a:t>
                    </a:r>
                    <a:r>
                      <a:rPr lang="en-US" b="1" baseline="0">
                        <a:solidFill>
                          <a:sysClr val="windowText" lastClr="000000"/>
                        </a:solidFill>
                      </a:rPr>
                      <a:t> 031 698</a:t>
                    </a:r>
                    <a:endParaRPr lang="en-US" b="1">
                      <a:solidFill>
                        <a:sysClr val="windowText" lastClr="000000"/>
                      </a:solidFill>
                    </a:endParaRP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740F-480C-B9D6-73561BDCA99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převody z ost. vlastních fondů</c:v>
                </c:pt>
                <c:pt idx="1">
                  <c:v>převody z rezervních fondů OSS</c:v>
                </c:pt>
                <c:pt idx="2">
                  <c:v>neinvestiční převody z NF a transfery z EU</c:v>
                </c:pt>
                <c:pt idx="3">
                  <c:v>investiční převody z NF a transfery z EU</c:v>
                </c:pt>
              </c:strCache>
            </c:strRef>
          </c:cat>
          <c:val>
            <c:numRef>
              <c:f>Sheet1!$B$3:$E$3</c:f>
              <c:numCache>
                <c:formatCode>#,##0</c:formatCode>
                <c:ptCount val="4"/>
                <c:pt idx="0">
                  <c:v>523</c:v>
                </c:pt>
                <c:pt idx="1">
                  <c:v>6371</c:v>
                </c:pt>
                <c:pt idx="2">
                  <c:v>294820</c:v>
                </c:pt>
                <c:pt idx="3">
                  <c:v>750475.47</c:v>
                </c:pt>
              </c:numCache>
            </c:numRef>
          </c:val>
          <c:extLst>
            <c:ext xmlns:c16="http://schemas.microsoft.com/office/drawing/2014/chart" uri="{C3380CC4-5D6E-409C-BE32-E72D297353CC}">
              <c16:uniqueId val="{00000005-740F-480C-B9D6-73561BDCA992}"/>
            </c:ext>
          </c:extLst>
        </c:ser>
        <c:dLbls>
          <c:showLegendKey val="0"/>
          <c:showVal val="0"/>
          <c:showCatName val="0"/>
          <c:showSerName val="0"/>
          <c:showPercent val="0"/>
          <c:showBubbleSize val="0"/>
        </c:dLbls>
        <c:gapWidth val="267"/>
        <c:overlap val="-43"/>
        <c:axId val="784466072"/>
        <c:axId val="784457872"/>
      </c:barChart>
      <c:valAx>
        <c:axId val="784457872"/>
        <c:scaling>
          <c:orientation val="minMax"/>
        </c:scaling>
        <c:delete val="0"/>
        <c:axPos val="l"/>
        <c:majorGridlines>
          <c:spPr>
            <a:ln w="9525" cap="flat" cmpd="sng" algn="ctr">
              <a:solidFill>
                <a:schemeClr val="dk1">
                  <a:lumMod val="15000"/>
                  <a:lumOff val="85000"/>
                </a:schemeClr>
              </a:solidFill>
              <a:round/>
            </a:ln>
            <a:effectLst/>
          </c:spPr>
        </c:majorGridlines>
        <c:numFmt formatCode="[&lt;31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784466072"/>
        <c:crosses val="autoZero"/>
        <c:crossBetween val="between"/>
      </c:valAx>
      <c:catAx>
        <c:axId val="78446607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784457872"/>
        <c:crosses val="autoZero"/>
        <c:auto val="1"/>
        <c:lblAlgn val="ctr"/>
        <c:lblOffset val="100"/>
        <c:noMultiLvlLbl val="0"/>
      </c:catAx>
      <c:spPr>
        <a:pattFill prst="ltDnDiag">
          <a:fgClr>
            <a:schemeClr val="dk1">
              <a:lumMod val="15000"/>
              <a:lumOff val="85000"/>
            </a:schemeClr>
          </a:fgClr>
          <a:bgClr>
            <a:schemeClr val="lt1"/>
          </a:bgClr>
        </a:pattFill>
        <a:ln>
          <a:noFill/>
        </a:ln>
        <a:effectLst/>
      </c:spPr>
    </c:plotArea>
    <c:legend>
      <c:legendPos val="b"/>
      <c:layout>
        <c:manualLayout>
          <c:xMode val="edge"/>
          <c:yMode val="edge"/>
          <c:x val="0.37566328514491243"/>
          <c:y val="0.90482166886499593"/>
          <c:w val="0.25108111068754135"/>
          <c:h val="9.51783311350040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6982150269821502E-2"/>
          <c:y val="0.1221227621483376"/>
          <c:w val="0.95018679950186802"/>
          <c:h val="0.68148599391827935"/>
        </c:manualLayout>
      </c:layout>
      <c:barChart>
        <c:barDir val="col"/>
        <c:grouping val="clustered"/>
        <c:varyColors val="0"/>
        <c:ser>
          <c:idx val="0"/>
          <c:order val="0"/>
          <c:tx>
            <c:strRef>
              <c:f>List1!$B$1</c:f>
              <c:strCache>
                <c:ptCount val="1"/>
                <c:pt idx="0">
                  <c:v>Schválený rozpočet</c:v>
                </c:pt>
              </c:strCache>
            </c:strRef>
          </c:tx>
          <c:spPr>
            <a:solidFill>
              <a:schemeClr val="accent1">
                <a:lumMod val="60000"/>
                <a:lumOff val="40000"/>
              </a:schemeClr>
            </a:solidFill>
            <a:ln>
              <a:noFill/>
            </a:ln>
            <a:effectLst/>
          </c:spPr>
          <c:invertIfNegative val="0"/>
          <c:dLbls>
            <c:dLbl>
              <c:idx val="0"/>
              <c:layout>
                <c:manualLayout>
                  <c:x val="-9.1624561189808662E-3"/>
                  <c:y val="-3.228310161580987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8.8614412294037312E-2"/>
                      <c:h val="6.0570883505777592E-2"/>
                    </c:manualLayout>
                  </c15:layout>
                </c:ext>
                <c:ext xmlns:c16="http://schemas.microsoft.com/office/drawing/2014/chart" uri="{C3380CC4-5D6E-409C-BE32-E72D297353CC}">
                  <c16:uniqueId val="{00000000-909D-4408-B8DA-07FD174CE7EA}"/>
                </c:ext>
              </c:extLst>
            </c:dLbl>
            <c:dLbl>
              <c:idx val="1"/>
              <c:layout>
                <c:manualLayout>
                  <c:x val="-4.1511000415110008E-3"/>
                  <c:y val="1.705010337394976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09D-4408-B8DA-07FD174CE7EA}"/>
                </c:ext>
              </c:extLst>
            </c:dLbl>
            <c:dLbl>
              <c:idx val="2"/>
              <c:layout>
                <c:manualLayout>
                  <c:x val="-6.2266500622665004E-3"/>
                  <c:y val="1.0265623589171319E-3"/>
                </c:manualLayout>
              </c:layout>
              <c:spPr>
                <a:noFill/>
                <a:ln>
                  <a:noFill/>
                </a:ln>
                <a:effectLst/>
              </c:spPr>
              <c:txPr>
                <a:bodyPr rot="0" spcFirstLastPara="1" vertOverflow="ellipsis" horzOverflow="clip"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2-909D-4408-B8DA-07FD174CE7E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List1!$A$2:$A$4</c:f>
              <c:strCache>
                <c:ptCount val="3"/>
                <c:pt idx="0">
                  <c:v>Celkový výdaje</c:v>
                </c:pt>
                <c:pt idx="1">
                  <c:v>Běžné výdaje</c:v>
                </c:pt>
                <c:pt idx="2">
                  <c:v>Kapitálové výdaje</c:v>
                </c:pt>
              </c:strCache>
            </c:strRef>
          </c:cat>
          <c:val>
            <c:numRef>
              <c:f>List1!$B$2:$B$4</c:f>
              <c:numCache>
                <c:formatCode>#,##0</c:formatCode>
                <c:ptCount val="3"/>
                <c:pt idx="0">
                  <c:v>112701</c:v>
                </c:pt>
                <c:pt idx="1">
                  <c:v>36025</c:v>
                </c:pt>
                <c:pt idx="2">
                  <c:v>76676</c:v>
                </c:pt>
              </c:numCache>
            </c:numRef>
          </c:val>
          <c:extLst>
            <c:ext xmlns:c16="http://schemas.microsoft.com/office/drawing/2014/chart" uri="{C3380CC4-5D6E-409C-BE32-E72D297353CC}">
              <c16:uniqueId val="{00000003-909D-4408-B8DA-07FD174CE7EA}"/>
            </c:ext>
          </c:extLst>
        </c:ser>
        <c:ser>
          <c:idx val="1"/>
          <c:order val="1"/>
          <c:tx>
            <c:strRef>
              <c:f>List1!$C$1</c:f>
              <c:strCache>
                <c:ptCount val="1"/>
                <c:pt idx="0">
                  <c:v>Rozpočet po změnách</c:v>
                </c:pt>
              </c:strCache>
            </c:strRef>
          </c:tx>
          <c:spPr>
            <a:solidFill>
              <a:schemeClr val="accent1">
                <a:lumMod val="75000"/>
              </a:schemeClr>
            </a:solidFill>
            <a:ln>
              <a:noFill/>
            </a:ln>
            <a:effectLst/>
          </c:spPr>
          <c:invertIfNegative val="0"/>
          <c:dLbls>
            <c:dLbl>
              <c:idx val="0"/>
              <c:layout>
                <c:manualLayout>
                  <c:x val="-3.2227570334977976E-3"/>
                  <c:y val="2.3703774017368676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8.8614412294037312E-2"/>
                      <c:h val="6.6427428709017952E-2"/>
                    </c:manualLayout>
                  </c15:layout>
                </c:ext>
                <c:ext xmlns:c16="http://schemas.microsoft.com/office/drawing/2014/chart" uri="{C3380CC4-5D6E-409C-BE32-E72D297353CC}">
                  <c16:uniqueId val="{00000004-909D-4408-B8DA-07FD174CE7EA}"/>
                </c:ext>
              </c:extLst>
            </c:dLbl>
            <c:dLbl>
              <c:idx val="1"/>
              <c:layout>
                <c:manualLayout>
                  <c:x val="9.8335310825865179E-4"/>
                  <c:y val="2.1313786820458085E-3"/>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9.2301343714352016E-2"/>
                      <c:h val="4.7240066858650342E-2"/>
                    </c:manualLayout>
                  </c15:layout>
                </c:ext>
                <c:ext xmlns:c16="http://schemas.microsoft.com/office/drawing/2014/chart" uri="{C3380CC4-5D6E-409C-BE32-E72D297353CC}">
                  <c16:uniqueId val="{00000005-909D-4408-B8DA-07FD174CE7EA}"/>
                </c:ext>
              </c:extLst>
            </c:dLbl>
            <c:dLbl>
              <c:idx val="2"/>
              <c:layout>
                <c:manualLayout>
                  <c:x val="-4.1458703091752386E-3"/>
                  <c:y val="2.788156331972758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09D-4408-B8DA-07FD174CE7E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List1!$A$2:$A$4</c:f>
              <c:strCache>
                <c:ptCount val="3"/>
                <c:pt idx="0">
                  <c:v>Celkový výdaje</c:v>
                </c:pt>
                <c:pt idx="1">
                  <c:v>Běžné výdaje</c:v>
                </c:pt>
                <c:pt idx="2">
                  <c:v>Kapitálové výdaje</c:v>
                </c:pt>
              </c:strCache>
            </c:strRef>
          </c:cat>
          <c:val>
            <c:numRef>
              <c:f>List1!$C$2:$C$4</c:f>
              <c:numCache>
                <c:formatCode>#,##0</c:formatCode>
                <c:ptCount val="3"/>
                <c:pt idx="0">
                  <c:v>112750</c:v>
                </c:pt>
                <c:pt idx="1">
                  <c:v>41399</c:v>
                </c:pt>
                <c:pt idx="2">
                  <c:v>71351</c:v>
                </c:pt>
              </c:numCache>
            </c:numRef>
          </c:val>
          <c:extLst>
            <c:ext xmlns:c16="http://schemas.microsoft.com/office/drawing/2014/chart" uri="{C3380CC4-5D6E-409C-BE32-E72D297353CC}">
              <c16:uniqueId val="{00000007-909D-4408-B8DA-07FD174CE7EA}"/>
            </c:ext>
          </c:extLst>
        </c:ser>
        <c:ser>
          <c:idx val="2"/>
          <c:order val="2"/>
          <c:tx>
            <c:strRef>
              <c:f>List1!$D$1</c:f>
              <c:strCache>
                <c:ptCount val="1"/>
                <c:pt idx="0">
                  <c:v>Konečný rozpočet</c:v>
                </c:pt>
              </c:strCache>
            </c:strRef>
          </c:tx>
          <c:spPr>
            <a:solidFill>
              <a:schemeClr val="bg2">
                <a:lumMod val="75000"/>
              </a:schemeClr>
            </a:solidFill>
            <a:ln>
              <a:noFill/>
            </a:ln>
            <a:effectLst/>
          </c:spPr>
          <c:invertIfNegative val="0"/>
          <c:dLbls>
            <c:dLbl>
              <c:idx val="0"/>
              <c:layout>
                <c:manualLayout>
                  <c:x val="-6.2265683476987544E-3"/>
                  <c:y val="8.525051686974882E-3"/>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9.2144124886008164E-2"/>
                      <c:h val="6.3874848124802819E-2"/>
                    </c:manualLayout>
                  </c15:layout>
                </c:ext>
                <c:ext xmlns:c16="http://schemas.microsoft.com/office/drawing/2014/chart" uri="{C3380CC4-5D6E-409C-BE32-E72D297353CC}">
                  <c16:uniqueId val="{00000008-909D-4408-B8DA-07FD174CE7EA}"/>
                </c:ext>
              </c:extLst>
            </c:dLbl>
            <c:dLbl>
              <c:idx val="1"/>
              <c:layout>
                <c:manualLayout>
                  <c:x val="-8.0851693704735569E-17"/>
                  <c:y val="-3.5283740076448154E-2"/>
                </c:manualLayout>
              </c:layout>
              <c:spPr>
                <a:noFill/>
                <a:ln>
                  <a:noFill/>
                </a:ln>
                <a:effectLst/>
              </c:spPr>
              <c:txPr>
                <a:bodyPr rot="0" spcFirstLastPara="1" vertOverflow="ellipsis" horzOverflow="clip"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15:layout>
                    <c:manualLayout>
                      <c:w val="6.799347159885058E-2"/>
                      <c:h val="9.4001995707608005E-2"/>
                    </c:manualLayout>
                  </c15:layout>
                </c:ext>
                <c:ext xmlns:c16="http://schemas.microsoft.com/office/drawing/2014/chart" uri="{C3380CC4-5D6E-409C-BE32-E72D297353CC}">
                  <c16:uniqueId val="{00000009-909D-4408-B8DA-07FD174CE7E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noFill/>
                      <a:round/>
                    </a:ln>
                    <a:effectLst/>
                  </c:spPr>
                </c15:leaderLines>
              </c:ext>
            </c:extLst>
          </c:dLbls>
          <c:cat>
            <c:strRef>
              <c:f>List1!$A$2:$A$4</c:f>
              <c:strCache>
                <c:ptCount val="3"/>
                <c:pt idx="0">
                  <c:v>Celkový výdaje</c:v>
                </c:pt>
                <c:pt idx="1">
                  <c:v>Běžné výdaje</c:v>
                </c:pt>
                <c:pt idx="2">
                  <c:v>Kapitálové výdaje</c:v>
                </c:pt>
              </c:strCache>
            </c:strRef>
          </c:cat>
          <c:val>
            <c:numRef>
              <c:f>List1!$D$2:$D$4</c:f>
              <c:numCache>
                <c:formatCode>#,##0</c:formatCode>
                <c:ptCount val="3"/>
                <c:pt idx="0">
                  <c:v>122303</c:v>
                </c:pt>
                <c:pt idx="1">
                  <c:v>42103</c:v>
                </c:pt>
                <c:pt idx="2">
                  <c:v>80200</c:v>
                </c:pt>
              </c:numCache>
            </c:numRef>
          </c:val>
          <c:extLst>
            <c:ext xmlns:c16="http://schemas.microsoft.com/office/drawing/2014/chart" uri="{C3380CC4-5D6E-409C-BE32-E72D297353CC}">
              <c16:uniqueId val="{0000000A-909D-4408-B8DA-07FD174CE7EA}"/>
            </c:ext>
          </c:extLst>
        </c:ser>
        <c:ser>
          <c:idx val="3"/>
          <c:order val="3"/>
          <c:tx>
            <c:strRef>
              <c:f>List1!$E$1</c:f>
              <c:strCache>
                <c:ptCount val="1"/>
                <c:pt idx="0">
                  <c:v>Skutečnost</c:v>
                </c:pt>
              </c:strCache>
            </c:strRef>
          </c:tx>
          <c:spPr>
            <a:solidFill>
              <a:schemeClr val="accent2">
                <a:lumMod val="60000"/>
                <a:lumOff val="40000"/>
              </a:schemeClr>
            </a:solidFill>
            <a:ln>
              <a:noFill/>
            </a:ln>
            <a:effectLst/>
          </c:spPr>
          <c:invertIfNegative val="0"/>
          <c:dLbls>
            <c:dLbl>
              <c:idx val="0"/>
              <c:layout>
                <c:manualLayout>
                  <c:x val="1.9845644983461964E-2"/>
                  <c:y val="5.880623346074684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B09-4680-BBCB-6DCBD2D2DE44}"/>
                </c:ext>
              </c:extLst>
            </c:dLbl>
            <c:dLbl>
              <c:idx val="1"/>
              <c:layout>
                <c:manualLayout>
                  <c:x val="1.6645859342488557E-2"/>
                  <c:y val="3.912363067292572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09D-4408-B8DA-07FD174CE7EA}"/>
                </c:ext>
              </c:extLst>
            </c:dLbl>
            <c:dLbl>
              <c:idx val="2"/>
              <c:layout>
                <c:manualLayout>
                  <c:x val="2.205071664829106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40-467A-80EA-C56CE7B69C2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List1!$A$2:$A$4</c:f>
              <c:strCache>
                <c:ptCount val="3"/>
                <c:pt idx="0">
                  <c:v>Celkový výdaje</c:v>
                </c:pt>
                <c:pt idx="1">
                  <c:v>Běžné výdaje</c:v>
                </c:pt>
                <c:pt idx="2">
                  <c:v>Kapitálové výdaje</c:v>
                </c:pt>
              </c:strCache>
            </c:strRef>
          </c:cat>
          <c:val>
            <c:numRef>
              <c:f>List1!$E$2:$E$4</c:f>
              <c:numCache>
                <c:formatCode>#,##0</c:formatCode>
                <c:ptCount val="3"/>
                <c:pt idx="0">
                  <c:v>111337</c:v>
                </c:pt>
                <c:pt idx="1">
                  <c:v>40044</c:v>
                </c:pt>
                <c:pt idx="2">
                  <c:v>71293</c:v>
                </c:pt>
              </c:numCache>
            </c:numRef>
          </c:val>
          <c:extLst>
            <c:ext xmlns:c16="http://schemas.microsoft.com/office/drawing/2014/chart" uri="{C3380CC4-5D6E-409C-BE32-E72D297353CC}">
              <c16:uniqueId val="{0000000C-909D-4408-B8DA-07FD174CE7EA}"/>
            </c:ext>
          </c:extLst>
        </c:ser>
        <c:dLbls>
          <c:dLblPos val="outEnd"/>
          <c:showLegendKey val="0"/>
          <c:showVal val="1"/>
          <c:showCatName val="0"/>
          <c:showSerName val="0"/>
          <c:showPercent val="0"/>
          <c:showBubbleSize val="0"/>
        </c:dLbls>
        <c:gapWidth val="269"/>
        <c:overlap val="-43"/>
        <c:axId val="596769624"/>
        <c:axId val="596769952"/>
      </c:barChart>
      <c:catAx>
        <c:axId val="5967696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96769952"/>
        <c:crosses val="autoZero"/>
        <c:auto val="1"/>
        <c:lblAlgn val="ctr"/>
        <c:lblOffset val="100"/>
        <c:noMultiLvlLbl val="0"/>
      </c:catAx>
      <c:valAx>
        <c:axId val="596769952"/>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96769624"/>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1331432652487555"/>
          <c:y val="0.90076378647317734"/>
          <c:w val="0.73786440611486448"/>
          <c:h val="9.923621352682282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229466355294343"/>
          <c:y val="0.12738448858256141"/>
          <c:w val="0.30089400897655161"/>
          <c:h val="0.80244300541526692"/>
        </c:manualLayout>
      </c:layout>
      <c:doughnutChart>
        <c:varyColors val="1"/>
        <c:ser>
          <c:idx val="0"/>
          <c:order val="0"/>
          <c:tx>
            <c:strRef>
              <c:f>List1!$B$1</c:f>
              <c:strCache>
                <c:ptCount val="1"/>
                <c:pt idx="0">
                  <c:v>Sloupec1</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3247-4293-B61B-4F164CF14672}"/>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3247-4293-B61B-4F164CF14672}"/>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c:ext xmlns:c16="http://schemas.microsoft.com/office/drawing/2014/chart" uri="{C3380CC4-5D6E-409C-BE32-E72D297353CC}">
                <c16:uniqueId val="{00000004-3247-4293-B61B-4F164CF14672}"/>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c:ext xmlns:c16="http://schemas.microsoft.com/office/drawing/2014/chart" uri="{C3380CC4-5D6E-409C-BE32-E72D297353CC}">
                <c16:uniqueId val="{00000005-3247-4293-B61B-4F164CF14672}"/>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c:ext xmlns:c16="http://schemas.microsoft.com/office/drawing/2014/chart" uri="{C3380CC4-5D6E-409C-BE32-E72D297353CC}">
                <c16:uniqueId val="{00000006-3247-4293-B61B-4F164CF14672}"/>
              </c:ext>
            </c:extLst>
          </c:dPt>
          <c:dPt>
            <c:idx val="5"/>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c:spPr>
            <c:extLst>
              <c:ext xmlns:c16="http://schemas.microsoft.com/office/drawing/2014/chart" uri="{C3380CC4-5D6E-409C-BE32-E72D297353CC}">
                <c16:uniqueId val="{00000008-3247-4293-B61B-4F164CF14672}"/>
              </c:ext>
            </c:extLst>
          </c:dPt>
          <c:dPt>
            <c:idx val="6"/>
            <c:bubble3D val="0"/>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c:spPr>
            <c:extLst>
              <c:ext xmlns:c16="http://schemas.microsoft.com/office/drawing/2014/chart" uri="{C3380CC4-5D6E-409C-BE32-E72D297353CC}">
                <c16:uniqueId val="{00000007-3247-4293-B61B-4F164CF14672}"/>
              </c:ext>
            </c:extLst>
          </c:dPt>
          <c:dPt>
            <c:idx val="7"/>
            <c:bubble3D val="0"/>
            <c:spPr>
              <a:gradFill rotWithShape="1">
                <a:gsLst>
                  <a:gs pos="0">
                    <a:schemeClr val="accent2">
                      <a:lumMod val="60000"/>
                      <a:satMod val="103000"/>
                      <a:lumMod val="102000"/>
                      <a:tint val="94000"/>
                    </a:schemeClr>
                  </a:gs>
                  <a:gs pos="50000">
                    <a:schemeClr val="accent2">
                      <a:lumMod val="60000"/>
                      <a:satMod val="110000"/>
                      <a:lumMod val="100000"/>
                      <a:shade val="100000"/>
                    </a:schemeClr>
                  </a:gs>
                  <a:gs pos="100000">
                    <a:schemeClr val="accent2">
                      <a:lumMod val="60000"/>
                      <a:lumMod val="99000"/>
                      <a:satMod val="120000"/>
                      <a:shade val="78000"/>
                    </a:schemeClr>
                  </a:gs>
                </a:gsLst>
                <a:lin ang="5400000" scaled="0"/>
              </a:gradFill>
              <a:ln>
                <a:noFill/>
              </a:ln>
              <a:effectLst/>
            </c:spPr>
            <c:extLst>
              <c:ext xmlns:c16="http://schemas.microsoft.com/office/drawing/2014/chart" uri="{C3380CC4-5D6E-409C-BE32-E72D297353CC}">
                <c16:uniqueId val="{0000000E-CC8B-41FF-BC67-A07CC4F3CD0A}"/>
              </c:ext>
            </c:extLst>
          </c:dPt>
          <c:dLbls>
            <c:dLbl>
              <c:idx val="0"/>
              <c:layout>
                <c:manualLayout>
                  <c:x val="3.3701948393891443E-2"/>
                  <c:y val="-5.8558558558558557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247-4293-B61B-4F164CF14672}"/>
                </c:ext>
              </c:extLst>
            </c:dLbl>
            <c:dLbl>
              <c:idx val="1"/>
              <c:layout>
                <c:manualLayout>
                  <c:x val="4.6340179041600843E-2"/>
                  <c:y val="-3.603603603603603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247-4293-B61B-4F164CF14672}"/>
                </c:ext>
              </c:extLst>
            </c:dLbl>
            <c:dLbl>
              <c:idx val="2"/>
              <c:layout>
                <c:manualLayout>
                  <c:x val="5.4765666140073721E-2"/>
                  <c:y val="0"/>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4-3247-4293-B61B-4F164CF14672}"/>
                </c:ext>
              </c:extLst>
            </c:dLbl>
            <c:dLbl>
              <c:idx val="3"/>
              <c:layout>
                <c:manualLayout>
                  <c:x val="4.2127435492364404E-2"/>
                  <c:y val="4.05405405405404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247-4293-B61B-4F164CF14672}"/>
                </c:ext>
              </c:extLst>
            </c:dLbl>
            <c:dLbl>
              <c:idx val="4"/>
              <c:layout>
                <c:manualLayout>
                  <c:x val="2.5276461295418565E-2"/>
                  <c:y val="7.657657657657657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6-3247-4293-B61B-4F164CF14672}"/>
                </c:ext>
              </c:extLst>
            </c:dLbl>
            <c:dLbl>
              <c:idx val="5"/>
              <c:delete val="1"/>
              <c:extLst>
                <c:ext xmlns:c15="http://schemas.microsoft.com/office/drawing/2012/chart" uri="{CE6537A1-D6FC-4f65-9D91-7224C49458BB}"/>
                <c:ext xmlns:c16="http://schemas.microsoft.com/office/drawing/2014/chart" uri="{C3380CC4-5D6E-409C-BE32-E72D297353CC}">
                  <c16:uniqueId val="{00000008-3247-4293-B61B-4F164CF14672}"/>
                </c:ext>
              </c:extLst>
            </c:dLbl>
            <c:dLbl>
              <c:idx val="6"/>
              <c:layout>
                <c:manualLayout>
                  <c:x val="-4.6340179041600822E-2"/>
                  <c:y val="9.0090090090090089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247-4293-B61B-4F164CF14672}"/>
                </c:ext>
              </c:extLst>
            </c:dLbl>
            <c:dLbl>
              <c:idx val="7"/>
              <c:layout>
                <c:manualLayout>
                  <c:x val="2.2050716648290667E-3"/>
                  <c:y val="-7.0567480152896211E-2"/>
                </c:manualLayout>
              </c:layout>
              <c:tx>
                <c:rich>
                  <a:bodyPr/>
                  <a:lstStyle/>
                  <a:p>
                    <a:r>
                      <a:rPr lang="en-US"/>
                      <a:t>0,1%</a:t>
                    </a:r>
                  </a:p>
                </c:rich>
              </c:tx>
              <c:showLegendKey val="0"/>
              <c:showVal val="0"/>
              <c:showCatName val="0"/>
              <c:showSerName val="0"/>
              <c:showPercent val="1"/>
              <c:showBubbleSize val="0"/>
              <c:extLst>
                <c:ext xmlns:c15="http://schemas.microsoft.com/office/drawing/2012/chart" uri="{CE6537A1-D6FC-4f65-9D91-7224C49458BB}">
                  <c15:showDataLabelsRange val="0"/>
                </c:ext>
                <c:ext xmlns:c16="http://schemas.microsoft.com/office/drawing/2014/chart" uri="{C3380CC4-5D6E-409C-BE32-E72D297353CC}">
                  <c16:uniqueId val="{0000000E-CC8B-41FF-BC67-A07CC4F3CD0A}"/>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cs-CZ"/>
              </a:p>
            </c:txPr>
            <c:showLegendKey val="0"/>
            <c:showVal val="0"/>
            <c:showCatName val="0"/>
            <c:showSerName val="0"/>
            <c:showPercent val="1"/>
            <c:showBubbleSize val="0"/>
            <c:showLeaderLines val="0"/>
            <c:extLst>
              <c:ext xmlns:c15="http://schemas.microsoft.com/office/drawing/2012/chart" uri="{CE6537A1-D6FC-4f65-9D91-7224C49458BB}"/>
            </c:extLst>
          </c:dLbls>
          <c:cat>
            <c:strRef>
              <c:f>List1!$A$2:$A$9</c:f>
              <c:strCache>
                <c:ptCount val="8"/>
                <c:pt idx="0">
                  <c:v>výdaje organizačních složek státu</c:v>
                </c:pt>
                <c:pt idx="1">
                  <c:v>transfery příspěvkovým a podobným organizacím</c:v>
                </c:pt>
                <c:pt idx="2">
                  <c:v>transfery veřejným rozpočtům územní úrovně</c:v>
                </c:pt>
                <c:pt idx="3">
                  <c:v>transfery do zahraničí</c:v>
                </c:pt>
                <c:pt idx="4">
                  <c:v>transfery podnikatelským subjektům</c:v>
                </c:pt>
                <c:pt idx="5">
                  <c:v>transfery neziskovým apod. organizacím</c:v>
                </c:pt>
                <c:pt idx="6">
                  <c:v>transfery státním fondům</c:v>
                </c:pt>
                <c:pt idx="7">
                  <c:v>transfery fyzickým osobám</c:v>
                </c:pt>
              </c:strCache>
            </c:strRef>
          </c:cat>
          <c:val>
            <c:numRef>
              <c:f>List1!$B$2:$B$9</c:f>
              <c:numCache>
                <c:formatCode>#,##0</c:formatCode>
                <c:ptCount val="8"/>
                <c:pt idx="0">
                  <c:v>6313557</c:v>
                </c:pt>
                <c:pt idx="1">
                  <c:v>1227265</c:v>
                </c:pt>
                <c:pt idx="2">
                  <c:v>3406263</c:v>
                </c:pt>
                <c:pt idx="3">
                  <c:v>1189399</c:v>
                </c:pt>
                <c:pt idx="4">
                  <c:v>6465853</c:v>
                </c:pt>
                <c:pt idx="5">
                  <c:v>13109</c:v>
                </c:pt>
                <c:pt idx="6">
                  <c:v>21428872</c:v>
                </c:pt>
                <c:pt idx="7" formatCode="General">
                  <c:v>278</c:v>
                </c:pt>
              </c:numCache>
            </c:numRef>
          </c:val>
          <c:extLst>
            <c:ext xmlns:c16="http://schemas.microsoft.com/office/drawing/2014/chart" uri="{C3380CC4-5D6E-409C-BE32-E72D297353CC}">
              <c16:uniqueId val="{00000000-3247-4293-B61B-4F164CF14672}"/>
            </c:ext>
          </c:extLst>
        </c:ser>
        <c:dLbls>
          <c:showLegendKey val="0"/>
          <c:showVal val="0"/>
          <c:showCatName val="0"/>
          <c:showSerName val="0"/>
          <c:showPercent val="1"/>
          <c:showBubbleSize val="0"/>
          <c:showLeaderLines val="0"/>
        </c:dLbls>
        <c:firstSliceAng val="0"/>
        <c:holeSize val="85"/>
      </c:doughnutChart>
      <c:spPr>
        <a:noFill/>
        <a:ln>
          <a:noFill/>
        </a:ln>
        <a:effectLst/>
      </c:spPr>
    </c:plotArea>
    <c:legend>
      <c:legendPos val="r"/>
      <c:layout>
        <c:manualLayout>
          <c:xMode val="edge"/>
          <c:yMode val="edge"/>
          <c:x val="0.6190433114273064"/>
          <c:y val="3.5469248776335394E-2"/>
          <c:w val="0.36831832900711003"/>
          <c:h val="0.9645305803990026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cs-CZ"/>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6181848796678192"/>
          <c:y val="0.13005284292858862"/>
          <c:w val="0.3199087961227069"/>
          <c:h val="0.86994715707141135"/>
        </c:manualLayout>
      </c:layout>
      <c:doughnutChart>
        <c:varyColors val="1"/>
        <c:ser>
          <c:idx val="0"/>
          <c:order val="0"/>
          <c:tx>
            <c:strRef>
              <c:f>List1!$B$1</c:f>
              <c:strCache>
                <c:ptCount val="1"/>
                <c:pt idx="0">
                  <c:v>Sloupec1</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E88-48A4-850C-2696B4886C2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E88-48A4-850C-2696B4886C2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E88-48A4-850C-2696B4886C2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E88-48A4-850C-2696B4886C23}"/>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E88-48A4-850C-2696B4886C23}"/>
              </c:ext>
            </c:extLst>
          </c:dPt>
          <c:dLbls>
            <c:dLbl>
              <c:idx val="0"/>
              <c:delete val="1"/>
              <c:extLst>
                <c:ext xmlns:c15="http://schemas.microsoft.com/office/drawing/2012/chart" uri="{CE6537A1-D6FC-4f65-9D91-7224C49458BB}"/>
                <c:ext xmlns:c16="http://schemas.microsoft.com/office/drawing/2014/chart" uri="{C3380CC4-5D6E-409C-BE32-E72D297353CC}">
                  <c16:uniqueId val="{00000001-AE88-48A4-850C-2696B4886C23}"/>
                </c:ext>
              </c:extLst>
            </c:dLbl>
            <c:dLbl>
              <c:idx val="1"/>
              <c:delete val="1"/>
              <c:extLst>
                <c:ext xmlns:c15="http://schemas.microsoft.com/office/drawing/2012/chart" uri="{CE6537A1-D6FC-4f65-9D91-7224C49458BB}"/>
                <c:ext xmlns:c16="http://schemas.microsoft.com/office/drawing/2014/chart" uri="{C3380CC4-5D6E-409C-BE32-E72D297353CC}">
                  <c16:uniqueId val="{00000003-AE88-48A4-850C-2696B4886C23}"/>
                </c:ext>
              </c:extLst>
            </c:dLbl>
            <c:dLbl>
              <c:idx val="2"/>
              <c:layout>
                <c:manualLayout>
                  <c:x val="1.46283797858601E-3"/>
                  <c:y val="-8.613399949528509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E88-48A4-850C-2696B4886C23}"/>
                </c:ext>
              </c:extLst>
            </c:dLbl>
            <c:dLbl>
              <c:idx val="3"/>
              <c:layout>
                <c:manualLayout>
                  <c:x val="0.17111767279090115"/>
                  <c:y val="-0.39947995848055617"/>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AE88-48A4-850C-2696B4886C23}"/>
                </c:ext>
              </c:extLst>
            </c:dLbl>
            <c:dLbl>
              <c:idx val="4"/>
              <c:layout>
                <c:manualLayout>
                  <c:x val="6.6138434084628307E-3"/>
                  <c:y val="0.10652489593927257"/>
                </c:manualLayout>
              </c:layout>
              <c:showLegendKey val="0"/>
              <c:showVal val="0"/>
              <c:showCatName val="0"/>
              <c:showSerName val="0"/>
              <c:showPercent val="1"/>
              <c:showBubbleSize val="0"/>
              <c:extLst>
                <c:ext xmlns:c15="http://schemas.microsoft.com/office/drawing/2012/chart" uri="{CE6537A1-D6FC-4f65-9D91-7224C49458BB}">
                  <c15:layout>
                    <c:manualLayout>
                      <c:w val="5.2469135802469126E-2"/>
                      <c:h val="9.3109449867368424E-2"/>
                    </c:manualLayout>
                  </c15:layout>
                </c:ext>
                <c:ext xmlns:c16="http://schemas.microsoft.com/office/drawing/2014/chart" uri="{C3380CC4-5D6E-409C-BE32-E72D297353CC}">
                  <c16:uniqueId val="{00000009-AE88-48A4-850C-2696B4886C23}"/>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1"/>
            <c:showBubbleSize val="0"/>
            <c:showLeaderLines val="0"/>
            <c:extLst>
              <c:ext xmlns:c15="http://schemas.microsoft.com/office/drawing/2012/chart" uri="{CE6537A1-D6FC-4f65-9D91-7224C49458BB}"/>
            </c:extLst>
          </c:dLbls>
          <c:cat>
            <c:strRef>
              <c:f>List1!$A$2:$A$6</c:f>
              <c:strCache>
                <c:ptCount val="5"/>
                <c:pt idx="0">
                  <c:v>nákupy a souvisejicí výdaje OSS</c:v>
                </c:pt>
                <c:pt idx="1">
                  <c:v>transfery příspěvkovým a podobným organizacím</c:v>
                </c:pt>
                <c:pt idx="2">
                  <c:v>transfery podnikatelským subjektům</c:v>
                </c:pt>
                <c:pt idx="3">
                  <c:v>transfery státním fondům</c:v>
                </c:pt>
                <c:pt idx="4">
                  <c:v>transfery rozpočtům územní úrovně</c:v>
                </c:pt>
              </c:strCache>
            </c:strRef>
          </c:cat>
          <c:val>
            <c:numRef>
              <c:f>List1!$B$2:$B$6</c:f>
              <c:numCache>
                <c:formatCode>#,##0</c:formatCode>
                <c:ptCount val="5"/>
                <c:pt idx="0">
                  <c:v>138660</c:v>
                </c:pt>
                <c:pt idx="1">
                  <c:v>442130</c:v>
                </c:pt>
                <c:pt idx="2">
                  <c:v>974364</c:v>
                </c:pt>
                <c:pt idx="3">
                  <c:v>66727882</c:v>
                </c:pt>
                <c:pt idx="4">
                  <c:v>3009515</c:v>
                </c:pt>
              </c:numCache>
            </c:numRef>
          </c:val>
          <c:extLst>
            <c:ext xmlns:c16="http://schemas.microsoft.com/office/drawing/2014/chart" uri="{C3380CC4-5D6E-409C-BE32-E72D297353CC}">
              <c16:uniqueId val="{0000000A-AE88-48A4-850C-2696B4886C23}"/>
            </c:ext>
          </c:extLst>
        </c:ser>
        <c:dLbls>
          <c:showLegendKey val="0"/>
          <c:showVal val="0"/>
          <c:showCatName val="0"/>
          <c:showSerName val="0"/>
          <c:showPercent val="1"/>
          <c:showBubbleSize val="0"/>
          <c:showLeaderLines val="0"/>
        </c:dLbls>
        <c:firstSliceAng val="0"/>
        <c:holeSize val="85"/>
      </c:doughnut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118527631962672"/>
          <c:y val="2.4612858320189365E-3"/>
          <c:w val="0.29405894575678038"/>
          <c:h val="0.99595032980736287"/>
        </c:manualLayout>
      </c:layout>
      <c:doughnutChart>
        <c:varyColors val="1"/>
        <c:ser>
          <c:idx val="0"/>
          <c:order val="0"/>
          <c:tx>
            <c:strRef>
              <c:f>List1!$B$1</c:f>
              <c:strCache>
                <c:ptCount val="1"/>
                <c:pt idx="0">
                  <c:v>skutečnost</c:v>
                </c:pt>
              </c:strCache>
            </c:strRef>
          </c:tx>
          <c:spPr>
            <a:ln w="19050"/>
          </c:spPr>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E93-4537-82C7-0BC4147A37B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E93-4537-82C7-0BC4147A37B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0E93-4537-82C7-0BC4147A37B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0E93-4537-82C7-0BC4147A37BF}"/>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0E93-4537-82C7-0BC4147A37BF}"/>
              </c:ext>
            </c:extLst>
          </c:dPt>
          <c:dLbls>
            <c:dLbl>
              <c:idx val="0"/>
              <c:layout>
                <c:manualLayout>
                  <c:x val="0.12268518518518519"/>
                  <c:y val="0.14391103361214796"/>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0E93-4537-82C7-0BC4147A37BF}"/>
                </c:ext>
              </c:extLst>
            </c:dLbl>
            <c:dLbl>
              <c:idx val="1"/>
              <c:delete val="1"/>
              <c:extLst>
                <c:ext xmlns:c15="http://schemas.microsoft.com/office/drawing/2012/chart" uri="{CE6537A1-D6FC-4f65-9D91-7224C49458BB}"/>
                <c:ext xmlns:c16="http://schemas.microsoft.com/office/drawing/2014/chart" uri="{C3380CC4-5D6E-409C-BE32-E72D297353CC}">
                  <c16:uniqueId val="{00000003-0E93-4537-82C7-0BC4147A37BF}"/>
                </c:ext>
              </c:extLst>
            </c:dLbl>
            <c:dLbl>
              <c:idx val="2"/>
              <c:layout>
                <c:manualLayout>
                  <c:x val="-9.9537037037037035E-2"/>
                  <c:y val="3.7502662226022217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0E93-4537-82C7-0BC4147A37BF}"/>
                </c:ext>
              </c:extLst>
            </c:dLbl>
            <c:dLbl>
              <c:idx val="3"/>
              <c:layout>
                <c:manualLayout>
                  <c:x val="0.12500000000000008"/>
                  <c:y val="-4.617031490545111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0E93-4537-82C7-0BC4147A37BF}"/>
                </c:ext>
              </c:extLst>
            </c:dLbl>
            <c:dLbl>
              <c:idx val="4"/>
              <c:delete val="1"/>
              <c:extLst>
                <c:ext xmlns:c15="http://schemas.microsoft.com/office/drawing/2012/chart" uri="{CE6537A1-D6FC-4f65-9D91-7224C49458BB}"/>
                <c:ext xmlns:c16="http://schemas.microsoft.com/office/drawing/2014/chart" uri="{C3380CC4-5D6E-409C-BE32-E72D297353CC}">
                  <c16:uniqueId val="{00000009-0E93-4537-82C7-0BC4147A37BF}"/>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1"/>
            <c:showSerName val="0"/>
            <c:showPercent val="1"/>
            <c:showBubbleSize val="0"/>
            <c:showLeaderLines val="0"/>
            <c:extLst>
              <c:ext xmlns:c15="http://schemas.microsoft.com/office/drawing/2012/chart" uri="{CE6537A1-D6FC-4f65-9D91-7224C49458BB}"/>
            </c:extLst>
          </c:dLbls>
          <c:cat>
            <c:strRef>
              <c:f>List1!$A$2:$A$6</c:f>
              <c:strCache>
                <c:ptCount val="5"/>
                <c:pt idx="0">
                  <c:v>Drážní a kombinovaná doprava</c:v>
                </c:pt>
                <c:pt idx="1">
                  <c:v>Pozemní komunikace</c:v>
                </c:pt>
                <c:pt idx="2">
                  <c:v>Dotace pro SFDI</c:v>
                </c:pt>
                <c:pt idx="3">
                  <c:v>Ostatní výdaje spojené s dopravní politikou státu</c:v>
                </c:pt>
                <c:pt idx="4">
                  <c:v>Výdaje spojené s předsednictvím ČR v Radě EU</c:v>
                </c:pt>
              </c:strCache>
            </c:strRef>
          </c:cat>
          <c:val>
            <c:numRef>
              <c:f>List1!$B$2:$B$6</c:f>
              <c:numCache>
                <c:formatCode>General</c:formatCode>
                <c:ptCount val="5"/>
                <c:pt idx="0" formatCode="#,##0">
                  <c:v>13422512</c:v>
                </c:pt>
                <c:pt idx="1">
                  <c:v>0</c:v>
                </c:pt>
                <c:pt idx="2" formatCode="#,##0">
                  <c:v>88156755</c:v>
                </c:pt>
                <c:pt idx="3" formatCode="#,##0">
                  <c:v>9752448</c:v>
                </c:pt>
                <c:pt idx="4">
                  <c:v>5434</c:v>
                </c:pt>
              </c:numCache>
            </c:numRef>
          </c:val>
          <c:extLst>
            <c:ext xmlns:c16="http://schemas.microsoft.com/office/drawing/2014/chart" uri="{C3380CC4-5D6E-409C-BE32-E72D297353CC}">
              <c16:uniqueId val="{0000000A-0E93-4537-82C7-0BC4147A37BF}"/>
            </c:ext>
          </c:extLst>
        </c:ser>
        <c:dLbls>
          <c:showLegendKey val="0"/>
          <c:showVal val="1"/>
          <c:showCatName val="0"/>
          <c:showSerName val="0"/>
          <c:showPercent val="0"/>
          <c:showBubbleSize val="0"/>
          <c:showLeaderLines val="0"/>
        </c:dLbls>
        <c:firstSliceAng val="84"/>
        <c:holeSize val="85"/>
      </c:doughnut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7952246157375193"/>
        </c:manualLayout>
      </c:layout>
      <c:barChart>
        <c:barDir val="col"/>
        <c:grouping val="clustered"/>
        <c:varyColors val="0"/>
        <c:ser>
          <c:idx val="0"/>
          <c:order val="0"/>
          <c:tx>
            <c:strRef>
              <c:f>List1!$B$1</c:f>
              <c:strCache>
                <c:ptCount val="1"/>
                <c:pt idx="0">
                  <c:v>ÚO MD</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List1!$A$2:$A$3</c:f>
              <c:numCache>
                <c:formatCode>General</c:formatCode>
                <c:ptCount val="2"/>
                <c:pt idx="0">
                  <c:v>2022</c:v>
                </c:pt>
                <c:pt idx="1">
                  <c:v>2023</c:v>
                </c:pt>
              </c:numCache>
            </c:numRef>
          </c:cat>
          <c:val>
            <c:numRef>
              <c:f>List1!$B$2:$B$3</c:f>
              <c:numCache>
                <c:formatCode>#,##0</c:formatCode>
                <c:ptCount val="2"/>
                <c:pt idx="0">
                  <c:v>9315</c:v>
                </c:pt>
                <c:pt idx="1">
                  <c:v>11903</c:v>
                </c:pt>
              </c:numCache>
            </c:numRef>
          </c:val>
          <c:extLst>
            <c:ext xmlns:c16="http://schemas.microsoft.com/office/drawing/2014/chart" uri="{C3380CC4-5D6E-409C-BE32-E72D297353CC}">
              <c16:uniqueId val="{00000000-B870-4C29-8EB0-3F56BF91FBD6}"/>
            </c:ext>
          </c:extLst>
        </c:ser>
        <c:ser>
          <c:idx val="1"/>
          <c:order val="1"/>
          <c:tx>
            <c:strRef>
              <c:f>List1!$C$1</c:f>
              <c:strCache>
                <c:ptCount val="1"/>
                <c:pt idx="0">
                  <c:v>SPS</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2-B870-4C29-8EB0-3F56BF91FBD6}"/>
              </c:ext>
            </c:extLst>
          </c:dPt>
          <c:dLbls>
            <c:dLbl>
              <c:idx val="0"/>
              <c:layout>
                <c:manualLayout>
                  <c:x val="-4.1566991378639131E-17"/>
                  <c:y val="7.538635506973237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870-4C29-8EB0-3F56BF91FBD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List1!$A$2:$A$3</c:f>
              <c:numCache>
                <c:formatCode>General</c:formatCode>
                <c:ptCount val="2"/>
                <c:pt idx="0">
                  <c:v>2022</c:v>
                </c:pt>
                <c:pt idx="1">
                  <c:v>2023</c:v>
                </c:pt>
              </c:numCache>
            </c:numRef>
          </c:cat>
          <c:val>
            <c:numRef>
              <c:f>List1!$C$2:$C$3</c:f>
              <c:numCache>
                <c:formatCode>#,##0</c:formatCode>
                <c:ptCount val="2"/>
                <c:pt idx="0">
                  <c:v>307</c:v>
                </c:pt>
                <c:pt idx="1">
                  <c:v>202</c:v>
                </c:pt>
              </c:numCache>
            </c:numRef>
          </c:val>
          <c:extLst>
            <c:ext xmlns:c16="http://schemas.microsoft.com/office/drawing/2014/chart" uri="{C3380CC4-5D6E-409C-BE32-E72D297353CC}">
              <c16:uniqueId val="{00000003-B870-4C29-8EB0-3F56BF91FBD6}"/>
            </c:ext>
          </c:extLst>
        </c:ser>
        <c:ser>
          <c:idx val="2"/>
          <c:order val="2"/>
          <c:tx>
            <c:strRef>
              <c:f>List1!$D$1</c:f>
              <c:strCache>
                <c:ptCount val="1"/>
                <c:pt idx="0">
                  <c:v>ÚCL</c:v>
                </c:pt>
              </c:strCache>
            </c:strRef>
          </c:tx>
          <c:spPr>
            <a:solidFill>
              <a:schemeClr val="accent3"/>
            </a:solidFill>
            <a:ln>
              <a:noFill/>
            </a:ln>
            <a:effectLst/>
          </c:spPr>
          <c:invertIfNegative val="0"/>
          <c:dLbls>
            <c:dLbl>
              <c:idx val="0"/>
              <c:layout>
                <c:manualLayout>
                  <c:x val="-2.2673166307674865E-3"/>
                  <c:y val="-7.538635506973237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870-4C29-8EB0-3F56BF91FBD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List1!$A$2:$A$3</c:f>
              <c:numCache>
                <c:formatCode>General</c:formatCode>
                <c:ptCount val="2"/>
                <c:pt idx="0">
                  <c:v>2022</c:v>
                </c:pt>
                <c:pt idx="1">
                  <c:v>2023</c:v>
                </c:pt>
              </c:numCache>
            </c:numRef>
          </c:cat>
          <c:val>
            <c:numRef>
              <c:f>List1!$D$2:$D$3</c:f>
              <c:numCache>
                <c:formatCode>#,##0</c:formatCode>
                <c:ptCount val="2"/>
                <c:pt idx="0">
                  <c:v>1574</c:v>
                </c:pt>
                <c:pt idx="1">
                  <c:v>3394</c:v>
                </c:pt>
              </c:numCache>
            </c:numRef>
          </c:val>
          <c:extLst>
            <c:ext xmlns:c16="http://schemas.microsoft.com/office/drawing/2014/chart" uri="{C3380CC4-5D6E-409C-BE32-E72D297353CC}">
              <c16:uniqueId val="{00000005-B870-4C29-8EB0-3F56BF91FBD6}"/>
            </c:ext>
          </c:extLst>
        </c:ser>
        <c:ser>
          <c:idx val="3"/>
          <c:order val="3"/>
          <c:tx>
            <c:strRef>
              <c:f>List1!$E$1</c:f>
              <c:strCache>
                <c:ptCount val="1"/>
                <c:pt idx="0">
                  <c:v>DÚ</c:v>
                </c:pt>
              </c:strCache>
            </c:strRef>
          </c:tx>
          <c:spPr>
            <a:solidFill>
              <a:schemeClr val="accent4"/>
            </a:solidFill>
            <a:ln>
              <a:noFill/>
            </a:ln>
            <a:effectLst/>
          </c:spPr>
          <c:invertIfNegative val="0"/>
          <c:dLbls>
            <c:dLbl>
              <c:idx val="0"/>
              <c:layout>
                <c:manualLayout>
                  <c:x val="0"/>
                  <c:y val="-3.769317753486618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870-4C29-8EB0-3F56BF91FBD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List1!$A$2:$A$3</c:f>
              <c:numCache>
                <c:formatCode>General</c:formatCode>
                <c:ptCount val="2"/>
                <c:pt idx="0">
                  <c:v>2022</c:v>
                </c:pt>
                <c:pt idx="1">
                  <c:v>2023</c:v>
                </c:pt>
              </c:numCache>
            </c:numRef>
          </c:cat>
          <c:val>
            <c:numRef>
              <c:f>List1!$E$2:$E$3</c:f>
              <c:numCache>
                <c:formatCode>#,##0</c:formatCode>
                <c:ptCount val="2"/>
                <c:pt idx="0">
                  <c:v>689</c:v>
                </c:pt>
                <c:pt idx="1">
                  <c:v>1338</c:v>
                </c:pt>
              </c:numCache>
            </c:numRef>
          </c:val>
          <c:extLst>
            <c:ext xmlns:c16="http://schemas.microsoft.com/office/drawing/2014/chart" uri="{C3380CC4-5D6E-409C-BE32-E72D297353CC}">
              <c16:uniqueId val="{00000007-B870-4C29-8EB0-3F56BF91FBD6}"/>
            </c:ext>
          </c:extLst>
        </c:ser>
        <c:ser>
          <c:idx val="4"/>
          <c:order val="4"/>
          <c:tx>
            <c:strRef>
              <c:f>List1!$F$1</c:f>
              <c:strCache>
                <c:ptCount val="1"/>
                <c:pt idx="0">
                  <c:v>DI</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List1!$A$2:$A$3</c:f>
              <c:numCache>
                <c:formatCode>General</c:formatCode>
                <c:ptCount val="2"/>
                <c:pt idx="0">
                  <c:v>2022</c:v>
                </c:pt>
                <c:pt idx="1">
                  <c:v>2023</c:v>
                </c:pt>
              </c:numCache>
            </c:numRef>
          </c:cat>
          <c:val>
            <c:numRef>
              <c:f>List1!$F$2:$F$3</c:f>
              <c:numCache>
                <c:formatCode>#,##0</c:formatCode>
                <c:ptCount val="2"/>
                <c:pt idx="0">
                  <c:v>342</c:v>
                </c:pt>
                <c:pt idx="1">
                  <c:v>523</c:v>
                </c:pt>
              </c:numCache>
            </c:numRef>
          </c:val>
          <c:extLst>
            <c:ext xmlns:c16="http://schemas.microsoft.com/office/drawing/2014/chart" uri="{C3380CC4-5D6E-409C-BE32-E72D297353CC}">
              <c16:uniqueId val="{00000008-B870-4C29-8EB0-3F56BF91FBD6}"/>
            </c:ext>
          </c:extLst>
        </c:ser>
        <c:ser>
          <c:idx val="5"/>
          <c:order val="5"/>
          <c:tx>
            <c:strRef>
              <c:f>List1!$G$1</c:f>
              <c:strCache>
                <c:ptCount val="1"/>
                <c:pt idx="0">
                  <c:v>ÚZPLN</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List1!$A$2:$A$3</c:f>
              <c:numCache>
                <c:formatCode>General</c:formatCode>
                <c:ptCount val="2"/>
                <c:pt idx="0">
                  <c:v>2022</c:v>
                </c:pt>
                <c:pt idx="1">
                  <c:v>2023</c:v>
                </c:pt>
              </c:numCache>
            </c:numRef>
          </c:cat>
          <c:val>
            <c:numRef>
              <c:f>List1!$G$2:$G$3</c:f>
              <c:numCache>
                <c:formatCode>#,##0</c:formatCode>
                <c:ptCount val="2"/>
                <c:pt idx="0">
                  <c:v>0</c:v>
                </c:pt>
                <c:pt idx="1">
                  <c:v>109</c:v>
                </c:pt>
              </c:numCache>
            </c:numRef>
          </c:val>
          <c:extLst>
            <c:ext xmlns:c16="http://schemas.microsoft.com/office/drawing/2014/chart" uri="{C3380CC4-5D6E-409C-BE32-E72D297353CC}">
              <c16:uniqueId val="{00000009-B870-4C29-8EB0-3F56BF91FBD6}"/>
            </c:ext>
          </c:extLst>
        </c:ser>
        <c:ser>
          <c:idx val="6"/>
          <c:order val="6"/>
          <c:tx>
            <c:strRef>
              <c:f>List1!$H$1</c:f>
              <c:strCache>
                <c:ptCount val="1"/>
                <c:pt idx="0">
                  <c:v>DESÚ</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List1!$A$2:$A$3</c:f>
              <c:numCache>
                <c:formatCode>General</c:formatCode>
                <c:ptCount val="2"/>
                <c:pt idx="0">
                  <c:v>2022</c:v>
                </c:pt>
                <c:pt idx="1">
                  <c:v>2023</c:v>
                </c:pt>
              </c:numCache>
            </c:numRef>
          </c:cat>
          <c:val>
            <c:numRef>
              <c:f>List1!$H$2:$H$3</c:f>
              <c:numCache>
                <c:formatCode>#,##0</c:formatCode>
                <c:ptCount val="2"/>
                <c:pt idx="0">
                  <c:v>0</c:v>
                </c:pt>
                <c:pt idx="1">
                  <c:v>410</c:v>
                </c:pt>
              </c:numCache>
            </c:numRef>
          </c:val>
          <c:extLst>
            <c:ext xmlns:c16="http://schemas.microsoft.com/office/drawing/2014/chart" uri="{C3380CC4-5D6E-409C-BE32-E72D297353CC}">
              <c16:uniqueId val="{0000000A-B870-4C29-8EB0-3F56BF91FBD6}"/>
            </c:ext>
          </c:extLst>
        </c:ser>
        <c:dLbls>
          <c:dLblPos val="outEnd"/>
          <c:showLegendKey val="0"/>
          <c:showVal val="1"/>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5151222153803154"/>
          <c:y val="0.92244818234929937"/>
          <c:w val="0.49697555692393691"/>
          <c:h val="7.755181765070064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7952246157375193"/>
        </c:manualLayout>
      </c:layout>
      <c:barChart>
        <c:barDir val="col"/>
        <c:grouping val="clustered"/>
        <c:varyColors val="0"/>
        <c:ser>
          <c:idx val="0"/>
          <c:order val="0"/>
          <c:tx>
            <c:strRef>
              <c:f>List1!$B$1</c:f>
              <c:strCache>
                <c:ptCount val="1"/>
                <c:pt idx="0">
                  <c:v>ÚO MD</c:v>
                </c:pt>
              </c:strCache>
            </c:strRef>
          </c:tx>
          <c:spPr>
            <a:solidFill>
              <a:schemeClr val="accent1"/>
            </a:solidFill>
            <a:ln>
              <a:noFill/>
            </a:ln>
            <a:effectLst/>
          </c:spPr>
          <c:invertIfNegative val="0"/>
          <c:dLbls>
            <c:dLbl>
              <c:idx val="0"/>
              <c:layout>
                <c:manualLayout>
                  <c:x val="0"/>
                  <c:y val="7.538635506973237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8AF-4097-AD97-EAD9C80BB775}"/>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List1!$B$2</c:f>
              <c:numCache>
                <c:formatCode>0.0%</c:formatCode>
                <c:ptCount val="1"/>
                <c:pt idx="0">
                  <c:v>0.434</c:v>
                </c:pt>
              </c:numCache>
            </c:numRef>
          </c:val>
          <c:extLst>
            <c:ext xmlns:c16="http://schemas.microsoft.com/office/drawing/2014/chart" uri="{C3380CC4-5D6E-409C-BE32-E72D297353CC}">
              <c16:uniqueId val="{00000001-08AF-4097-AD97-EAD9C80BB775}"/>
            </c:ext>
          </c:extLst>
        </c:ser>
        <c:ser>
          <c:idx val="1"/>
          <c:order val="1"/>
          <c:tx>
            <c:strRef>
              <c:f>List1!$C$1</c:f>
              <c:strCache>
                <c:ptCount val="1"/>
                <c:pt idx="0">
                  <c:v>SPS</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3-08AF-4097-AD97-EAD9C80BB775}"/>
              </c:ext>
            </c:extLst>
          </c:dPt>
          <c:dLbls>
            <c:dLbl>
              <c:idx val="0"/>
              <c:layout>
                <c:manualLayout>
                  <c:x val="-4.1566991378639131E-17"/>
                  <c:y val="7.538635506973237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8AF-4097-AD97-EAD9C80BB775}"/>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List1!$C$2</c:f>
              <c:numCache>
                <c:formatCode>0.0%</c:formatCode>
                <c:ptCount val="1"/>
                <c:pt idx="0">
                  <c:v>0.39100000000000001</c:v>
                </c:pt>
              </c:numCache>
            </c:numRef>
          </c:val>
          <c:extLst>
            <c:ext xmlns:c16="http://schemas.microsoft.com/office/drawing/2014/chart" uri="{C3380CC4-5D6E-409C-BE32-E72D297353CC}">
              <c16:uniqueId val="{00000004-08AF-4097-AD97-EAD9C80BB775}"/>
            </c:ext>
          </c:extLst>
        </c:ser>
        <c:ser>
          <c:idx val="2"/>
          <c:order val="2"/>
          <c:tx>
            <c:strRef>
              <c:f>List1!$D$1</c:f>
              <c:strCache>
                <c:ptCount val="1"/>
                <c:pt idx="0">
                  <c:v>ÚCL</c:v>
                </c:pt>
              </c:strCache>
            </c:strRef>
          </c:tx>
          <c:spPr>
            <a:solidFill>
              <a:schemeClr val="accent3"/>
            </a:solidFill>
            <a:ln>
              <a:noFill/>
            </a:ln>
            <a:effectLst/>
          </c:spPr>
          <c:invertIfNegative val="0"/>
          <c:dLbls>
            <c:dLbl>
              <c:idx val="0"/>
              <c:layout>
                <c:manualLayout>
                  <c:x val="-2.2673166307674865E-3"/>
                  <c:y val="3.769317753486618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8AF-4097-AD97-EAD9C80BB775}"/>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List1!$D$2</c:f>
              <c:numCache>
                <c:formatCode>0.0%</c:formatCode>
                <c:ptCount val="1"/>
                <c:pt idx="0">
                  <c:v>0.747</c:v>
                </c:pt>
              </c:numCache>
            </c:numRef>
          </c:val>
          <c:extLst>
            <c:ext xmlns:c16="http://schemas.microsoft.com/office/drawing/2014/chart" uri="{C3380CC4-5D6E-409C-BE32-E72D297353CC}">
              <c16:uniqueId val="{00000006-08AF-4097-AD97-EAD9C80BB775}"/>
            </c:ext>
          </c:extLst>
        </c:ser>
        <c:ser>
          <c:idx val="3"/>
          <c:order val="3"/>
          <c:tx>
            <c:strRef>
              <c:f>List1!$E$1</c:f>
              <c:strCache>
                <c:ptCount val="1"/>
                <c:pt idx="0">
                  <c:v>DÚ</c:v>
                </c:pt>
              </c:strCache>
            </c:strRef>
          </c:tx>
          <c:spPr>
            <a:solidFill>
              <a:schemeClr val="accent4"/>
            </a:solidFill>
            <a:ln>
              <a:noFill/>
            </a:ln>
            <a:effectLst/>
          </c:spPr>
          <c:invertIfNegative val="0"/>
          <c:dLbls>
            <c:dLbl>
              <c:idx val="0"/>
              <c:layout>
                <c:manualLayout>
                  <c:x val="0"/>
                  <c:y val="3.769317753486618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8AF-4097-AD97-EAD9C80BB775}"/>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List1!$E$2</c:f>
              <c:numCache>
                <c:formatCode>0.0%</c:formatCode>
                <c:ptCount val="1"/>
                <c:pt idx="0">
                  <c:v>0.5</c:v>
                </c:pt>
              </c:numCache>
            </c:numRef>
          </c:val>
          <c:extLst>
            <c:ext xmlns:c16="http://schemas.microsoft.com/office/drawing/2014/chart" uri="{C3380CC4-5D6E-409C-BE32-E72D297353CC}">
              <c16:uniqueId val="{00000008-08AF-4097-AD97-EAD9C80BB775}"/>
            </c:ext>
          </c:extLst>
        </c:ser>
        <c:ser>
          <c:idx val="4"/>
          <c:order val="4"/>
          <c:tx>
            <c:strRef>
              <c:f>List1!$F$1</c:f>
              <c:strCache>
                <c:ptCount val="1"/>
                <c:pt idx="0">
                  <c:v>ŘVC ČR</c:v>
                </c:pt>
              </c:strCache>
            </c:strRef>
          </c:tx>
          <c:spPr>
            <a:solidFill>
              <a:schemeClr val="accent5"/>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List1!$F$2</c:f>
              <c:numCache>
                <c:formatCode>0.0%</c:formatCode>
                <c:ptCount val="1"/>
                <c:pt idx="0">
                  <c:v>0.28599999999999998</c:v>
                </c:pt>
              </c:numCache>
            </c:numRef>
          </c:val>
          <c:extLst>
            <c:ext xmlns:c16="http://schemas.microsoft.com/office/drawing/2014/chart" uri="{C3380CC4-5D6E-409C-BE32-E72D297353CC}">
              <c16:uniqueId val="{00000009-08AF-4097-AD97-EAD9C80BB775}"/>
            </c:ext>
          </c:extLst>
        </c:ser>
        <c:ser>
          <c:idx val="5"/>
          <c:order val="5"/>
          <c:tx>
            <c:strRef>
              <c:f>List1!$G$1</c:f>
              <c:strCache>
                <c:ptCount val="1"/>
                <c:pt idx="0">
                  <c:v>DESÚ</c:v>
                </c:pt>
              </c:strCache>
            </c:strRef>
          </c:tx>
          <c:spPr>
            <a:solidFill>
              <a:schemeClr val="accent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List1!$G$2</c:f>
              <c:numCache>
                <c:formatCode>0.0%</c:formatCode>
                <c:ptCount val="1"/>
                <c:pt idx="0">
                  <c:v>0.33300000000000002</c:v>
                </c:pt>
              </c:numCache>
            </c:numRef>
          </c:val>
          <c:extLst>
            <c:ext xmlns:c16="http://schemas.microsoft.com/office/drawing/2014/chart" uri="{C3380CC4-5D6E-409C-BE32-E72D297353CC}">
              <c16:uniqueId val="{0000000A-08AF-4097-AD97-EAD9C80BB775}"/>
            </c:ext>
          </c:extLst>
        </c:ser>
        <c:ser>
          <c:idx val="6"/>
          <c:order val="6"/>
          <c:tx>
            <c:strRef>
              <c:f>List1!$H$1</c:f>
              <c:strCache>
                <c:ptCount val="1"/>
                <c:pt idx="0">
                  <c:v>DI</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List1!$A$2</c:f>
              <c:numCache>
                <c:formatCode>General</c:formatCode>
                <c:ptCount val="1"/>
              </c:numCache>
            </c:numRef>
          </c:cat>
          <c:val>
            <c:numRef>
              <c:f>List1!$H$2</c:f>
              <c:numCache>
                <c:formatCode>0.0%</c:formatCode>
                <c:ptCount val="1"/>
                <c:pt idx="0">
                  <c:v>0.91300000000000003</c:v>
                </c:pt>
              </c:numCache>
            </c:numRef>
          </c:val>
          <c:extLst>
            <c:ext xmlns:c16="http://schemas.microsoft.com/office/drawing/2014/chart" uri="{C3380CC4-5D6E-409C-BE32-E72D297353CC}">
              <c16:uniqueId val="{0000000B-08AF-4097-AD97-EAD9C80BB775}"/>
            </c:ext>
          </c:extLst>
        </c:ser>
        <c:dLbls>
          <c:dLblPos val="outEnd"/>
          <c:showLegendKey val="0"/>
          <c:showVal val="1"/>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2287805259182734"/>
          <c:y val="0.10991718507988617"/>
          <c:w val="0.29405894575678038"/>
          <c:h val="0.99595032980736287"/>
        </c:manualLayout>
      </c:layout>
      <c:doughnutChart>
        <c:varyColors val="1"/>
        <c:ser>
          <c:idx val="0"/>
          <c:order val="0"/>
          <c:tx>
            <c:strRef>
              <c:f>List1!$B$1</c:f>
              <c:strCache>
                <c:ptCount val="1"/>
                <c:pt idx="0">
                  <c:v>skutečnost</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EF3-4FD3-90A5-74945980584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EF3-4FD3-90A5-749459805844}"/>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EF3-4FD3-90A5-749459805844}"/>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9EF3-4FD3-90A5-749459805844}"/>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9EF3-4FD3-90A5-749459805844}"/>
              </c:ext>
            </c:extLst>
          </c:dPt>
          <c:dLbls>
            <c:dLbl>
              <c:idx val="0"/>
              <c:layout>
                <c:manualLayout>
                  <c:x val="-6.018518518518523E-2"/>
                  <c:y val="-0.1095416546555203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EF3-4FD3-90A5-749459805844}"/>
                </c:ext>
              </c:extLst>
            </c:dLbl>
            <c:dLbl>
              <c:idx val="1"/>
              <c:layout>
                <c:manualLayout>
                  <c:x val="4.8501332592521776E-2"/>
                  <c:y val="-6.7698276845829047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EF3-4FD3-90A5-749459805844}"/>
                </c:ext>
              </c:extLst>
            </c:dLbl>
            <c:dLbl>
              <c:idx val="2"/>
              <c:layout>
                <c:manualLayout>
                  <c:x val="5.0925869657692927E-2"/>
                  <c:y val="-4.9907358418142395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1"/>
              <c:showBubbleSize val="0"/>
              <c:extLst>
                <c:ext xmlns:c15="http://schemas.microsoft.com/office/drawing/2012/chart" uri="{CE6537A1-D6FC-4f65-9D91-7224C49458BB}">
                  <c15:layout>
                    <c:manualLayout>
                      <c:w val="6.571113561190739E-2"/>
                      <c:h val="8.4242631726370171E-2"/>
                    </c:manualLayout>
                  </c15:layout>
                </c:ext>
                <c:ext xmlns:c16="http://schemas.microsoft.com/office/drawing/2014/chart" uri="{C3380CC4-5D6E-409C-BE32-E72D297353CC}">
                  <c16:uniqueId val="{00000005-9EF3-4FD3-90A5-749459805844}"/>
                </c:ext>
              </c:extLst>
            </c:dLbl>
            <c:dLbl>
              <c:idx val="3"/>
              <c:layout>
                <c:manualLayout>
                  <c:x val="5.2921719955898651E-2"/>
                  <c:y val="0"/>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EF3-4FD3-90A5-749459805844}"/>
                </c:ext>
              </c:extLst>
            </c:dLbl>
            <c:dLbl>
              <c:idx val="4"/>
              <c:layout>
                <c:manualLayout>
                  <c:x val="4.8511576626240269E-2"/>
                  <c:y val="6.8511198945981455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9EF3-4FD3-90A5-749459805844}"/>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1"/>
            <c:showBubbleSize val="0"/>
            <c:showLeaderLines val="0"/>
            <c:extLst>
              <c:ext xmlns:c15="http://schemas.microsoft.com/office/drawing/2012/chart" uri="{CE6537A1-D6FC-4f65-9D91-7224C49458BB}"/>
            </c:extLst>
          </c:dLbls>
          <c:cat>
            <c:strRef>
              <c:f>List1!$A$2:$A$6</c:f>
              <c:strCache>
                <c:ptCount val="5"/>
                <c:pt idx="0">
                  <c:v>OPD </c:v>
                </c:pt>
                <c:pt idx="1">
                  <c:v>KoP </c:v>
                </c:pt>
                <c:pt idx="2">
                  <c:v>OPZ 2014+</c:v>
                </c:pt>
                <c:pt idx="3">
                  <c:v>NPO</c:v>
                </c:pt>
                <c:pt idx="4">
                  <c:v>Jiné zdroje EU 2021+</c:v>
                </c:pt>
              </c:strCache>
            </c:strRef>
          </c:cat>
          <c:val>
            <c:numRef>
              <c:f>List1!$B$2:$B$6</c:f>
              <c:numCache>
                <c:formatCode>#,##0</c:formatCode>
                <c:ptCount val="5"/>
                <c:pt idx="0">
                  <c:v>55845</c:v>
                </c:pt>
                <c:pt idx="1">
                  <c:v>4476</c:v>
                </c:pt>
                <c:pt idx="2">
                  <c:v>430</c:v>
                </c:pt>
                <c:pt idx="3" formatCode="General">
                  <c:v>838</c:v>
                </c:pt>
                <c:pt idx="4" formatCode="General">
                  <c:v>450</c:v>
                </c:pt>
              </c:numCache>
            </c:numRef>
          </c:val>
          <c:extLst>
            <c:ext xmlns:c16="http://schemas.microsoft.com/office/drawing/2014/chart" uri="{C3380CC4-5D6E-409C-BE32-E72D297353CC}">
              <c16:uniqueId val="{0000000A-9EF3-4FD3-90A5-749459805844}"/>
            </c:ext>
          </c:extLst>
        </c:ser>
        <c:dLbls>
          <c:showLegendKey val="0"/>
          <c:showVal val="1"/>
          <c:showCatName val="0"/>
          <c:showSerName val="0"/>
          <c:showPercent val="0"/>
          <c:showBubbleSize val="0"/>
          <c:showLeaderLines val="0"/>
        </c:dLbls>
        <c:firstSliceAng val="84"/>
        <c:holeSize val="85"/>
      </c:doughnutChart>
      <c:spPr>
        <a:noFill/>
        <a:ln>
          <a:noFill/>
        </a:ln>
        <a:effectLst/>
      </c:spPr>
    </c:plotArea>
    <c:legend>
      <c:legendPos val="r"/>
      <c:layout>
        <c:manualLayout>
          <c:xMode val="edge"/>
          <c:yMode val="edge"/>
          <c:x val="0.80939464705831288"/>
          <c:y val="8.7821314825765356E-2"/>
          <c:w val="0.13768363298578856"/>
          <c:h val="0.7406795099229196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0928373108800109"/>
          <c:y val="0.22499727963290089"/>
          <c:w val="0.22506143353835617"/>
          <c:h val="0.60411226897137715"/>
        </c:manualLayout>
      </c:layout>
      <c:doughnutChart>
        <c:varyColors val="1"/>
        <c:ser>
          <c:idx val="0"/>
          <c:order val="0"/>
          <c:tx>
            <c:strRef>
              <c:f>List1!$B$1</c:f>
              <c:strCache>
                <c:ptCount val="1"/>
                <c:pt idx="0">
                  <c:v>čerpání z EU</c:v>
                </c:pt>
              </c:strCache>
            </c:strRef>
          </c:tx>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F2DB-4369-909F-2B3D75532379}"/>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F2DB-4369-909F-2B3D75532379}"/>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F2DB-4369-909F-2B3D75532379}"/>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F2DB-4369-909F-2B3D75532379}"/>
              </c:ext>
            </c:extLst>
          </c:dPt>
          <c:dLbls>
            <c:dLbl>
              <c:idx val="0"/>
              <c:layout>
                <c:manualLayout>
                  <c:x val="0.14459415050936567"/>
                  <c:y val="1.1761246692149369E-2"/>
                </c:manualLayout>
              </c:layout>
              <c:numFmt formatCode="0.0%" sourceLinked="0"/>
              <c:spPr>
                <a:solidFill>
                  <a:sysClr val="window" lastClr="FFFFFF"/>
                </a:solidFill>
                <a:ln>
                  <a:noFill/>
                </a:ln>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58872"/>
                        <a:gd name="adj2" fmla="val -3125"/>
                      </a:avLst>
                    </a:prstGeom>
                    <a:noFill/>
                    <a:ln>
                      <a:noFill/>
                    </a:ln>
                  </c15:spPr>
                </c:ext>
                <c:ext xmlns:c16="http://schemas.microsoft.com/office/drawing/2014/chart" uri="{C3380CC4-5D6E-409C-BE32-E72D297353CC}">
                  <c16:uniqueId val="{00000001-F2DB-4369-909F-2B3D75532379}"/>
                </c:ext>
              </c:extLst>
            </c:dLbl>
            <c:dLbl>
              <c:idx val="1"/>
              <c:layout>
                <c:manualLayout>
                  <c:x val="-0.12268594588673458"/>
                  <c:y val="5.8806233460746843E-3"/>
                </c:manualLayout>
              </c:layout>
              <c:numFmt formatCode="0.0%" sourceLinked="0"/>
              <c:spPr>
                <a:solidFill>
                  <a:sysClr val="window" lastClr="FFFFFF"/>
                </a:solidFill>
                <a:ln>
                  <a:noFill/>
                </a:ln>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54386"/>
                        <a:gd name="adj2" fmla="val -18750"/>
                      </a:avLst>
                    </a:prstGeom>
                    <a:noFill/>
                    <a:ln>
                      <a:noFill/>
                    </a:ln>
                  </c15:spPr>
                </c:ext>
                <c:ext xmlns:c16="http://schemas.microsoft.com/office/drawing/2014/chart" uri="{C3380CC4-5D6E-409C-BE32-E72D297353CC}">
                  <c16:uniqueId val="{00000003-F2DB-4369-909F-2B3D75532379}"/>
                </c:ext>
              </c:extLst>
            </c:dLbl>
            <c:dLbl>
              <c:idx val="2"/>
              <c:layout>
                <c:manualLayout>
                  <c:x val="8.1060357103735423E-2"/>
                  <c:y val="-0.19406057042046457"/>
                </c:manualLayout>
              </c:layout>
              <c:numFmt formatCode="0.0%" sourceLinked="0"/>
              <c:spPr>
                <a:solidFill>
                  <a:sysClr val="window" lastClr="FFFFFF"/>
                </a:solidFill>
                <a:ln>
                  <a:noFill/>
                </a:ln>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25892"/>
                        <a:gd name="adj2" fmla="val 71246"/>
                      </a:avLst>
                    </a:prstGeom>
                    <a:noFill/>
                    <a:ln>
                      <a:noFill/>
                    </a:ln>
                  </c15:spPr>
                </c:ext>
                <c:ext xmlns:c16="http://schemas.microsoft.com/office/drawing/2014/chart" uri="{C3380CC4-5D6E-409C-BE32-E72D297353CC}">
                  <c16:uniqueId val="{00000005-F2DB-4369-909F-2B3D75532379}"/>
                </c:ext>
              </c:extLst>
            </c:dLbl>
            <c:dLbl>
              <c:idx val="3"/>
              <c:layout>
                <c:manualLayout>
                  <c:x val="0.10954102311315579"/>
                  <c:y val="-5.3905091289470125E-17"/>
                </c:manualLayout>
              </c:layout>
              <c:tx>
                <c:rich>
                  <a:bodyPr rot="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fld id="{9037C479-3247-4863-A4F8-818CBC67E6DD}" type="CATEGORYNAME">
                      <a:rPr lang="en-US" b="0"/>
                      <a:pPr>
                        <a:defRPr b="0">
                          <a:solidFill>
                            <a:sysClr val="windowText" lastClr="000000"/>
                          </a:solidFill>
                        </a:defRPr>
                      </a:pPr>
                      <a:t>[NÁZEV KATEGORIE]</a:t>
                    </a:fld>
                    <a:r>
                      <a:rPr lang="en-US" b="0" baseline="0"/>
                      <a:t>
0,1%</a:t>
                    </a:r>
                  </a:p>
                </c:rich>
              </c:tx>
              <c:numFmt formatCode="0.0%" sourceLinked="0"/>
              <c:spPr>
                <a:solidFill>
                  <a:sysClr val="window" lastClr="FFFFFF"/>
                </a:solidFill>
                <a:ln>
                  <a:noFill/>
                </a:ln>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52190"/>
                        <a:gd name="adj2" fmla="val 0"/>
                      </a:avLst>
                    </a:prstGeom>
                    <a:noFill/>
                    <a:ln>
                      <a:noFill/>
                    </a:ln>
                  </c15:spPr>
                  <c15:dlblFieldTable/>
                  <c15:showDataLabelsRange val="0"/>
                </c:ext>
                <c:ext xmlns:c16="http://schemas.microsoft.com/office/drawing/2014/chart" uri="{C3380CC4-5D6E-409C-BE32-E72D297353CC}">
                  <c16:uniqueId val="{00000007-F2DB-4369-909F-2B3D75532379}"/>
                </c:ext>
              </c:extLst>
            </c:dLbl>
            <c:numFmt formatCode="0.0%" sourceLinked="0"/>
            <c:spPr>
              <a:solidFill>
                <a:sysClr val="window" lastClr="FFFFFF"/>
              </a:solidFill>
              <a:ln>
                <a:noFill/>
              </a:ln>
              <a:effectLst/>
            </c:spPr>
            <c:txPr>
              <a:bodyPr rot="0" spcFirstLastPara="1" vertOverflow="clip" horzOverflow="clip" vert="horz" wrap="square" lIns="38100" tIns="19050" rIns="38100" bIns="19050" anchor="ctr" anchorCtr="1">
                <a:spAutoFit/>
              </a:bodyPr>
              <a:lstStyle/>
              <a:p>
                <a:pPr>
                  <a:defRPr sz="1000" b="1"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List1!$A$2:$A$5</c:f>
              <c:strCache>
                <c:ptCount val="4"/>
                <c:pt idx="0">
                  <c:v>Programové období 2014-2020</c:v>
                </c:pt>
                <c:pt idx="1">
                  <c:v>Programové období 2021-2027</c:v>
                </c:pt>
                <c:pt idx="2">
                  <c:v>Facilita na podporu oživení a odolnosti </c:v>
                </c:pt>
                <c:pt idx="3">
                  <c:v>Ostatní fondy EU</c:v>
                </c:pt>
              </c:strCache>
            </c:strRef>
          </c:cat>
          <c:val>
            <c:numRef>
              <c:f>List1!$B$2:$B$5</c:f>
              <c:numCache>
                <c:formatCode>#,##0</c:formatCode>
                <c:ptCount val="4"/>
                <c:pt idx="0">
                  <c:v>9954857</c:v>
                </c:pt>
                <c:pt idx="1">
                  <c:v>14194325</c:v>
                </c:pt>
                <c:pt idx="2">
                  <c:v>4170228</c:v>
                </c:pt>
                <c:pt idx="3">
                  <c:v>720</c:v>
                </c:pt>
              </c:numCache>
            </c:numRef>
          </c:val>
          <c:extLst>
            <c:ext xmlns:c16="http://schemas.microsoft.com/office/drawing/2014/chart" uri="{C3380CC4-5D6E-409C-BE32-E72D297353CC}">
              <c16:uniqueId val="{00000008-F2DB-4369-909F-2B3D75532379}"/>
            </c:ext>
          </c:extLst>
        </c:ser>
        <c:dLbls>
          <c:showLegendKey val="0"/>
          <c:showVal val="0"/>
          <c:showCatName val="0"/>
          <c:showSerName val="0"/>
          <c:showPercent val="0"/>
          <c:showBubbleSize val="0"/>
          <c:showLeaderLines val="0"/>
        </c:dLbls>
        <c:firstSliceAng val="75"/>
        <c:holeSize val="85"/>
      </c:doughnut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2460846240373803"/>
          <c:y val="0"/>
          <c:w val="0.35078324824781515"/>
          <c:h val="1"/>
        </c:manualLayout>
      </c:layout>
      <c:doughnutChart>
        <c:varyColors val="1"/>
        <c:ser>
          <c:idx val="0"/>
          <c:order val="0"/>
          <c:tx>
            <c:strRef>
              <c:f>List1!$B$1</c:f>
              <c:strCache>
                <c:ptCount val="1"/>
                <c:pt idx="0">
                  <c:v>Institucionální podpora</c:v>
                </c:pt>
              </c:strCache>
            </c:strRef>
          </c:tx>
          <c:dPt>
            <c:idx val="0"/>
            <c:bubble3D val="0"/>
            <c:spPr>
              <a:solidFill>
                <a:schemeClr val="accent1"/>
              </a:solidFill>
              <a:ln w="19001">
                <a:solidFill>
                  <a:schemeClr val="lt1"/>
                </a:solidFill>
              </a:ln>
              <a:effectLst/>
            </c:spPr>
            <c:extLst>
              <c:ext xmlns:c16="http://schemas.microsoft.com/office/drawing/2014/chart" uri="{C3380CC4-5D6E-409C-BE32-E72D297353CC}">
                <c16:uniqueId val="{00000001-E7C9-4741-853D-6CF613C4F53E}"/>
              </c:ext>
            </c:extLst>
          </c:dPt>
          <c:dPt>
            <c:idx val="1"/>
            <c:bubble3D val="0"/>
            <c:spPr>
              <a:solidFill>
                <a:schemeClr val="accent2"/>
              </a:solidFill>
              <a:ln w="19001">
                <a:solidFill>
                  <a:schemeClr val="lt1"/>
                </a:solidFill>
              </a:ln>
              <a:effectLst/>
            </c:spPr>
            <c:extLst>
              <c:ext xmlns:c16="http://schemas.microsoft.com/office/drawing/2014/chart" uri="{C3380CC4-5D6E-409C-BE32-E72D297353CC}">
                <c16:uniqueId val="{00000003-E7C9-4741-853D-6CF613C4F53E}"/>
              </c:ext>
            </c:extLst>
          </c:dPt>
          <c:dLbls>
            <c:dLbl>
              <c:idx val="0"/>
              <c:layout>
                <c:manualLayout>
                  <c:x val="-8.393440149249641E-2"/>
                  <c:y val="-8.6530122915438212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7C9-4741-853D-6CF613C4F53E}"/>
                </c:ext>
              </c:extLst>
            </c:dLbl>
            <c:dLbl>
              <c:idx val="1"/>
              <c:layout>
                <c:manualLayout>
                  <c:x val="0.10172466903175556"/>
                  <c:y val="0"/>
                </c:manualLayout>
              </c:layout>
              <c:tx>
                <c:rich>
                  <a:bodyPr/>
                  <a:lstStyle/>
                  <a:p>
                    <a:fld id="{BD0C6E41-3E08-4DA4-AB25-B2BB50D326BA}" type="CATEGORYNAME">
                      <a:rPr lang="en-US"/>
                      <a:pPr/>
                      <a:t>[NÁZEV KATEGORIE]</a:t>
                    </a:fld>
                    <a:r>
                      <a:rPr lang="en-US" baseline="0"/>
                      <a:t>
</a:t>
                    </a:r>
                    <a:fld id="{43EA7698-641E-4968-B337-C4CDD53B7F84}" type="PERCENTAGE">
                      <a:rPr lang="en-US" baseline="0"/>
                      <a:pPr/>
                      <a:t>[PROCENTO]</a:t>
                    </a:fld>
                    <a:endParaRPr lang="en-US" baseline="0"/>
                  </a:p>
                </c:rich>
              </c:tx>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E7C9-4741-853D-6CF613C4F53E}"/>
                </c:ext>
              </c:extLst>
            </c:dLbl>
            <c:numFmt formatCode="0.0%" sourceLinked="0"/>
            <c:spPr>
              <a:noFill/>
              <a:ln w="25334">
                <a:noFill/>
              </a:ln>
            </c:spPr>
            <c:txPr>
              <a:bodyPr rot="0" spcFirstLastPara="1" vertOverflow="ellipsis" vert="horz" wrap="square" lIns="38100" tIns="19050" rIns="38100" bIns="19050" anchor="ctr" anchorCtr="1">
                <a:spAutoFit/>
              </a:bodyPr>
              <a:lstStyle/>
              <a:p>
                <a:pPr>
                  <a:defRPr sz="898" b="0" i="0" u="none" strike="noStrike" kern="1200" baseline="0">
                    <a:solidFill>
                      <a:schemeClr val="tx1">
                        <a:lumMod val="75000"/>
                        <a:lumOff val="25000"/>
                      </a:schemeClr>
                    </a:solidFill>
                    <a:latin typeface="+mn-lt"/>
                    <a:ea typeface="+mn-ea"/>
                    <a:cs typeface="+mn-cs"/>
                  </a:defRPr>
                </a:pPr>
                <a:endParaRPr lang="cs-CZ"/>
              </a:p>
            </c:txPr>
            <c:showLegendKey val="0"/>
            <c:showVal val="0"/>
            <c:showCatName val="1"/>
            <c:showSerName val="0"/>
            <c:showPercent val="1"/>
            <c:showBubbleSize val="0"/>
            <c:showLeaderLines val="0"/>
            <c:extLst>
              <c:ext xmlns:c15="http://schemas.microsoft.com/office/drawing/2012/chart" uri="{CE6537A1-D6FC-4f65-9D91-7224C49458BB}"/>
            </c:extLst>
          </c:dLbls>
          <c:cat>
            <c:strRef>
              <c:f>List1!$A$2:$A$3</c:f>
              <c:strCache>
                <c:ptCount val="2"/>
                <c:pt idx="0">
                  <c:v>Běžné výdaje</c:v>
                </c:pt>
                <c:pt idx="1">
                  <c:v>Kapitálové výdaje</c:v>
                </c:pt>
              </c:strCache>
            </c:strRef>
          </c:cat>
          <c:val>
            <c:numRef>
              <c:f>List1!$B$2:$B$3</c:f>
              <c:numCache>
                <c:formatCode>#,##0</c:formatCode>
                <c:ptCount val="2"/>
                <c:pt idx="0">
                  <c:v>67663</c:v>
                </c:pt>
                <c:pt idx="1">
                  <c:v>8593</c:v>
                </c:pt>
              </c:numCache>
            </c:numRef>
          </c:val>
          <c:extLst>
            <c:ext xmlns:c16="http://schemas.microsoft.com/office/drawing/2014/chart" uri="{C3380CC4-5D6E-409C-BE32-E72D297353CC}">
              <c16:uniqueId val="{00000004-E7C9-4741-853D-6CF613C4F53E}"/>
            </c:ext>
          </c:extLst>
        </c:ser>
        <c:dLbls>
          <c:showLegendKey val="0"/>
          <c:showVal val="0"/>
          <c:showCatName val="0"/>
          <c:showSerName val="0"/>
          <c:showPercent val="0"/>
          <c:showBubbleSize val="0"/>
          <c:showLeaderLines val="0"/>
        </c:dLbls>
        <c:firstSliceAng val="106"/>
        <c:holeSize val="85"/>
      </c:doughnutChart>
      <c:spPr>
        <a:noFill/>
        <a:ln w="25334">
          <a:noFill/>
        </a:ln>
      </c:spPr>
    </c:plotArea>
    <c:plotVisOnly val="1"/>
    <c:dispBlanksAs val="gap"/>
    <c:showDLblsOverMax val="0"/>
  </c:chart>
  <c:spPr>
    <a:solidFill>
      <a:schemeClr val="bg1"/>
    </a:solidFill>
    <a:ln>
      <a:noFill/>
    </a:ln>
    <a:effectLst/>
  </c:spPr>
  <c:txPr>
    <a:bodyPr/>
    <a:lstStyle/>
    <a:p>
      <a:pPr>
        <a:defRPr/>
      </a:pPr>
      <a:endParaRPr lang="cs-CZ"/>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536214395471794E-2"/>
          <c:y val="6.9916586836141034E-2"/>
          <c:w val="0.91346378560452823"/>
          <c:h val="0.76259367902446473"/>
        </c:manualLayout>
      </c:layout>
      <c:barChart>
        <c:barDir val="col"/>
        <c:grouping val="clustered"/>
        <c:varyColors val="0"/>
        <c:ser>
          <c:idx val="0"/>
          <c:order val="0"/>
          <c:tx>
            <c:strRef>
              <c:f>List1!$B$1</c:f>
              <c:strCache>
                <c:ptCount val="1"/>
                <c:pt idx="0">
                  <c:v>schválený rozpočet</c:v>
                </c:pt>
              </c:strCache>
            </c:strRef>
          </c:tx>
          <c:spPr>
            <a:solidFill>
              <a:schemeClr val="accent1">
                <a:lumMod val="40000"/>
                <a:lumOff val="60000"/>
              </a:schemeClr>
            </a:solidFill>
            <a:ln>
              <a:noFill/>
            </a:ln>
            <a:effectLst/>
          </c:spPr>
          <c:invertIfNegative val="0"/>
          <c:dLbls>
            <c:dLbl>
              <c:idx val="0"/>
              <c:layout>
                <c:manualLayout>
                  <c:x val="-1.6215784493311004E-2"/>
                  <c:y val="3.831202957907185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7E0-4286-9DC0-305A5BDCC3D6}"/>
                </c:ext>
              </c:extLst>
            </c:dLbl>
            <c:dLbl>
              <c:idx val="1"/>
              <c:layout>
                <c:manualLayout>
                  <c:x val="-2.467249476946624E-3"/>
                  <c:y val="-4.88063955251697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7E0-4286-9DC0-305A5BDCC3D6}"/>
                </c:ext>
              </c:extLst>
            </c:dLbl>
            <c:dLbl>
              <c:idx val="2"/>
              <c:layout>
                <c:manualLayout>
                  <c:x val="-9.7300957556711136E-3"/>
                  <c:y val="8.617196887436782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7E0-4286-9DC0-305A5BDCC3D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List1!$A$2:$A$5</c:f>
              <c:strCache>
                <c:ptCount val="4"/>
                <c:pt idx="0">
                  <c:v>RISPF</c:v>
                </c:pt>
                <c:pt idx="1">
                  <c:v>EDS</c:v>
                </c:pt>
                <c:pt idx="2">
                  <c:v>SMVS</c:v>
                </c:pt>
                <c:pt idx="3">
                  <c:v>ZED</c:v>
                </c:pt>
              </c:strCache>
            </c:strRef>
          </c:cat>
          <c:val>
            <c:numRef>
              <c:f>List1!$B$2:$B$5</c:f>
              <c:numCache>
                <c:formatCode>#,##0</c:formatCode>
                <c:ptCount val="4"/>
                <c:pt idx="0">
                  <c:v>97566</c:v>
                </c:pt>
                <c:pt idx="1">
                  <c:v>69081</c:v>
                </c:pt>
                <c:pt idx="2">
                  <c:v>490</c:v>
                </c:pt>
                <c:pt idx="3">
                  <c:v>27995</c:v>
                </c:pt>
              </c:numCache>
            </c:numRef>
          </c:val>
          <c:extLst>
            <c:ext xmlns:c16="http://schemas.microsoft.com/office/drawing/2014/chart" uri="{C3380CC4-5D6E-409C-BE32-E72D297353CC}">
              <c16:uniqueId val="{00000003-B7E0-4286-9DC0-305A5BDCC3D6}"/>
            </c:ext>
          </c:extLst>
        </c:ser>
        <c:ser>
          <c:idx val="1"/>
          <c:order val="1"/>
          <c:tx>
            <c:strRef>
              <c:f>List1!$C$1</c:f>
              <c:strCache>
                <c:ptCount val="1"/>
                <c:pt idx="0">
                  <c:v>rozpočet po změnách </c:v>
                </c:pt>
              </c:strCache>
            </c:strRef>
          </c:tx>
          <c:spPr>
            <a:solidFill>
              <a:schemeClr val="accent2"/>
            </a:solidFill>
            <a:ln>
              <a:solidFill>
                <a:schemeClr val="accent1">
                  <a:lumMod val="75000"/>
                </a:schemeClr>
              </a:solidFill>
            </a:ln>
            <a:effectLst/>
          </c:spPr>
          <c:invertIfNegative val="0"/>
          <c:dPt>
            <c:idx val="0"/>
            <c:invertIfNegative val="0"/>
            <c:bubble3D val="0"/>
            <c:spPr>
              <a:solidFill>
                <a:schemeClr val="accent1">
                  <a:lumMod val="75000"/>
                </a:schemeClr>
              </a:solidFill>
              <a:ln>
                <a:solidFill>
                  <a:schemeClr val="accent1">
                    <a:lumMod val="75000"/>
                  </a:schemeClr>
                </a:solidFill>
              </a:ln>
              <a:effectLst/>
            </c:spPr>
            <c:extLst>
              <c:ext xmlns:c16="http://schemas.microsoft.com/office/drawing/2014/chart" uri="{C3380CC4-5D6E-409C-BE32-E72D297353CC}">
                <c16:uniqueId val="{00000005-B7E0-4286-9DC0-305A5BDCC3D6}"/>
              </c:ext>
            </c:extLst>
          </c:dPt>
          <c:dPt>
            <c:idx val="1"/>
            <c:invertIfNegative val="0"/>
            <c:bubble3D val="0"/>
            <c:spPr>
              <a:solidFill>
                <a:schemeClr val="accent1">
                  <a:lumMod val="75000"/>
                </a:schemeClr>
              </a:solidFill>
              <a:ln>
                <a:solidFill>
                  <a:schemeClr val="accent1">
                    <a:lumMod val="75000"/>
                  </a:schemeClr>
                </a:solidFill>
              </a:ln>
              <a:effectLst/>
            </c:spPr>
            <c:extLst>
              <c:ext xmlns:c16="http://schemas.microsoft.com/office/drawing/2014/chart" uri="{C3380CC4-5D6E-409C-BE32-E72D297353CC}">
                <c16:uniqueId val="{00000007-B7E0-4286-9DC0-305A5BDCC3D6}"/>
              </c:ext>
            </c:extLst>
          </c:dPt>
          <c:dPt>
            <c:idx val="3"/>
            <c:invertIfNegative val="0"/>
            <c:bubble3D val="0"/>
            <c:spPr>
              <a:solidFill>
                <a:schemeClr val="accent1">
                  <a:lumMod val="75000"/>
                </a:schemeClr>
              </a:solidFill>
              <a:ln>
                <a:solidFill>
                  <a:schemeClr val="accent1">
                    <a:lumMod val="75000"/>
                  </a:schemeClr>
                </a:solidFill>
              </a:ln>
              <a:effectLst/>
            </c:spPr>
            <c:extLst>
              <c:ext xmlns:c16="http://schemas.microsoft.com/office/drawing/2014/chart" uri="{C3380CC4-5D6E-409C-BE32-E72D297353CC}">
                <c16:uniqueId val="{00000009-B7E0-4286-9DC0-305A5BDCC3D6}"/>
              </c:ext>
            </c:extLst>
          </c:dPt>
          <c:dLbls>
            <c:dLbl>
              <c:idx val="0"/>
              <c:layout>
                <c:manualLayout>
                  <c:x val="-3.0744602349182647E-2"/>
                  <c:y val="-7.9888549379088805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extLst>
                <c:ext xmlns:c15="http://schemas.microsoft.com/office/drawing/2012/chart" uri="{CE6537A1-D6FC-4f65-9D91-7224C49458BB}">
                  <c15:layout>
                    <c:manualLayout>
                      <c:w val="6.799347159885058E-2"/>
                      <c:h val="7.049424196568263E-2"/>
                    </c:manualLayout>
                  </c15:layout>
                </c:ext>
                <c:ext xmlns:c16="http://schemas.microsoft.com/office/drawing/2014/chart" uri="{C3380CC4-5D6E-409C-BE32-E72D297353CC}">
                  <c16:uniqueId val="{00000005-B7E0-4286-9DC0-305A5BDCC3D6}"/>
                </c:ext>
              </c:extLst>
            </c:dLbl>
            <c:dLbl>
              <c:idx val="1"/>
              <c:layout>
                <c:manualLayout>
                  <c:x val="-8.0851693704735569E-17"/>
                  <c:y val="2.35224933842987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E0-4286-9DC0-305A5BDCC3D6}"/>
                </c:ext>
              </c:extLst>
            </c:dLbl>
            <c:dLbl>
              <c:idx val="3"/>
              <c:layout>
                <c:manualLayout>
                  <c:x val="-1.2197518860307842E-2"/>
                  <c:y val="-7.07568640071122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7E0-4286-9DC0-305A5BDCC3D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List1!$A$2:$A$5</c:f>
              <c:strCache>
                <c:ptCount val="4"/>
                <c:pt idx="0">
                  <c:v>RISPF</c:v>
                </c:pt>
                <c:pt idx="1">
                  <c:v>EDS</c:v>
                </c:pt>
                <c:pt idx="2">
                  <c:v>SMVS</c:v>
                </c:pt>
                <c:pt idx="3">
                  <c:v>ZED</c:v>
                </c:pt>
              </c:strCache>
            </c:strRef>
          </c:cat>
          <c:val>
            <c:numRef>
              <c:f>List1!$C$2:$C$5</c:f>
              <c:numCache>
                <c:formatCode>#,##0</c:formatCode>
                <c:ptCount val="4"/>
                <c:pt idx="0">
                  <c:v>96679</c:v>
                </c:pt>
                <c:pt idx="1">
                  <c:v>68181</c:v>
                </c:pt>
                <c:pt idx="2">
                  <c:v>528</c:v>
                </c:pt>
                <c:pt idx="3">
                  <c:v>27970</c:v>
                </c:pt>
              </c:numCache>
            </c:numRef>
          </c:val>
          <c:extLst>
            <c:ext xmlns:c16="http://schemas.microsoft.com/office/drawing/2014/chart" uri="{C3380CC4-5D6E-409C-BE32-E72D297353CC}">
              <c16:uniqueId val="{0000000A-B7E0-4286-9DC0-305A5BDCC3D6}"/>
            </c:ext>
          </c:extLst>
        </c:ser>
        <c:ser>
          <c:idx val="2"/>
          <c:order val="2"/>
          <c:tx>
            <c:strRef>
              <c:f>List1!$D$1</c:f>
              <c:strCache>
                <c:ptCount val="1"/>
                <c:pt idx="0">
                  <c:v>konečný rozpočet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List1!$A$2:$A$5</c:f>
              <c:strCache>
                <c:ptCount val="4"/>
                <c:pt idx="0">
                  <c:v>RISPF</c:v>
                </c:pt>
                <c:pt idx="1">
                  <c:v>EDS</c:v>
                </c:pt>
                <c:pt idx="2">
                  <c:v>SMVS</c:v>
                </c:pt>
                <c:pt idx="3">
                  <c:v>ZED</c:v>
                </c:pt>
              </c:strCache>
            </c:strRef>
          </c:cat>
          <c:val>
            <c:numRef>
              <c:f>List1!$D$2:$D$5</c:f>
              <c:numCache>
                <c:formatCode>#,##0</c:formatCode>
                <c:ptCount val="4"/>
                <c:pt idx="0">
                  <c:v>105935</c:v>
                </c:pt>
                <c:pt idx="1">
                  <c:v>75319</c:v>
                </c:pt>
                <c:pt idx="2">
                  <c:v>1034</c:v>
                </c:pt>
                <c:pt idx="3">
                  <c:v>29582</c:v>
                </c:pt>
              </c:numCache>
            </c:numRef>
          </c:val>
          <c:extLst>
            <c:ext xmlns:c16="http://schemas.microsoft.com/office/drawing/2014/chart" uri="{C3380CC4-5D6E-409C-BE32-E72D297353CC}">
              <c16:uniqueId val="{0000000B-B7E0-4286-9DC0-305A5BDCC3D6}"/>
            </c:ext>
          </c:extLst>
        </c:ser>
        <c:ser>
          <c:idx val="3"/>
          <c:order val="3"/>
          <c:tx>
            <c:strRef>
              <c:f>List1!$E$1</c:f>
              <c:strCache>
                <c:ptCount val="1"/>
                <c:pt idx="0">
                  <c:v>skutečnost</c:v>
                </c:pt>
              </c:strCache>
            </c:strRef>
          </c:tx>
          <c:spPr>
            <a:solidFill>
              <a:schemeClr val="accent2">
                <a:lumMod val="60000"/>
                <a:lumOff val="40000"/>
              </a:schemeClr>
            </a:solidFill>
            <a:ln>
              <a:noFill/>
            </a:ln>
            <a:effectLst/>
          </c:spPr>
          <c:invertIfNegative val="0"/>
          <c:dLbls>
            <c:dLbl>
              <c:idx val="0"/>
              <c:layout>
                <c:manualLayout>
                  <c:x val="1.3625432984052256E-2"/>
                  <c:y val="-1.347627282236753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7E0-4286-9DC0-305A5BDCC3D6}"/>
                </c:ext>
              </c:extLst>
            </c:dLbl>
            <c:dLbl>
              <c:idx val="1"/>
              <c:layout>
                <c:manualLayout>
                  <c:x val="1.8683207597947719E-2"/>
                  <c:y val="6.666867317856898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7E0-4286-9DC0-305A5BDCC3D6}"/>
                </c:ext>
              </c:extLst>
            </c:dLbl>
            <c:dLbl>
              <c:idx val="3"/>
              <c:layout>
                <c:manualLayout>
                  <c:x val="2.4906600249065849E-2"/>
                  <c:y val="1.05708245243128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B7E0-4286-9DC0-305A5BDCC3D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List1!$A$2:$A$5</c:f>
              <c:strCache>
                <c:ptCount val="4"/>
                <c:pt idx="0">
                  <c:v>RISPF</c:v>
                </c:pt>
                <c:pt idx="1">
                  <c:v>EDS</c:v>
                </c:pt>
                <c:pt idx="2">
                  <c:v>SMVS</c:v>
                </c:pt>
                <c:pt idx="3">
                  <c:v>ZED</c:v>
                </c:pt>
              </c:strCache>
            </c:strRef>
          </c:cat>
          <c:val>
            <c:numRef>
              <c:f>List1!$E$2:$E$5</c:f>
              <c:numCache>
                <c:formatCode>#,##0</c:formatCode>
                <c:ptCount val="4"/>
                <c:pt idx="0">
                  <c:v>96727</c:v>
                </c:pt>
                <c:pt idx="1">
                  <c:v>73792</c:v>
                </c:pt>
                <c:pt idx="2">
                  <c:v>726</c:v>
                </c:pt>
                <c:pt idx="3">
                  <c:v>22209</c:v>
                </c:pt>
              </c:numCache>
            </c:numRef>
          </c:val>
          <c:extLst>
            <c:ext xmlns:c16="http://schemas.microsoft.com/office/drawing/2014/chart" uri="{C3380CC4-5D6E-409C-BE32-E72D297353CC}">
              <c16:uniqueId val="{0000000F-B7E0-4286-9DC0-305A5BDCC3D6}"/>
            </c:ext>
          </c:extLst>
        </c:ser>
        <c:dLbls>
          <c:showLegendKey val="0"/>
          <c:showVal val="0"/>
          <c:showCatName val="0"/>
          <c:showSerName val="0"/>
          <c:showPercent val="0"/>
          <c:showBubbleSize val="0"/>
        </c:dLbls>
        <c:gapWidth val="138"/>
        <c:overlap val="-21"/>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13296703678302615"/>
          <c:y val="0.93529786283330285"/>
          <c:w val="0.73406582271861098"/>
          <c:h val="6.074556555160626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tx>
            <c:strRef>
              <c:f>List1!$B$1</c:f>
              <c:strCache>
                <c:ptCount val="1"/>
                <c:pt idx="0">
                  <c:v>Prodej</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5EF5-4104-AEF8-092B133CF099}"/>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5EF5-4104-AEF8-092B133CF099}"/>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5EF5-4104-AEF8-092B133CF099}"/>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5EF5-4104-AEF8-092B133CF099}"/>
              </c:ext>
            </c:extLst>
          </c:dPt>
          <c:dPt>
            <c:idx val="4"/>
            <c:bubble3D val="0"/>
            <c:spPr>
              <a:solidFill>
                <a:schemeClr val="bg2">
                  <a:lumMod val="75000"/>
                </a:schemeClr>
              </a:solidFill>
              <a:ln w="19050">
                <a:solidFill>
                  <a:schemeClr val="lt1"/>
                </a:solidFill>
              </a:ln>
              <a:effectLst/>
            </c:spPr>
            <c:extLst>
              <c:ext xmlns:c16="http://schemas.microsoft.com/office/drawing/2014/chart" uri="{C3380CC4-5D6E-409C-BE32-E72D297353CC}">
                <c16:uniqueId val="{00000009-5EF5-4104-AEF8-092B133CF099}"/>
              </c:ext>
            </c:extLst>
          </c:dPt>
          <c:dLbls>
            <c:dLbl>
              <c:idx val="4"/>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extLst>
                <c:ext xmlns:c16="http://schemas.microsoft.com/office/drawing/2014/chart" uri="{C3380CC4-5D6E-409C-BE32-E72D297353CC}">
                  <c16:uniqueId val="{00000009-5EF5-4104-AEF8-092B133CF09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List1!$A$2:$A$5</c:f>
              <c:strCache>
                <c:ptCount val="4"/>
                <c:pt idx="2">
                  <c:v>prostředky EU</c:v>
                </c:pt>
                <c:pt idx="3">
                  <c:v>prostředky SR</c:v>
                </c:pt>
              </c:strCache>
            </c:strRef>
          </c:cat>
          <c:val>
            <c:numRef>
              <c:f>List1!$B$2:$B$5</c:f>
              <c:numCache>
                <c:formatCode>General</c:formatCode>
                <c:ptCount val="4"/>
                <c:pt idx="2" formatCode="#,##0">
                  <c:v>77898</c:v>
                </c:pt>
                <c:pt idx="3" formatCode="#,##0">
                  <c:v>1619705</c:v>
                </c:pt>
              </c:numCache>
            </c:numRef>
          </c:val>
          <c:extLst>
            <c:ext xmlns:c16="http://schemas.microsoft.com/office/drawing/2014/chart" uri="{C3380CC4-5D6E-409C-BE32-E72D297353CC}">
              <c16:uniqueId val="{0000000A-5EF5-4104-AEF8-092B133CF099}"/>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legendEntry>
        <c:idx val="0"/>
        <c:delete val="1"/>
      </c:legendEntry>
      <c:legendEntry>
        <c:idx val="1"/>
        <c:delete val="1"/>
      </c:legendEntry>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tx>
            <c:strRef>
              <c:f>List1!$B$1</c:f>
              <c:strCache>
                <c:ptCount val="1"/>
                <c:pt idx="0">
                  <c:v>Prodej</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FA7E-4CA6-99FC-F9BAB11A7BE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FA7E-4CA6-99FC-F9BAB11A7BE7}"/>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FA7E-4CA6-99FC-F9BAB11A7BE7}"/>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FA7E-4CA6-99FC-F9BAB11A7BE7}"/>
              </c:ext>
            </c:extLst>
          </c:dPt>
          <c:dPt>
            <c:idx val="4"/>
            <c:bubble3D val="0"/>
            <c:spPr>
              <a:solidFill>
                <a:schemeClr val="bg2">
                  <a:lumMod val="75000"/>
                </a:schemeClr>
              </a:solidFill>
              <a:ln w="19050">
                <a:solidFill>
                  <a:schemeClr val="lt1"/>
                </a:solidFill>
              </a:ln>
              <a:effectLst/>
            </c:spPr>
            <c:extLst>
              <c:ext xmlns:c16="http://schemas.microsoft.com/office/drawing/2014/chart" uri="{C3380CC4-5D6E-409C-BE32-E72D297353CC}">
                <c16:uniqueId val="{00000009-FA7E-4CA6-99FC-F9BAB11A7BE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List1!$A$2:$A$5</c:f>
              <c:strCache>
                <c:ptCount val="4"/>
                <c:pt idx="0">
                  <c:v>dotace poskytnutá ze SFDI</c:v>
                </c:pt>
                <c:pt idx="1">
                  <c:v>vlastní zdroje</c:v>
                </c:pt>
                <c:pt idx="2">
                  <c:v>prostředky EU</c:v>
                </c:pt>
                <c:pt idx="3">
                  <c:v>prostředky SR</c:v>
                </c:pt>
              </c:strCache>
            </c:strRef>
          </c:cat>
          <c:val>
            <c:numRef>
              <c:f>List1!$B$2:$B$5</c:f>
              <c:numCache>
                <c:formatCode>#,##0</c:formatCode>
                <c:ptCount val="4"/>
                <c:pt idx="0">
                  <c:v>94446</c:v>
                </c:pt>
                <c:pt idx="1">
                  <c:v>15135</c:v>
                </c:pt>
                <c:pt idx="2">
                  <c:v>505962</c:v>
                </c:pt>
                <c:pt idx="3">
                  <c:v>159403</c:v>
                </c:pt>
              </c:numCache>
            </c:numRef>
          </c:val>
          <c:extLst>
            <c:ext xmlns:c16="http://schemas.microsoft.com/office/drawing/2014/chart" uri="{C3380CC4-5D6E-409C-BE32-E72D297353CC}">
              <c16:uniqueId val="{0000000A-FA7E-4CA6-99FC-F9BAB11A7BE7}"/>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tx>
            <c:strRef>
              <c:f>List1!$B$1</c:f>
              <c:strCache>
                <c:ptCount val="1"/>
                <c:pt idx="0">
                  <c:v>Prodej</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B282-4675-AAD8-90A195DAFD06}"/>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B282-4675-AAD8-90A195DAFD06}"/>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B282-4675-AAD8-90A195DAFD06}"/>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B282-4675-AAD8-90A195DAFD06}"/>
              </c:ext>
            </c:extLst>
          </c:dPt>
          <c:dPt>
            <c:idx val="4"/>
            <c:bubble3D val="0"/>
            <c:spPr>
              <a:solidFill>
                <a:schemeClr val="bg2">
                  <a:lumMod val="75000"/>
                </a:schemeClr>
              </a:solidFill>
              <a:ln w="19050">
                <a:solidFill>
                  <a:schemeClr val="lt1"/>
                </a:solidFill>
              </a:ln>
              <a:effectLst/>
            </c:spPr>
            <c:extLst>
              <c:ext xmlns:c16="http://schemas.microsoft.com/office/drawing/2014/chart" uri="{C3380CC4-5D6E-409C-BE32-E72D297353CC}">
                <c16:uniqueId val="{00000009-B282-4675-AAD8-90A195DAFD06}"/>
              </c:ext>
            </c:extLst>
          </c:dPt>
          <c:dLbls>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List1!$A$2:$A$5</c:f>
              <c:strCache>
                <c:ptCount val="4"/>
                <c:pt idx="2">
                  <c:v>prostředky EU</c:v>
                </c:pt>
                <c:pt idx="3">
                  <c:v>prostředky SR</c:v>
                </c:pt>
              </c:strCache>
            </c:strRef>
          </c:cat>
          <c:val>
            <c:numRef>
              <c:f>List1!$B$2:$B$5</c:f>
              <c:numCache>
                <c:formatCode>General</c:formatCode>
                <c:ptCount val="4"/>
                <c:pt idx="2" formatCode="#,##0">
                  <c:v>73883</c:v>
                </c:pt>
                <c:pt idx="3" formatCode="#,##0">
                  <c:v>1412562</c:v>
                </c:pt>
              </c:numCache>
            </c:numRef>
          </c:val>
          <c:extLst>
            <c:ext xmlns:c16="http://schemas.microsoft.com/office/drawing/2014/chart" uri="{C3380CC4-5D6E-409C-BE32-E72D297353CC}">
              <c16:uniqueId val="{0000000A-B282-4675-AAD8-90A195DAFD06}"/>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legendEntry>
        <c:idx val="0"/>
        <c:delete val="1"/>
      </c:legendEntry>
      <c:legendEntry>
        <c:idx val="1"/>
        <c:delete val="1"/>
      </c:legendEntry>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tx>
            <c:strRef>
              <c:f>List1!$B$1</c:f>
              <c:strCache>
                <c:ptCount val="1"/>
                <c:pt idx="0">
                  <c:v>Prodej</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8E7B-4ED9-BEC7-01D3CAC0D7AB}"/>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8E7B-4ED9-BEC7-01D3CAC0D7AB}"/>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8E7B-4ED9-BEC7-01D3CAC0D7AB}"/>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8E7B-4ED9-BEC7-01D3CAC0D7AB}"/>
              </c:ext>
            </c:extLst>
          </c:dPt>
          <c:dPt>
            <c:idx val="4"/>
            <c:bubble3D val="0"/>
            <c:spPr>
              <a:solidFill>
                <a:schemeClr val="bg2">
                  <a:lumMod val="75000"/>
                </a:schemeClr>
              </a:solidFill>
              <a:ln w="19050">
                <a:solidFill>
                  <a:schemeClr val="lt1"/>
                </a:solidFill>
              </a:ln>
              <a:effectLst/>
            </c:spPr>
            <c:extLst>
              <c:ext xmlns:c16="http://schemas.microsoft.com/office/drawing/2014/chart" uri="{C3380CC4-5D6E-409C-BE32-E72D297353CC}">
                <c16:uniqueId val="{00000009-8E7B-4ED9-BEC7-01D3CAC0D7A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List1!$A$2:$A$5</c:f>
              <c:strCache>
                <c:ptCount val="4"/>
                <c:pt idx="1">
                  <c:v>vlastní zdroje</c:v>
                </c:pt>
                <c:pt idx="2">
                  <c:v>prostředky EU</c:v>
                </c:pt>
                <c:pt idx="3">
                  <c:v>prostředky SR</c:v>
                </c:pt>
              </c:strCache>
            </c:strRef>
          </c:cat>
          <c:val>
            <c:numRef>
              <c:f>List1!$B$2:$B$5</c:f>
              <c:numCache>
                <c:formatCode>#,##0</c:formatCode>
                <c:ptCount val="4"/>
                <c:pt idx="1">
                  <c:v>1263000</c:v>
                </c:pt>
                <c:pt idx="2">
                  <c:v>8750000</c:v>
                </c:pt>
                <c:pt idx="3">
                  <c:v>180000</c:v>
                </c:pt>
              </c:numCache>
            </c:numRef>
          </c:val>
          <c:extLst>
            <c:ext xmlns:c16="http://schemas.microsoft.com/office/drawing/2014/chart" uri="{C3380CC4-5D6E-409C-BE32-E72D297353CC}">
              <c16:uniqueId val="{0000000A-8E7B-4ED9-BEC7-01D3CAC0D7AB}"/>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legendEntry>
        <c:idx val="0"/>
        <c:delete val="1"/>
      </c:legendEntry>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tx>
            <c:strRef>
              <c:f>List1!$B$1</c:f>
              <c:strCache>
                <c:ptCount val="1"/>
                <c:pt idx="0">
                  <c:v>Prodej</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F32B-4DC1-9C67-8EA3D7E28E0E}"/>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F32B-4DC1-9C67-8EA3D7E28E0E}"/>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F32B-4DC1-9C67-8EA3D7E28E0E}"/>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F32B-4DC1-9C67-8EA3D7E28E0E}"/>
              </c:ext>
            </c:extLst>
          </c:dPt>
          <c:dPt>
            <c:idx val="4"/>
            <c:bubble3D val="0"/>
            <c:spPr>
              <a:solidFill>
                <a:schemeClr val="bg2">
                  <a:lumMod val="75000"/>
                </a:schemeClr>
              </a:solidFill>
              <a:ln w="19050">
                <a:solidFill>
                  <a:schemeClr val="lt1"/>
                </a:solidFill>
              </a:ln>
              <a:effectLst/>
            </c:spPr>
            <c:extLst>
              <c:ext xmlns:c16="http://schemas.microsoft.com/office/drawing/2014/chart" uri="{C3380CC4-5D6E-409C-BE32-E72D297353CC}">
                <c16:uniqueId val="{00000009-F32B-4DC1-9C67-8EA3D7E28E0E}"/>
              </c:ext>
            </c:extLst>
          </c:dPt>
          <c:dLbls>
            <c:dLbl>
              <c:idx val="0"/>
              <c:delete val="1"/>
              <c:extLst>
                <c:ext xmlns:c15="http://schemas.microsoft.com/office/drawing/2012/chart" uri="{CE6537A1-D6FC-4f65-9D91-7224C49458BB}"/>
                <c:ext xmlns:c16="http://schemas.microsoft.com/office/drawing/2014/chart" uri="{C3380CC4-5D6E-409C-BE32-E72D297353CC}">
                  <c16:uniqueId val="{00000001-F32B-4DC1-9C67-8EA3D7E28E0E}"/>
                </c:ext>
              </c:extLst>
            </c:dLbl>
            <c:dLbl>
              <c:idx val="2"/>
              <c:delete val="1"/>
              <c:extLst>
                <c:ext xmlns:c15="http://schemas.microsoft.com/office/drawing/2012/chart" uri="{CE6537A1-D6FC-4f65-9D91-7224C49458BB}"/>
                <c:ext xmlns:c16="http://schemas.microsoft.com/office/drawing/2014/chart" uri="{C3380CC4-5D6E-409C-BE32-E72D297353CC}">
                  <c16:uniqueId val="{00000005-F32B-4DC1-9C67-8EA3D7E28E0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List1!$A$2:$A$5</c:f>
              <c:strCache>
                <c:ptCount val="4"/>
                <c:pt idx="0">
                  <c:v>dotace poskytnutá ze SFDI</c:v>
                </c:pt>
                <c:pt idx="1">
                  <c:v>vlastní zdroje</c:v>
                </c:pt>
                <c:pt idx="2">
                  <c:v>prostředky EU</c:v>
                </c:pt>
                <c:pt idx="3">
                  <c:v>prostředky SR</c:v>
                </c:pt>
              </c:strCache>
            </c:strRef>
          </c:cat>
          <c:val>
            <c:numRef>
              <c:f>List1!$B$2:$B$5</c:f>
              <c:numCache>
                <c:formatCode>#,##0</c:formatCode>
                <c:ptCount val="4"/>
                <c:pt idx="0">
                  <c:v>0</c:v>
                </c:pt>
                <c:pt idx="1">
                  <c:v>3750</c:v>
                </c:pt>
                <c:pt idx="2">
                  <c:v>0</c:v>
                </c:pt>
                <c:pt idx="3">
                  <c:v>15000</c:v>
                </c:pt>
              </c:numCache>
            </c:numRef>
          </c:val>
          <c:extLst>
            <c:ext xmlns:c16="http://schemas.microsoft.com/office/drawing/2014/chart" uri="{C3380CC4-5D6E-409C-BE32-E72D297353CC}">
              <c16:uniqueId val="{0000000A-F32B-4DC1-9C67-8EA3D7E28E0E}"/>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legendEntry>
        <c:idx val="0"/>
        <c:delete val="1"/>
      </c:legendEntry>
      <c:legendEntry>
        <c:idx val="2"/>
        <c:delete val="1"/>
      </c:legendEntry>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ofPieChart>
        <c:ofPieType val="bar"/>
        <c:varyColors val="1"/>
        <c:ser>
          <c:idx val="0"/>
          <c:order val="0"/>
          <c:tx>
            <c:strRef>
              <c:f>List1!$B$1</c:f>
              <c:strCache>
                <c:ptCount val="1"/>
                <c:pt idx="0">
                  <c:v>Prodej</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9540-4850-B292-0B1D3C04A9A0}"/>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9540-4850-B292-0B1D3C04A9A0}"/>
              </c:ext>
            </c:extLst>
          </c:dPt>
          <c:dPt>
            <c:idx val="2"/>
            <c:bubble3D val="0"/>
            <c:spPr>
              <a:solidFill>
                <a:schemeClr val="accent1"/>
              </a:solidFill>
              <a:ln w="19050">
                <a:solidFill>
                  <a:schemeClr val="lt1"/>
                </a:solidFill>
              </a:ln>
              <a:effectLst/>
            </c:spPr>
            <c:extLst>
              <c:ext xmlns:c16="http://schemas.microsoft.com/office/drawing/2014/chart" uri="{C3380CC4-5D6E-409C-BE32-E72D297353CC}">
                <c16:uniqueId val="{00000005-9540-4850-B292-0B1D3C04A9A0}"/>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9540-4850-B292-0B1D3C04A9A0}"/>
              </c:ext>
            </c:extLst>
          </c:dPt>
          <c:dPt>
            <c:idx val="4"/>
            <c:bubble3D val="0"/>
            <c:spPr>
              <a:solidFill>
                <a:schemeClr val="bg2">
                  <a:lumMod val="75000"/>
                </a:schemeClr>
              </a:solidFill>
              <a:ln w="19050">
                <a:solidFill>
                  <a:schemeClr val="lt1"/>
                </a:solidFill>
              </a:ln>
              <a:effectLst/>
            </c:spPr>
            <c:extLst>
              <c:ext xmlns:c16="http://schemas.microsoft.com/office/drawing/2014/chart" uri="{C3380CC4-5D6E-409C-BE32-E72D297353CC}">
                <c16:uniqueId val="{00000009-9540-4850-B292-0B1D3C04A9A0}"/>
              </c:ext>
            </c:extLst>
          </c:dPt>
          <c:dLbls>
            <c:dLbl>
              <c:idx val="4"/>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extLst>
                <c:ext xmlns:c16="http://schemas.microsoft.com/office/drawing/2014/chart" uri="{C3380CC4-5D6E-409C-BE32-E72D297353CC}">
                  <c16:uniqueId val="{00000009-9540-4850-B292-0B1D3C04A9A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List1!$A$2:$A$5</c:f>
              <c:strCache>
                <c:ptCount val="4"/>
                <c:pt idx="0">
                  <c:v>dotace poskytnutá ze SFDI</c:v>
                </c:pt>
                <c:pt idx="1">
                  <c:v>vlastní zdroje</c:v>
                </c:pt>
                <c:pt idx="2">
                  <c:v>prostředky EU</c:v>
                </c:pt>
                <c:pt idx="3">
                  <c:v>prostředky SR</c:v>
                </c:pt>
              </c:strCache>
            </c:strRef>
          </c:cat>
          <c:val>
            <c:numRef>
              <c:f>List1!$B$2:$B$5</c:f>
              <c:numCache>
                <c:formatCode>General</c:formatCode>
                <c:ptCount val="4"/>
                <c:pt idx="2" formatCode="#,##0">
                  <c:v>130490203</c:v>
                </c:pt>
                <c:pt idx="3" formatCode="#,##0">
                  <c:v>318822672</c:v>
                </c:pt>
              </c:numCache>
            </c:numRef>
          </c:val>
          <c:extLst>
            <c:ext xmlns:c16="http://schemas.microsoft.com/office/drawing/2014/chart" uri="{C3380CC4-5D6E-409C-BE32-E72D297353CC}">
              <c16:uniqueId val="{0000000A-9540-4850-B292-0B1D3C04A9A0}"/>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legendEntry>
        <c:idx val="0"/>
        <c:delete val="1"/>
      </c:legendEntry>
      <c:legendEntry>
        <c:idx val="1"/>
        <c:delete val="1"/>
      </c:legendEntry>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cs-CZ"/>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FD2-4323-94A0-38B6E298CEFB}"/>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FD2-4323-94A0-38B6E298CEF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5993787</c:v>
                </c:pt>
                <c:pt idx="1">
                  <c:v>5921783</c:v>
                </c:pt>
              </c:numCache>
            </c:numRef>
          </c:val>
          <c:extLst>
            <c:ext xmlns:c16="http://schemas.microsoft.com/office/drawing/2014/chart" uri="{C3380CC4-5D6E-409C-BE32-E72D297353CC}">
              <c16:uniqueId val="{00000002-4FD2-4323-94A0-38B6E298CEFB}"/>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extLst>
              <c:ext xmlns:c16="http://schemas.microsoft.com/office/drawing/2014/chart" uri="{C3380CC4-5D6E-409C-BE32-E72D297353CC}">
                <c16:uniqueId val="{00000004-4FD2-4323-94A0-38B6E298CEFB}"/>
              </c:ext>
            </c:extLst>
          </c:dPt>
          <c:dPt>
            <c:idx val="1"/>
            <c:invertIfNegative val="0"/>
            <c:bubble3D val="0"/>
            <c:extLst>
              <c:ext xmlns:c16="http://schemas.microsoft.com/office/drawing/2014/chart" uri="{C3380CC4-5D6E-409C-BE32-E72D297353CC}">
                <c16:uniqueId val="{00000006-4FD2-4323-94A0-38B6E298CEFB}"/>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FD2-4323-94A0-38B6E298CEFB}"/>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FD2-4323-94A0-38B6E298CEF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5908253</c:v>
                </c:pt>
                <c:pt idx="1">
                  <c:v>5824383</c:v>
                </c:pt>
              </c:numCache>
            </c:numRef>
          </c:val>
          <c:extLst>
            <c:ext xmlns:c16="http://schemas.microsoft.com/office/drawing/2014/chart" uri="{C3380CC4-5D6E-409C-BE32-E72D297353CC}">
              <c16:uniqueId val="{00000007-4FD2-4323-94A0-38B6E298CEFB}"/>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85534</c:v>
                </c:pt>
                <c:pt idx="1">
                  <c:v>97400</c:v>
                </c:pt>
              </c:numCache>
            </c:numRef>
          </c:val>
          <c:extLst>
            <c:ext xmlns:c16="http://schemas.microsoft.com/office/drawing/2014/chart" uri="{C3380CC4-5D6E-409C-BE32-E72D297353CC}">
              <c16:uniqueId val="{00000008-4FD2-4323-94A0-38B6E298CEFB}"/>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4218006927744837"/>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536214395471794E-2"/>
          <c:y val="5.8868280982666062E-2"/>
          <c:w val="0.88261866572234027"/>
          <c:h val="0.74423872552537829"/>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D6E-4A2E-9096-6C3C4A32EAA1}"/>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D6E-4A2E-9096-6C3C4A32EAA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212476</c:v>
                </c:pt>
                <c:pt idx="1">
                  <c:v>209501</c:v>
                </c:pt>
              </c:numCache>
            </c:numRef>
          </c:val>
          <c:extLst>
            <c:ext xmlns:c16="http://schemas.microsoft.com/office/drawing/2014/chart" uri="{C3380CC4-5D6E-409C-BE32-E72D297353CC}">
              <c16:uniqueId val="{00000002-9D6E-4A2E-9096-6C3C4A32EAA1}"/>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4-9D6E-4A2E-9096-6C3C4A32EAA1}"/>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6-9D6E-4A2E-9096-6C3C4A32EAA1}"/>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D6E-4A2E-9096-6C3C4A32EAA1}"/>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D6E-4A2E-9096-6C3C4A32EAA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205171</c:v>
                </c:pt>
                <c:pt idx="1">
                  <c:v>200030</c:v>
                </c:pt>
              </c:numCache>
            </c:numRef>
          </c:val>
          <c:extLst>
            <c:ext xmlns:c16="http://schemas.microsoft.com/office/drawing/2014/chart" uri="{C3380CC4-5D6E-409C-BE32-E72D297353CC}">
              <c16:uniqueId val="{00000007-9D6E-4A2E-9096-6C3C4A32EAA1}"/>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7304</c:v>
                </c:pt>
                <c:pt idx="1">
                  <c:v>9470</c:v>
                </c:pt>
              </c:numCache>
            </c:numRef>
          </c:val>
          <c:extLst>
            <c:ext xmlns:c16="http://schemas.microsoft.com/office/drawing/2014/chart" uri="{C3380CC4-5D6E-409C-BE32-E72D297353CC}">
              <c16:uniqueId val="{00000008-9D6E-4A2E-9096-6C3C4A32EAA1}"/>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3997499761261926"/>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6DB-421D-984E-C779D0FA326E}"/>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6DB-421D-984E-C779D0FA326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83700</c:v>
                </c:pt>
                <c:pt idx="1">
                  <c:v>89564</c:v>
                </c:pt>
              </c:numCache>
            </c:numRef>
          </c:val>
          <c:extLst>
            <c:ext xmlns:c16="http://schemas.microsoft.com/office/drawing/2014/chart" uri="{C3380CC4-5D6E-409C-BE32-E72D297353CC}">
              <c16:uniqueId val="{00000002-86DB-421D-984E-C779D0FA326E}"/>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4-86DB-421D-984E-C779D0FA326E}"/>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6-86DB-421D-984E-C779D0FA326E}"/>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6DB-421D-984E-C779D0FA326E}"/>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6DB-421D-984E-C779D0FA326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73746</c:v>
                </c:pt>
                <c:pt idx="1">
                  <c:v>75591</c:v>
                </c:pt>
              </c:numCache>
            </c:numRef>
          </c:val>
          <c:extLst>
            <c:ext xmlns:c16="http://schemas.microsoft.com/office/drawing/2014/chart" uri="{C3380CC4-5D6E-409C-BE32-E72D297353CC}">
              <c16:uniqueId val="{00000007-86DB-421D-984E-C779D0FA326E}"/>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9954</c:v>
                </c:pt>
                <c:pt idx="1">
                  <c:v>13973</c:v>
                </c:pt>
              </c:numCache>
            </c:numRef>
          </c:val>
          <c:extLst>
            <c:ext xmlns:c16="http://schemas.microsoft.com/office/drawing/2014/chart" uri="{C3380CC4-5D6E-409C-BE32-E72D297353CC}">
              <c16:uniqueId val="{00000008-86DB-421D-984E-C779D0FA326E}"/>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4218006927744837"/>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659685548715414"/>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CCF-4275-826E-7929806DCDE5}"/>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CF-4275-826E-7929806DCDE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110959</c:v>
                </c:pt>
                <c:pt idx="1">
                  <c:v>115238</c:v>
                </c:pt>
              </c:numCache>
            </c:numRef>
          </c:val>
          <c:extLst>
            <c:ext xmlns:c16="http://schemas.microsoft.com/office/drawing/2014/chart" uri="{C3380CC4-5D6E-409C-BE32-E72D297353CC}">
              <c16:uniqueId val="{00000002-4CCF-4275-826E-7929806DCDE5}"/>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extLst>
              <c:ext xmlns:c16="http://schemas.microsoft.com/office/drawing/2014/chart" uri="{C3380CC4-5D6E-409C-BE32-E72D297353CC}">
                <c16:uniqueId val="{00000003-4CCF-4275-826E-7929806DCDE5}"/>
              </c:ext>
            </c:extLst>
          </c:dPt>
          <c:dPt>
            <c:idx val="1"/>
            <c:invertIfNegative val="0"/>
            <c:bubble3D val="0"/>
            <c:extLst>
              <c:ext xmlns:c16="http://schemas.microsoft.com/office/drawing/2014/chart" uri="{C3380CC4-5D6E-409C-BE32-E72D297353CC}">
                <c16:uniqueId val="{00000004-4CCF-4275-826E-7929806DCDE5}"/>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CF-4275-826E-7929806DCDE5}"/>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CCF-4275-826E-7929806DCDE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110623</c:v>
                </c:pt>
                <c:pt idx="1">
                  <c:v>111168</c:v>
                </c:pt>
              </c:numCache>
            </c:numRef>
          </c:val>
          <c:extLst>
            <c:ext xmlns:c16="http://schemas.microsoft.com/office/drawing/2014/chart" uri="{C3380CC4-5D6E-409C-BE32-E72D297353CC}">
              <c16:uniqueId val="{00000005-4CCF-4275-826E-7929806DCDE5}"/>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335</c:v>
                </c:pt>
                <c:pt idx="1">
                  <c:v>4069</c:v>
                </c:pt>
              </c:numCache>
            </c:numRef>
          </c:val>
          <c:extLst>
            <c:ext xmlns:c16="http://schemas.microsoft.com/office/drawing/2014/chart" uri="{C3380CC4-5D6E-409C-BE32-E72D297353CC}">
              <c16:uniqueId val="{00000006-4CCF-4275-826E-7929806DCDE5}"/>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4218006927744837"/>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1B3-44A4-B225-43EF761C1CED}"/>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1B3-44A4-B225-43EF761C1CE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40936</c:v>
                </c:pt>
                <c:pt idx="1">
                  <c:v>45617</c:v>
                </c:pt>
              </c:numCache>
            </c:numRef>
          </c:val>
          <c:extLst>
            <c:ext xmlns:c16="http://schemas.microsoft.com/office/drawing/2014/chart" uri="{C3380CC4-5D6E-409C-BE32-E72D297353CC}">
              <c16:uniqueId val="{00000002-B1B3-44A4-B225-43EF761C1CED}"/>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4-B1B3-44A4-B225-43EF761C1CED}"/>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6-B1B3-44A4-B225-43EF761C1CED}"/>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1B3-44A4-B225-43EF761C1CED}"/>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1B3-44A4-B225-43EF761C1CE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39839</c:v>
                </c:pt>
                <c:pt idx="1">
                  <c:v>44173</c:v>
                </c:pt>
              </c:numCache>
            </c:numRef>
          </c:val>
          <c:extLst>
            <c:ext xmlns:c16="http://schemas.microsoft.com/office/drawing/2014/chart" uri="{C3380CC4-5D6E-409C-BE32-E72D297353CC}">
              <c16:uniqueId val="{00000007-B1B3-44A4-B225-43EF761C1CED}"/>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1097</c:v>
                </c:pt>
                <c:pt idx="1">
                  <c:v>1444</c:v>
                </c:pt>
              </c:numCache>
            </c:numRef>
          </c:val>
          <c:extLst>
            <c:ext xmlns:c16="http://schemas.microsoft.com/office/drawing/2014/chart" uri="{C3380CC4-5D6E-409C-BE32-E72D297353CC}">
              <c16:uniqueId val="{00000008-B1B3-44A4-B225-43EF761C1CED}"/>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4438514094227748"/>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F1B-4287-A45F-DB534A179A7C}"/>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F1B-4287-A45F-DB534A179A7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17338</c:v>
                </c:pt>
                <c:pt idx="1">
                  <c:v>18867</c:v>
                </c:pt>
              </c:numCache>
            </c:numRef>
          </c:val>
          <c:extLst>
            <c:ext xmlns:c16="http://schemas.microsoft.com/office/drawing/2014/chart" uri="{C3380CC4-5D6E-409C-BE32-E72D297353CC}">
              <c16:uniqueId val="{00000002-DF1B-4287-A45F-DB534A179A7C}"/>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4-DF1B-4287-A45F-DB534A179A7C}"/>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6-DF1B-4287-A45F-DB534A179A7C}"/>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F1B-4287-A45F-DB534A179A7C}"/>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F1B-4287-A45F-DB534A179A7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17200</c:v>
                </c:pt>
                <c:pt idx="1">
                  <c:v>17498</c:v>
                </c:pt>
              </c:numCache>
            </c:numRef>
          </c:val>
          <c:extLst>
            <c:ext xmlns:c16="http://schemas.microsoft.com/office/drawing/2014/chart" uri="{C3380CC4-5D6E-409C-BE32-E72D297353CC}">
              <c16:uniqueId val="{00000007-DF1B-4287-A45F-DB534A179A7C}"/>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138</c:v>
                </c:pt>
                <c:pt idx="1">
                  <c:v>1369</c:v>
                </c:pt>
              </c:numCache>
            </c:numRef>
          </c:val>
          <c:extLst>
            <c:ext xmlns:c16="http://schemas.microsoft.com/office/drawing/2014/chart" uri="{C3380CC4-5D6E-409C-BE32-E72D297353CC}">
              <c16:uniqueId val="{00000008-DF1B-4287-A45F-DB534A179A7C}"/>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3997499761261926"/>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69C-435A-88B1-5C97015A3A0F}"/>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69C-435A-88B1-5C97015A3A0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25550</c:v>
                </c:pt>
                <c:pt idx="1">
                  <c:v>37154</c:v>
                </c:pt>
              </c:numCache>
            </c:numRef>
          </c:val>
          <c:extLst>
            <c:ext xmlns:c16="http://schemas.microsoft.com/office/drawing/2014/chart" uri="{C3380CC4-5D6E-409C-BE32-E72D297353CC}">
              <c16:uniqueId val="{00000002-869C-435A-88B1-5C97015A3A0F}"/>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4-869C-435A-88B1-5C97015A3A0F}"/>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6-869C-435A-88B1-5C97015A3A0F}"/>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69C-435A-88B1-5C97015A3A0F}"/>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69C-435A-88B1-5C97015A3A0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25089</c:v>
                </c:pt>
                <c:pt idx="1">
                  <c:v>34336</c:v>
                </c:pt>
              </c:numCache>
            </c:numRef>
          </c:val>
          <c:extLst>
            <c:ext xmlns:c16="http://schemas.microsoft.com/office/drawing/2014/chart" uri="{C3380CC4-5D6E-409C-BE32-E72D297353CC}">
              <c16:uniqueId val="{00000007-869C-435A-88B1-5C97015A3A0F}"/>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461</c:v>
                </c:pt>
                <c:pt idx="1">
                  <c:v>2818</c:v>
                </c:pt>
              </c:numCache>
            </c:numRef>
          </c:val>
          <c:extLst>
            <c:ext xmlns:c16="http://schemas.microsoft.com/office/drawing/2014/chart" uri="{C3380CC4-5D6E-409C-BE32-E72D297353CC}">
              <c16:uniqueId val="{00000008-869C-435A-88B1-5C97015A3A0F}"/>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4438514094227748"/>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List1!$B$1</c:f>
              <c:strCache>
                <c:ptCount val="1"/>
                <c:pt idx="0">
                  <c:v>Schválený rozpočet</c:v>
                </c:pt>
              </c:strCache>
            </c:strRef>
          </c:tx>
          <c:spPr>
            <a:solidFill>
              <a:schemeClr val="accent1">
                <a:lumMod val="60000"/>
                <a:lumOff val="40000"/>
              </a:schemeClr>
            </a:solidFill>
            <a:ln>
              <a:noFill/>
            </a:ln>
            <a:effectLst/>
          </c:spPr>
          <c:invertIfNegative val="0"/>
          <c:dLbls>
            <c:dLbl>
              <c:idx val="0"/>
              <c:layout>
                <c:manualLayout>
                  <c:x val="-1.0071959203850497E-2"/>
                  <c:y val="-5.8204279889888799E-3"/>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0.10870834911386047"/>
                      <c:h val="6.6451506851852277E-2"/>
                    </c:manualLayout>
                  </c15:layout>
                </c:ext>
                <c:ext xmlns:c16="http://schemas.microsoft.com/office/drawing/2014/chart" uri="{C3380CC4-5D6E-409C-BE32-E72D297353CC}">
                  <c16:uniqueId val="{00000000-A6FA-4D63-B79E-5DAD9FA39A5E}"/>
                </c:ext>
              </c:extLst>
            </c:dLbl>
            <c:dLbl>
              <c:idx val="1"/>
              <c:layout>
                <c:manualLayout>
                  <c:x val="-4.3826010737372627E-3"/>
                  <c:y val="1.176124669214936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6FA-4D63-B79E-5DAD9FA39A5E}"/>
                </c:ext>
              </c:extLst>
            </c:dLbl>
            <c:dLbl>
              <c:idx val="2"/>
              <c:layout>
                <c:manualLayout>
                  <c:x val="-8.7652021474746069E-3"/>
                  <c:y val="3.5283740076447995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2-A6FA-4D63-B79E-5DAD9FA39A5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List1!$A$2:$A$4</c:f>
              <c:strCache>
                <c:ptCount val="3"/>
                <c:pt idx="0">
                  <c:v>Celkové příspěvky a transfery</c:v>
                </c:pt>
                <c:pt idx="1">
                  <c:v>Neinvestiční příspěvky a transfery</c:v>
                </c:pt>
                <c:pt idx="2">
                  <c:v>Investiční transfery</c:v>
                </c:pt>
              </c:strCache>
            </c:strRef>
          </c:cat>
          <c:val>
            <c:numRef>
              <c:f>List1!$B$2:$B$4</c:f>
              <c:numCache>
                <c:formatCode>#,##0</c:formatCode>
                <c:ptCount val="3"/>
                <c:pt idx="0">
                  <c:v>435344</c:v>
                </c:pt>
                <c:pt idx="1">
                  <c:v>143103</c:v>
                </c:pt>
                <c:pt idx="2">
                  <c:v>292241</c:v>
                </c:pt>
              </c:numCache>
            </c:numRef>
          </c:val>
          <c:extLst>
            <c:ext xmlns:c16="http://schemas.microsoft.com/office/drawing/2014/chart" uri="{C3380CC4-5D6E-409C-BE32-E72D297353CC}">
              <c16:uniqueId val="{00000003-A6FA-4D63-B79E-5DAD9FA39A5E}"/>
            </c:ext>
          </c:extLst>
        </c:ser>
        <c:ser>
          <c:idx val="1"/>
          <c:order val="1"/>
          <c:tx>
            <c:strRef>
              <c:f>List1!$C$1</c:f>
              <c:strCache>
                <c:ptCount val="1"/>
                <c:pt idx="0">
                  <c:v>Rozpočet po změnách</c:v>
                </c:pt>
              </c:strCache>
            </c:strRef>
          </c:tx>
          <c:spPr>
            <a:solidFill>
              <a:schemeClr val="accent1">
                <a:lumMod val="75000"/>
              </a:schemeClr>
            </a:solidFill>
            <a:ln>
              <a:noFill/>
            </a:ln>
            <a:effectLst/>
          </c:spPr>
          <c:invertIfNegative val="0"/>
          <c:dLbls>
            <c:dLbl>
              <c:idx val="0"/>
              <c:layout>
                <c:manualLayout>
                  <c:x val="-2.7059628393388484E-2"/>
                  <c:y val="1.2829945801026562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9.7751846429517342E-2"/>
                      <c:h val="6.0546805362943275E-2"/>
                    </c:manualLayout>
                  </c15:layout>
                </c:ext>
                <c:ext xmlns:c16="http://schemas.microsoft.com/office/drawing/2014/chart" uri="{C3380CC4-5D6E-409C-BE32-E72D297353CC}">
                  <c16:uniqueId val="{00000004-A6FA-4D63-B79E-5DAD9FA39A5E}"/>
                </c:ext>
              </c:extLst>
            </c:dLbl>
            <c:dLbl>
              <c:idx val="1"/>
              <c:layout>
                <c:manualLayout>
                  <c:x val="-2.1847690387016235E-2"/>
                  <c:y val="2.6020852139652106E-18"/>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9.2301290054099039E-2"/>
                      <c:h val="4.2977462324251724E-2"/>
                    </c:manualLayout>
                  </c15:layout>
                </c:ext>
                <c:ext xmlns:c16="http://schemas.microsoft.com/office/drawing/2014/chart" uri="{C3380CC4-5D6E-409C-BE32-E72D297353CC}">
                  <c16:uniqueId val="{00000005-A6FA-4D63-B79E-5DAD9FA39A5E}"/>
                </c:ext>
              </c:extLst>
            </c:dLbl>
            <c:dLbl>
              <c:idx val="2"/>
              <c:layout>
                <c:manualLayout>
                  <c:x val="6.463301323666305E-3"/>
                  <c:y val="1.18580223046950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6FA-4D63-B79E-5DAD9FA39A5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List1!$A$2:$A$4</c:f>
              <c:strCache>
                <c:ptCount val="3"/>
                <c:pt idx="0">
                  <c:v>Celkové příspěvky a transfery</c:v>
                </c:pt>
                <c:pt idx="1">
                  <c:v>Neinvestiční příspěvky a transfery</c:v>
                </c:pt>
                <c:pt idx="2">
                  <c:v>Investiční transfery</c:v>
                </c:pt>
              </c:strCache>
            </c:strRef>
          </c:cat>
          <c:val>
            <c:numRef>
              <c:f>List1!$C$2:$C$4</c:f>
              <c:numCache>
                <c:formatCode>#,##0</c:formatCode>
                <c:ptCount val="3"/>
                <c:pt idx="0">
                  <c:v>1313399</c:v>
                </c:pt>
                <c:pt idx="1">
                  <c:v>1021158</c:v>
                </c:pt>
                <c:pt idx="2">
                  <c:v>292241</c:v>
                </c:pt>
              </c:numCache>
            </c:numRef>
          </c:val>
          <c:extLst>
            <c:ext xmlns:c16="http://schemas.microsoft.com/office/drawing/2014/chart" uri="{C3380CC4-5D6E-409C-BE32-E72D297353CC}">
              <c16:uniqueId val="{00000007-A6FA-4D63-B79E-5DAD9FA39A5E}"/>
            </c:ext>
          </c:extLst>
        </c:ser>
        <c:ser>
          <c:idx val="2"/>
          <c:order val="2"/>
          <c:tx>
            <c:strRef>
              <c:f>List1!$D$1</c:f>
              <c:strCache>
                <c:ptCount val="1"/>
                <c:pt idx="0">
                  <c:v>Konečný rozpočet</c:v>
                </c:pt>
              </c:strCache>
            </c:strRef>
          </c:tx>
          <c:spPr>
            <a:solidFill>
              <a:schemeClr val="bg2">
                <a:lumMod val="75000"/>
              </a:schemeClr>
            </a:solidFill>
            <a:ln>
              <a:noFill/>
            </a:ln>
            <a:effectLst/>
          </c:spPr>
          <c:invertIfNegative val="0"/>
          <c:dLbls>
            <c:dLbl>
              <c:idx val="0"/>
              <c:layout>
                <c:manualLayout>
                  <c:x val="4.3826010737372627E-3"/>
                  <c:y val="-5.88062334607469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6FA-4D63-B79E-5DAD9FA39A5E}"/>
                </c:ext>
              </c:extLst>
            </c:dLbl>
            <c:dLbl>
              <c:idx val="1"/>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9-A6FA-4D63-B79E-5DAD9FA39A5E}"/>
                </c:ext>
              </c:extLst>
            </c:dLbl>
            <c:dLbl>
              <c:idx val="2"/>
              <c:layout>
                <c:manualLayout>
                  <c:x val="-2.1913005368686313E-3"/>
                  <c:y val="-1.176124669214942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6FA-4D63-B79E-5DAD9FA39A5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List1!$A$2:$A$4</c:f>
              <c:strCache>
                <c:ptCount val="3"/>
                <c:pt idx="0">
                  <c:v>Celkové příspěvky a transfery</c:v>
                </c:pt>
                <c:pt idx="1">
                  <c:v>Neinvestiční příspěvky a transfery</c:v>
                </c:pt>
                <c:pt idx="2">
                  <c:v>Investiční transfery</c:v>
                </c:pt>
              </c:strCache>
            </c:strRef>
          </c:cat>
          <c:val>
            <c:numRef>
              <c:f>List1!$D$2:$D$4</c:f>
              <c:numCache>
                <c:formatCode>#,##0</c:formatCode>
                <c:ptCount val="3"/>
                <c:pt idx="0">
                  <c:v>1528543</c:v>
                </c:pt>
                <c:pt idx="1">
                  <c:v>1095006</c:v>
                </c:pt>
                <c:pt idx="2">
                  <c:v>433537</c:v>
                </c:pt>
              </c:numCache>
            </c:numRef>
          </c:val>
          <c:extLst>
            <c:ext xmlns:c16="http://schemas.microsoft.com/office/drawing/2014/chart" uri="{C3380CC4-5D6E-409C-BE32-E72D297353CC}">
              <c16:uniqueId val="{0000000B-A6FA-4D63-B79E-5DAD9FA39A5E}"/>
            </c:ext>
          </c:extLst>
        </c:ser>
        <c:ser>
          <c:idx val="3"/>
          <c:order val="3"/>
          <c:tx>
            <c:strRef>
              <c:f>List1!$E$1</c:f>
              <c:strCache>
                <c:ptCount val="1"/>
                <c:pt idx="0">
                  <c:v>Skutečnost</c:v>
                </c:pt>
              </c:strCache>
            </c:strRef>
          </c:tx>
          <c:spPr>
            <a:solidFill>
              <a:schemeClr val="accent2">
                <a:lumMod val="60000"/>
                <a:lumOff val="40000"/>
              </a:schemeClr>
            </a:solidFill>
            <a:ln>
              <a:noFill/>
            </a:ln>
            <a:effectLst/>
          </c:spPr>
          <c:invertIfNegative val="0"/>
          <c:dLbls>
            <c:dLbl>
              <c:idx val="0"/>
              <c:layout>
                <c:manualLayout>
                  <c:x val="5.9165200767127731E-2"/>
                  <c:y val="2.9403348250977596E-2"/>
                </c:manualLayout>
              </c:layout>
              <c:dLblPos val="outEnd"/>
              <c:showLegendKey val="0"/>
              <c:showVal val="1"/>
              <c:showCatName val="0"/>
              <c:showSerName val="0"/>
              <c:showPercent val="0"/>
              <c:showBubbleSize val="0"/>
              <c:extLst>
                <c:ext xmlns:c15="http://schemas.microsoft.com/office/drawing/2012/chart" uri="{CE6537A1-D6FC-4f65-9D91-7224C49458BB}">
                  <c15:layout>
                    <c:manualLayout>
                      <c:w val="9.2012709543113816E-2"/>
                      <c:h val="8.2240749015458622E-2"/>
                    </c:manualLayout>
                  </c15:layout>
                </c:ext>
                <c:ext xmlns:c16="http://schemas.microsoft.com/office/drawing/2014/chart" uri="{C3380CC4-5D6E-409C-BE32-E72D297353CC}">
                  <c16:uniqueId val="{0000000C-A6FA-4D63-B79E-5DAD9FA39A5E}"/>
                </c:ext>
              </c:extLst>
            </c:dLbl>
            <c:dLbl>
              <c:idx val="1"/>
              <c:layout>
                <c:manualLayout>
                  <c:x val="5.1706583132679798E-2"/>
                  <c:y val="3.912235169368898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6FA-4D63-B79E-5DAD9FA39A5E}"/>
                </c:ext>
              </c:extLst>
            </c:dLbl>
            <c:dLbl>
              <c:idx val="2"/>
              <c:layout>
                <c:manualLayout>
                  <c:x val="3.2869508053029316E-2"/>
                  <c:y val="1.176124669214931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6FA-4D63-B79E-5DAD9FA39A5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List1!$A$2:$A$4</c:f>
              <c:strCache>
                <c:ptCount val="3"/>
                <c:pt idx="0">
                  <c:v>Celkové příspěvky a transfery</c:v>
                </c:pt>
                <c:pt idx="1">
                  <c:v>Neinvestiční příspěvky a transfery</c:v>
                </c:pt>
                <c:pt idx="2">
                  <c:v>Investiční transfery</c:v>
                </c:pt>
              </c:strCache>
            </c:strRef>
          </c:cat>
          <c:val>
            <c:numRef>
              <c:f>List1!$E$2:$E$4</c:f>
              <c:numCache>
                <c:formatCode>#,##0</c:formatCode>
                <c:ptCount val="3"/>
                <c:pt idx="0">
                  <c:v>1528134</c:v>
                </c:pt>
                <c:pt idx="1">
                  <c:v>1094598</c:v>
                </c:pt>
                <c:pt idx="2">
                  <c:v>433537</c:v>
                </c:pt>
              </c:numCache>
            </c:numRef>
          </c:val>
          <c:extLst>
            <c:ext xmlns:c16="http://schemas.microsoft.com/office/drawing/2014/chart" uri="{C3380CC4-5D6E-409C-BE32-E72D297353CC}">
              <c16:uniqueId val="{0000000F-A6FA-4D63-B79E-5DAD9FA39A5E}"/>
            </c:ext>
          </c:extLst>
        </c:ser>
        <c:dLbls>
          <c:dLblPos val="outEnd"/>
          <c:showLegendKey val="0"/>
          <c:showVal val="1"/>
          <c:showCatName val="0"/>
          <c:showSerName val="0"/>
          <c:showPercent val="0"/>
          <c:showBubbleSize val="0"/>
        </c:dLbls>
        <c:gapWidth val="267"/>
        <c:overlap val="-43"/>
        <c:axId val="596769624"/>
        <c:axId val="596769952"/>
      </c:barChart>
      <c:catAx>
        <c:axId val="5967696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96769952"/>
        <c:crosses val="autoZero"/>
        <c:auto val="1"/>
        <c:lblAlgn val="ctr"/>
        <c:lblOffset val="100"/>
        <c:noMultiLvlLbl val="0"/>
      </c:catAx>
      <c:valAx>
        <c:axId val="596769952"/>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9676962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5CA-4C7C-BAA0-50736789B3E4}"/>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5CA-4C7C-BAA0-50736789B3E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168989</c:v>
                </c:pt>
                <c:pt idx="1">
                  <c:v>1435362</c:v>
                </c:pt>
              </c:numCache>
            </c:numRef>
          </c:val>
          <c:extLst>
            <c:ext xmlns:c16="http://schemas.microsoft.com/office/drawing/2014/chart" uri="{C3380CC4-5D6E-409C-BE32-E72D297353CC}">
              <c16:uniqueId val="{00000002-35CA-4C7C-BAA0-50736789B3E4}"/>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extLst>
              <c:ext xmlns:c16="http://schemas.microsoft.com/office/drawing/2014/chart" uri="{C3380CC4-5D6E-409C-BE32-E72D297353CC}">
                <c16:uniqueId val="{00000003-35CA-4C7C-BAA0-50736789B3E4}"/>
              </c:ext>
            </c:extLst>
          </c:dPt>
          <c:dPt>
            <c:idx val="1"/>
            <c:invertIfNegative val="0"/>
            <c:bubble3D val="0"/>
            <c:extLst>
              <c:ext xmlns:c16="http://schemas.microsoft.com/office/drawing/2014/chart" uri="{C3380CC4-5D6E-409C-BE32-E72D297353CC}">
                <c16:uniqueId val="{00000004-35CA-4C7C-BAA0-50736789B3E4}"/>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5CA-4C7C-BAA0-50736789B3E4}"/>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5CA-4C7C-BAA0-50736789B3E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168989</c:v>
                </c:pt>
                <c:pt idx="1">
                  <c:v>1006552</c:v>
                </c:pt>
              </c:numCache>
            </c:numRef>
          </c:val>
          <c:extLst>
            <c:ext xmlns:c16="http://schemas.microsoft.com/office/drawing/2014/chart" uri="{C3380CC4-5D6E-409C-BE32-E72D297353CC}">
              <c16:uniqueId val="{00000005-35CA-4C7C-BAA0-50736789B3E4}"/>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0</c:v>
                </c:pt>
                <c:pt idx="1">
                  <c:v>428810</c:v>
                </c:pt>
              </c:numCache>
            </c:numRef>
          </c:val>
          <c:extLst>
            <c:ext xmlns:c16="http://schemas.microsoft.com/office/drawing/2014/chart" uri="{C3380CC4-5D6E-409C-BE32-E72D297353CC}">
              <c16:uniqueId val="{00000006-35CA-4C7C-BAA0-50736789B3E4}"/>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3997499761261926"/>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916102019003538E-2"/>
          <c:y val="7.062974603392054E-2"/>
          <c:w val="0.88261866572234027"/>
          <c:h val="0.72462758715087416"/>
        </c:manualLayout>
      </c:layout>
      <c:barChart>
        <c:barDir val="col"/>
        <c:grouping val="clustered"/>
        <c:varyColors val="0"/>
        <c:ser>
          <c:idx val="0"/>
          <c:order val="0"/>
          <c:tx>
            <c:strRef>
              <c:f>List1!$B$1</c:f>
              <c:strCache>
                <c:ptCount val="1"/>
                <c:pt idx="0">
                  <c:v>Celkové výdaje</c:v>
                </c:pt>
              </c:strCache>
            </c:strRef>
          </c:tx>
          <c:spPr>
            <a:solidFill>
              <a:schemeClr val="accent1"/>
            </a:solidFill>
            <a:ln>
              <a:noFill/>
            </a:ln>
            <a:effectLst/>
          </c:spPr>
          <c:invertIfNegative val="0"/>
          <c:dLbls>
            <c:dLbl>
              <c:idx val="0"/>
              <c:layout>
                <c:manualLayout>
                  <c:x val="1.4016301470988406E-3"/>
                  <c:y val="3.831593905791328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1B7-43B4-B624-67E65E5DAB35}"/>
                </c:ext>
              </c:extLst>
            </c:dLbl>
            <c:dLbl>
              <c:idx val="1"/>
              <c:layout>
                <c:manualLayout>
                  <c:x val="-4.9201827447209283E-4"/>
                  <c:y val="6.32755095844380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1B7-43B4-B624-67E65E5DAB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List1!$B$2:$B$3</c:f>
              <c:numCache>
                <c:formatCode>#,##0</c:formatCode>
                <c:ptCount val="2"/>
                <c:pt idx="0">
                  <c:v>91216</c:v>
                </c:pt>
                <c:pt idx="1">
                  <c:v>92772</c:v>
                </c:pt>
              </c:numCache>
            </c:numRef>
          </c:val>
          <c:extLst>
            <c:ext xmlns:c16="http://schemas.microsoft.com/office/drawing/2014/chart" uri="{C3380CC4-5D6E-409C-BE32-E72D297353CC}">
              <c16:uniqueId val="{00000002-81B7-43B4-B624-67E65E5DAB35}"/>
            </c:ext>
          </c:extLst>
        </c:ser>
        <c:ser>
          <c:idx val="1"/>
          <c:order val="1"/>
          <c:tx>
            <c:strRef>
              <c:f>List1!$C$1</c:f>
              <c:strCache>
                <c:ptCount val="1"/>
                <c:pt idx="0">
                  <c:v>Běžné výdaje</c:v>
                </c:pt>
              </c:strCache>
            </c:strRef>
          </c:tx>
          <c:spPr>
            <a:solidFill>
              <a:schemeClr val="accent2"/>
            </a:solidFill>
            <a:ln>
              <a:noFill/>
            </a:ln>
            <a:effectLst/>
          </c:spPr>
          <c:invertIfNegative val="0"/>
          <c:dPt>
            <c:idx val="0"/>
            <c:invertIfNegative val="0"/>
            <c:bubble3D val="0"/>
            <c:extLst>
              <c:ext xmlns:c16="http://schemas.microsoft.com/office/drawing/2014/chart" uri="{C3380CC4-5D6E-409C-BE32-E72D297353CC}">
                <c16:uniqueId val="{00000004-81B7-43B4-B624-67E65E5DAB35}"/>
              </c:ext>
            </c:extLst>
          </c:dPt>
          <c:dPt>
            <c:idx val="1"/>
            <c:invertIfNegative val="0"/>
            <c:bubble3D val="0"/>
            <c:extLst>
              <c:ext xmlns:c16="http://schemas.microsoft.com/office/drawing/2014/chart" uri="{C3380CC4-5D6E-409C-BE32-E72D297353CC}">
                <c16:uniqueId val="{00000006-81B7-43B4-B624-67E65E5DAB35}"/>
              </c:ext>
            </c:extLst>
          </c:dPt>
          <c:dLbls>
            <c:dLbl>
              <c:idx val="0"/>
              <c:layout>
                <c:manualLayout>
                  <c:x val="2.2719583813501604E-3"/>
                  <c:y val="6.9541187159297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1B7-43B4-B624-67E65E5DAB35}"/>
                </c:ext>
              </c:extLst>
            </c:dLbl>
            <c:dLbl>
              <c:idx val="1"/>
              <c:layout>
                <c:manualLayout>
                  <c:x val="4.3773254541475161E-3"/>
                  <c:y val="7.34484024972455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1B7-43B4-B624-67E65E5DAB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List1!$C$2:$C$3</c:f>
              <c:numCache>
                <c:formatCode>#,##0</c:formatCode>
                <c:ptCount val="2"/>
                <c:pt idx="0">
                  <c:v>86541</c:v>
                </c:pt>
                <c:pt idx="1">
                  <c:v>88045</c:v>
                </c:pt>
              </c:numCache>
            </c:numRef>
          </c:val>
          <c:extLst>
            <c:ext xmlns:c16="http://schemas.microsoft.com/office/drawing/2014/chart" uri="{C3380CC4-5D6E-409C-BE32-E72D297353CC}">
              <c16:uniqueId val="{00000007-81B7-43B4-B624-67E65E5DAB35}"/>
            </c:ext>
          </c:extLst>
        </c:ser>
        <c:ser>
          <c:idx val="2"/>
          <c:order val="2"/>
          <c:tx>
            <c:strRef>
              <c:f>List1!$D$1</c:f>
              <c:strCache>
                <c:ptCount val="1"/>
                <c:pt idx="0">
                  <c:v>Kapitálové výdaje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List1!$A$2:$A$3</c:f>
              <c:strCache>
                <c:ptCount val="2"/>
                <c:pt idx="0">
                  <c:v>Skutečnost 2022</c:v>
                </c:pt>
                <c:pt idx="1">
                  <c:v>Skutečnost 2023</c:v>
                </c:pt>
              </c:strCache>
            </c:strRef>
          </c:cat>
          <c:val>
            <c:numRef>
              <c:f>List1!$D$2:$D$3</c:f>
              <c:numCache>
                <c:formatCode>#,##0</c:formatCode>
                <c:ptCount val="2"/>
                <c:pt idx="0">
                  <c:v>4675</c:v>
                </c:pt>
                <c:pt idx="1">
                  <c:v>4727</c:v>
                </c:pt>
              </c:numCache>
            </c:numRef>
          </c:val>
          <c:extLst>
            <c:ext xmlns:c16="http://schemas.microsoft.com/office/drawing/2014/chart" uri="{C3380CC4-5D6E-409C-BE32-E72D297353CC}">
              <c16:uniqueId val="{00000008-81B7-43B4-B624-67E65E5DAB35}"/>
            </c:ext>
          </c:extLst>
        </c:ser>
        <c:dLbls>
          <c:showLegendKey val="0"/>
          <c:showVal val="0"/>
          <c:showCatName val="0"/>
          <c:showSerName val="0"/>
          <c:showPercent val="0"/>
          <c:showBubbleSize val="0"/>
        </c:dLbls>
        <c:gapWidth val="267"/>
        <c:overlap val="-43"/>
        <c:axId val="510623488"/>
        <c:axId val="510625784"/>
      </c:barChart>
      <c:catAx>
        <c:axId val="51062348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10625784"/>
        <c:crosses val="autoZero"/>
        <c:auto val="1"/>
        <c:lblAlgn val="ctr"/>
        <c:lblOffset val="100"/>
        <c:noMultiLvlLbl val="0"/>
      </c:catAx>
      <c:valAx>
        <c:axId val="5106257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1062348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4438514094227748"/>
          <c:y val="0.90076378647317734"/>
          <c:w val="0.52004983114707137"/>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281357119221786"/>
          <c:y val="0.13389121338912133"/>
          <c:w val="0.87315836790752688"/>
          <c:h val="0.62068128983877024"/>
        </c:manualLayout>
      </c:layout>
      <c:barChart>
        <c:barDir val="col"/>
        <c:grouping val="clustered"/>
        <c:varyColors val="0"/>
        <c:ser>
          <c:idx val="0"/>
          <c:order val="0"/>
          <c:tx>
            <c:strRef>
              <c:f>Sheet1!$A$2</c:f>
              <c:strCache>
                <c:ptCount val="1"/>
                <c:pt idx="0">
                  <c:v>skutečnost 2022</c:v>
                </c:pt>
              </c:strCache>
            </c:strRef>
          </c:tx>
          <c:spPr>
            <a:solidFill>
              <a:schemeClr val="accent1"/>
            </a:solidFill>
            <a:ln>
              <a:noFill/>
            </a:ln>
            <a:effectLst/>
          </c:spPr>
          <c:invertIfNegative val="0"/>
          <c:dLbls>
            <c:dLbl>
              <c:idx val="0"/>
              <c:layout>
                <c:manualLayout>
                  <c:x val="-1.6100287898657001E-3"/>
                  <c:y val="1.094636611699516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DD-445E-A801-D90D1C83F11B}"/>
                </c:ext>
              </c:extLst>
            </c:dLbl>
            <c:dLbl>
              <c:idx val="1"/>
              <c:layout>
                <c:manualLayout>
                  <c:x val="-1.7636684303350969E-2"/>
                  <c:y val="1.72565559739815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DD-445E-A801-D90D1C83F11B}"/>
                </c:ext>
              </c:extLst>
            </c:dLbl>
            <c:dLbl>
              <c:idx val="2"/>
              <c:layout>
                <c:manualLayout>
                  <c:x val="7.6750865761612847E-3"/>
                  <c:y val="-1.69632288610982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DD-445E-A801-D90D1C83F11B}"/>
                </c:ext>
              </c:extLst>
            </c:dLbl>
            <c:dLbl>
              <c:idx val="3"/>
              <c:layout>
                <c:manualLayout>
                  <c:x val="-2.5695052007387965E-2"/>
                  <c:y val="-6.968024649092904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2DD-445E-A801-D90D1C83F11B}"/>
                </c:ext>
              </c:extLst>
            </c:dLbl>
            <c:dLbl>
              <c:idx val="4"/>
              <c:layout>
                <c:manualLayout>
                  <c:x val="-1.7636693430919007E-2"/>
                  <c:y val="2.65124846344423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2DD-445E-A801-D90D1C83F11B}"/>
                </c:ext>
              </c:extLst>
            </c:dLbl>
            <c:dLbl>
              <c:idx val="5"/>
              <c:layout>
                <c:manualLayout>
                  <c:x val="-6.034396057528057E-3"/>
                  <c:y val="-2.63157894736842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9C9-4CF6-9C48-1250EB4ACBEC}"/>
                </c:ext>
              </c:extLst>
            </c:dLbl>
            <c:dLbl>
              <c:idx val="6"/>
              <c:layout>
                <c:manualLayout>
                  <c:x val="-4.2404325241176153E-3"/>
                  <c:y val="9.666505558240607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2DD-445E-A801-D90D1C83F11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7"/>
                <c:pt idx="0">
                  <c:v>Krytí deficitu</c:v>
                </c:pt>
                <c:pt idx="1">
                  <c:v>Úvěrové prostředky EIB</c:v>
                </c:pt>
                <c:pt idx="2">
                  <c:v>Národní plán obnovy</c:v>
                </c:pt>
                <c:pt idx="3">
                  <c:v>OPD 2014+</c:v>
                </c:pt>
                <c:pt idx="4">
                  <c:v>Komunitární programy 2014+</c:v>
                </c:pt>
                <c:pt idx="5">
                  <c:v>OPD 2021+</c:v>
                </c:pt>
                <c:pt idx="6">
                  <c:v>Komunitární programy 2021+</c:v>
                </c:pt>
              </c:strCache>
            </c:strRef>
          </c:cat>
          <c:val>
            <c:numRef>
              <c:f>Sheet1!$B$2:$H$2</c:f>
              <c:numCache>
                <c:formatCode>#,##0</c:formatCode>
                <c:ptCount val="7"/>
                <c:pt idx="0">
                  <c:v>48060067</c:v>
                </c:pt>
                <c:pt idx="1">
                  <c:v>2839687</c:v>
                </c:pt>
                <c:pt idx="2">
                  <c:v>9768843</c:v>
                </c:pt>
                <c:pt idx="3">
                  <c:v>14401861</c:v>
                </c:pt>
                <c:pt idx="4">
                  <c:v>5358968</c:v>
                </c:pt>
                <c:pt idx="5">
                  <c:v>11332486</c:v>
                </c:pt>
                <c:pt idx="6">
                  <c:v>2047000</c:v>
                </c:pt>
              </c:numCache>
            </c:numRef>
          </c:val>
          <c:extLst>
            <c:ext xmlns:c16="http://schemas.microsoft.com/office/drawing/2014/chart" uri="{C3380CC4-5D6E-409C-BE32-E72D297353CC}">
              <c16:uniqueId val="{00000006-62DD-445E-A801-D90D1C83F11B}"/>
            </c:ext>
          </c:extLst>
        </c:ser>
        <c:ser>
          <c:idx val="1"/>
          <c:order val="1"/>
          <c:tx>
            <c:strRef>
              <c:f>Sheet1!$A$3</c:f>
              <c:strCache>
                <c:ptCount val="1"/>
                <c:pt idx="0">
                  <c:v>skutečnost 2023</c:v>
                </c:pt>
              </c:strCache>
            </c:strRef>
          </c:tx>
          <c:spPr>
            <a:solidFill>
              <a:schemeClr val="accent2"/>
            </a:solidFill>
            <a:ln>
              <a:noFill/>
            </a:ln>
            <a:effectLst/>
          </c:spPr>
          <c:invertIfNegative val="0"/>
          <c:dLbls>
            <c:dLbl>
              <c:idx val="0"/>
              <c:layout>
                <c:manualLayout>
                  <c:x val="2.5655300031940453E-2"/>
                  <c:y val="1.3255734337552444E-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2DD-445E-A801-D90D1C83F11B}"/>
                </c:ext>
              </c:extLst>
            </c:dLbl>
            <c:dLbl>
              <c:idx val="1"/>
              <c:layout>
                <c:manualLayout>
                  <c:x val="2.2987096020857981E-2"/>
                  <c:y val="-1.77087044447313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2DD-445E-A801-D90D1C83F11B}"/>
                </c:ext>
              </c:extLst>
            </c:dLbl>
            <c:dLbl>
              <c:idx val="2"/>
              <c:layout>
                <c:manualLayout>
                  <c:x val="1.8103188172583655E-2"/>
                  <c:y val="4.084967320261362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3EA-4BC3-90BC-A0787017D152}"/>
                </c:ext>
              </c:extLst>
            </c:dLbl>
            <c:dLbl>
              <c:idx val="3"/>
              <c:layout>
                <c:manualLayout>
                  <c:x val="1.9054278679813519E-2"/>
                  <c:y val="-2.663527353198504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2DD-445E-A801-D90D1C83F11B}"/>
                </c:ext>
              </c:extLst>
            </c:dLbl>
            <c:dLbl>
              <c:idx val="4"/>
              <c:layout>
                <c:manualLayout>
                  <c:x val="2.1466611654937077E-2"/>
                  <c:y val="1.07817405177294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2DD-445E-A801-D90D1C83F11B}"/>
                </c:ext>
              </c:extLst>
            </c:dLbl>
            <c:dLbl>
              <c:idx val="5"/>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extLst>
                <c:ext xmlns:c15="http://schemas.microsoft.com/office/drawing/2012/chart" uri="{CE6537A1-D6FC-4f65-9D91-7224C49458BB}">
                  <c15:layout>
                    <c:manualLayout>
                      <c:w val="9.3633712159308033E-2"/>
                      <c:h val="3.2618624877772624E-2"/>
                    </c:manualLayout>
                  </c15:layout>
                </c:ext>
                <c:ext xmlns:c16="http://schemas.microsoft.com/office/drawing/2014/chart" uri="{C3380CC4-5D6E-409C-BE32-E72D297353CC}">
                  <c16:uniqueId val="{00000002-B3EA-4BC3-90BC-A0787017D152}"/>
                </c:ext>
              </c:extLst>
            </c:dLbl>
            <c:dLbl>
              <c:idx val="6"/>
              <c:layout>
                <c:manualLayout>
                  <c:x val="-1.5548072975764902E-16"/>
                  <c:y val="-1.44997583373610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62DD-445E-A801-D90D1C83F11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7"/>
                <c:pt idx="0">
                  <c:v>Krytí deficitu</c:v>
                </c:pt>
                <c:pt idx="1">
                  <c:v>Úvěrové prostředky EIB</c:v>
                </c:pt>
                <c:pt idx="2">
                  <c:v>Národní plán obnovy</c:v>
                </c:pt>
                <c:pt idx="3">
                  <c:v>OPD 2014+</c:v>
                </c:pt>
                <c:pt idx="4">
                  <c:v>Komunitární programy 2014+</c:v>
                </c:pt>
                <c:pt idx="5">
                  <c:v>OPD 2021+</c:v>
                </c:pt>
                <c:pt idx="6">
                  <c:v>Komunitární programy 2021+</c:v>
                </c:pt>
              </c:strCache>
            </c:strRef>
          </c:cat>
          <c:val>
            <c:numRef>
              <c:f>Sheet1!$B$3:$H$3</c:f>
              <c:numCache>
                <c:formatCode>#,##0</c:formatCode>
                <c:ptCount val="7"/>
                <c:pt idx="0">
                  <c:v>61377594</c:v>
                </c:pt>
                <c:pt idx="1">
                  <c:v>2975411</c:v>
                </c:pt>
                <c:pt idx="2">
                  <c:v>4158754</c:v>
                </c:pt>
                <c:pt idx="3">
                  <c:v>3682323</c:v>
                </c:pt>
                <c:pt idx="4">
                  <c:v>1816469</c:v>
                </c:pt>
                <c:pt idx="5">
                  <c:v>10075971</c:v>
                </c:pt>
                <c:pt idx="6">
                  <c:v>4070233</c:v>
                </c:pt>
              </c:numCache>
            </c:numRef>
          </c:val>
          <c:extLst>
            <c:ext xmlns:c16="http://schemas.microsoft.com/office/drawing/2014/chart" uri="{C3380CC4-5D6E-409C-BE32-E72D297353CC}">
              <c16:uniqueId val="{0000000C-62DD-445E-A801-D90D1C83F11B}"/>
            </c:ext>
          </c:extLst>
        </c:ser>
        <c:dLbls>
          <c:showLegendKey val="0"/>
          <c:showVal val="0"/>
          <c:showCatName val="0"/>
          <c:showSerName val="0"/>
          <c:showPercent val="0"/>
          <c:showBubbleSize val="0"/>
        </c:dLbls>
        <c:gapWidth val="267"/>
        <c:overlap val="-43"/>
        <c:axId val="194622728"/>
        <c:axId val="1"/>
      </c:barChart>
      <c:catAx>
        <c:axId val="19462272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spcFirstLastPara="1" vertOverflow="ellipsis"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19462272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537052955282786E-2"/>
          <c:y val="5.5674518201284794E-2"/>
          <c:w val="0.88947146686750489"/>
          <c:h val="0.65165893877826309"/>
        </c:manualLayout>
      </c:layout>
      <c:barChart>
        <c:barDir val="col"/>
        <c:grouping val="clustered"/>
        <c:varyColors val="0"/>
        <c:ser>
          <c:idx val="0"/>
          <c:order val="0"/>
          <c:tx>
            <c:strRef>
              <c:f>List1!$B$1</c:f>
              <c:strCache>
                <c:ptCount val="1"/>
                <c:pt idx="0">
                  <c:v>Stav nároků k 1.1.2023</c:v>
                </c:pt>
              </c:strCache>
            </c:strRef>
          </c:tx>
          <c:spPr>
            <a:solidFill>
              <a:schemeClr val="accent1"/>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0-D9EC-4E90-ACD9-AB75C67E843F}"/>
                </c:ext>
              </c:extLst>
            </c:dLbl>
            <c:dLbl>
              <c:idx val="1"/>
              <c:layout>
                <c:manualLayout>
                  <c:x val="0"/>
                  <c:y val="-2.997858672376881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9EC-4E90-ACD9-AB75C67E843F}"/>
                </c:ext>
              </c:extLst>
            </c:dLbl>
            <c:dLbl>
              <c:idx val="2"/>
              <c:layout>
                <c:manualLayout>
                  <c:x val="-2.2719527433829375E-3"/>
                  <c:y val="2.229654403567447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9EC-4E90-ACD9-AB75C67E843F}"/>
                </c:ext>
              </c:extLst>
            </c:dLbl>
            <c:dLbl>
              <c:idx val="3"/>
              <c:layout>
                <c:manualLayout>
                  <c:x val="-8.0851693704735569E-17"/>
                  <c:y val="2.67559101422231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9EC-4E90-ACD9-AB75C67E843F}"/>
                </c:ext>
              </c:extLst>
            </c:dLbl>
            <c:dLbl>
              <c:idx val="4"/>
              <c:layout>
                <c:manualLayout>
                  <c:x val="-6.8159286042938933E-3"/>
                  <c:y val="-9.587731260143495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9EC-4E90-ACD9-AB75C67E843F}"/>
                </c:ext>
              </c:extLst>
            </c:dLbl>
            <c:dLbl>
              <c:idx val="5"/>
              <c:layout>
                <c:manualLayout>
                  <c:x val="-2.205071664829107E-3"/>
                  <c:y val="3.208782965640027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9EC-4E90-ACD9-AB75C67E843F}"/>
                </c:ext>
              </c:extLst>
            </c:dLbl>
            <c:dLbl>
              <c:idx val="6"/>
              <c:layout>
                <c:manualLayout>
                  <c:x val="-9.0210002691229196E-3"/>
                  <c:y val="-5.6023355798549288E-3"/>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6.799347159885058E-2"/>
                      <c:h val="9.4001995707608005E-2"/>
                    </c:manualLayout>
                  </c15:layout>
                </c:ext>
                <c:ext xmlns:c16="http://schemas.microsoft.com/office/drawing/2014/chart" uri="{C3380CC4-5D6E-409C-BE32-E72D297353CC}">
                  <c16:uniqueId val="{00000006-D9EC-4E90-ACD9-AB75C67E843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List1!$A$2:$A$9</c:f>
              <c:strCache>
                <c:ptCount val="8"/>
                <c:pt idx="0">
                  <c:v>ÚO MD</c:v>
                </c:pt>
                <c:pt idx="1">
                  <c:v>SPS</c:v>
                </c:pt>
                <c:pt idx="2">
                  <c:v>ÚCL</c:v>
                </c:pt>
                <c:pt idx="3">
                  <c:v>DÚ</c:v>
                </c:pt>
                <c:pt idx="4">
                  <c:v>ŘVC</c:v>
                </c:pt>
                <c:pt idx="5">
                  <c:v>ÚZPLN</c:v>
                </c:pt>
                <c:pt idx="6">
                  <c:v>DI</c:v>
                </c:pt>
                <c:pt idx="7">
                  <c:v>DESÚ</c:v>
                </c:pt>
              </c:strCache>
            </c:strRef>
          </c:cat>
          <c:val>
            <c:numRef>
              <c:f>List1!$B$2:$B$9</c:f>
              <c:numCache>
                <c:formatCode>#,##0</c:formatCode>
                <c:ptCount val="8"/>
                <c:pt idx="0">
                  <c:v>310000</c:v>
                </c:pt>
                <c:pt idx="1">
                  <c:v>16865</c:v>
                </c:pt>
                <c:pt idx="2">
                  <c:v>63337</c:v>
                </c:pt>
                <c:pt idx="3">
                  <c:v>5771</c:v>
                </c:pt>
                <c:pt idx="4">
                  <c:v>14636</c:v>
                </c:pt>
                <c:pt idx="5">
                  <c:v>7696</c:v>
                </c:pt>
                <c:pt idx="6">
                  <c:v>24395</c:v>
                </c:pt>
                <c:pt idx="7" formatCode="General">
                  <c:v>0</c:v>
                </c:pt>
              </c:numCache>
            </c:numRef>
          </c:val>
          <c:extLst>
            <c:ext xmlns:c16="http://schemas.microsoft.com/office/drawing/2014/chart" uri="{C3380CC4-5D6E-409C-BE32-E72D297353CC}">
              <c16:uniqueId val="{00000007-D9EC-4E90-ACD9-AB75C67E843F}"/>
            </c:ext>
          </c:extLst>
        </c:ser>
        <c:ser>
          <c:idx val="1"/>
          <c:order val="1"/>
          <c:tx>
            <c:strRef>
              <c:f>List1!$C$1</c:f>
              <c:strCache>
                <c:ptCount val="1"/>
                <c:pt idx="0">
                  <c:v>Stav nároků k 1.1.2024</c:v>
                </c:pt>
              </c:strCache>
            </c:strRef>
          </c:tx>
          <c:spPr>
            <a:solidFill>
              <a:schemeClr val="accent2"/>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8-D9EC-4E90-ACD9-AB75C67E843F}"/>
                </c:ext>
              </c:extLst>
            </c:dLbl>
            <c:dLbl>
              <c:idx val="1"/>
              <c:layout>
                <c:manualLayout>
                  <c:x val="9.08781097353175E-3"/>
                  <c:y val="1.337792642140468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9EC-4E90-ACD9-AB75C67E843F}"/>
                </c:ext>
              </c:extLst>
            </c:dLbl>
            <c:dLbl>
              <c:idx val="2"/>
              <c:layout>
                <c:manualLayout>
                  <c:x val="2.2518816900919357E-2"/>
                  <c:y val="2.371789677422342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9EC-4E90-ACD9-AB75C67E843F}"/>
                </c:ext>
              </c:extLst>
            </c:dLbl>
            <c:dLbl>
              <c:idx val="3"/>
              <c:layout>
                <c:manualLayout>
                  <c:x val="2.205071664829107E-3"/>
                  <c:y val="-1.176124669214947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D9EC-4E90-ACD9-AB75C67E843F}"/>
                </c:ext>
              </c:extLst>
            </c:dLbl>
            <c:dLbl>
              <c:idx val="4"/>
              <c:layout>
                <c:manualLayout>
                  <c:x val="6.8159286042938126E-3"/>
                  <c:y val="2.494402989394030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D9EC-4E90-ACD9-AB75C67E843F}"/>
                </c:ext>
              </c:extLst>
            </c:dLbl>
            <c:dLbl>
              <c:idx val="5"/>
              <c:layout>
                <c:manualLayout>
                  <c:x val="0"/>
                  <c:y val="-8.565310492505431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9EC-4E90-ACD9-AB75C67E843F}"/>
                </c:ext>
              </c:extLst>
            </c:dLbl>
            <c:dLbl>
              <c:idx val="6"/>
              <c:layout>
                <c:manualLayout>
                  <c:x val="1.7974980249850083E-2"/>
                  <c:y val="5.8806233460746843E-3"/>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extLst>
                <c:ext xmlns:c15="http://schemas.microsoft.com/office/drawing/2012/chart" uri="{CE6537A1-D6FC-4f65-9D91-7224C49458BB}">
                  <c15:layout>
                    <c:manualLayout>
                      <c:w val="6.799347159885058E-2"/>
                      <c:h val="7.0479502323309268E-2"/>
                    </c:manualLayout>
                  </c15:layout>
                </c:ext>
                <c:ext xmlns:c16="http://schemas.microsoft.com/office/drawing/2014/chart" uri="{C3380CC4-5D6E-409C-BE32-E72D297353CC}">
                  <c16:uniqueId val="{0000000E-D9EC-4E90-ACD9-AB75C67E843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List1!$A$2:$A$9</c:f>
              <c:strCache>
                <c:ptCount val="8"/>
                <c:pt idx="0">
                  <c:v>ÚO MD</c:v>
                </c:pt>
                <c:pt idx="1">
                  <c:v>SPS</c:v>
                </c:pt>
                <c:pt idx="2">
                  <c:v>ÚCL</c:v>
                </c:pt>
                <c:pt idx="3">
                  <c:v>DÚ</c:v>
                </c:pt>
                <c:pt idx="4">
                  <c:v>ŘVC</c:v>
                </c:pt>
                <c:pt idx="5">
                  <c:v>ÚZPLN</c:v>
                </c:pt>
                <c:pt idx="6">
                  <c:v>DI</c:v>
                </c:pt>
                <c:pt idx="7">
                  <c:v>DESÚ</c:v>
                </c:pt>
              </c:strCache>
            </c:strRef>
          </c:cat>
          <c:val>
            <c:numRef>
              <c:f>List1!$C$2:$C$9</c:f>
              <c:numCache>
                <c:formatCode>#,##0</c:formatCode>
                <c:ptCount val="8"/>
                <c:pt idx="0">
                  <c:v>332977.06252064882</c:v>
                </c:pt>
                <c:pt idx="1">
                  <c:v>12902</c:v>
                </c:pt>
                <c:pt idx="2">
                  <c:v>52621</c:v>
                </c:pt>
                <c:pt idx="3">
                  <c:v>11153</c:v>
                </c:pt>
                <c:pt idx="4">
                  <c:v>5651</c:v>
                </c:pt>
                <c:pt idx="5">
                  <c:v>9918</c:v>
                </c:pt>
                <c:pt idx="6">
                  <c:v>19540</c:v>
                </c:pt>
                <c:pt idx="7" formatCode="General">
                  <c:v>130328</c:v>
                </c:pt>
              </c:numCache>
            </c:numRef>
          </c:val>
          <c:extLst>
            <c:ext xmlns:c16="http://schemas.microsoft.com/office/drawing/2014/chart" uri="{C3380CC4-5D6E-409C-BE32-E72D297353CC}">
              <c16:uniqueId val="{0000000F-D9EC-4E90-ACD9-AB75C67E843F}"/>
            </c:ext>
          </c:extLst>
        </c:ser>
        <c:dLbls>
          <c:showLegendKey val="0"/>
          <c:showVal val="0"/>
          <c:showCatName val="0"/>
          <c:showSerName val="0"/>
          <c:showPercent val="0"/>
          <c:showBubbleSize val="0"/>
        </c:dLbls>
        <c:gapWidth val="267"/>
        <c:overlap val="-43"/>
        <c:axId val="532876416"/>
        <c:axId val="532877072"/>
      </c:barChart>
      <c:catAx>
        <c:axId val="53287641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2100000" spcFirstLastPara="1" vertOverflow="ellipsis"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532877072"/>
        <c:crosses val="autoZero"/>
        <c:auto val="1"/>
        <c:lblAlgn val="ctr"/>
        <c:lblOffset val="100"/>
        <c:noMultiLvlLbl val="0"/>
      </c:catAx>
      <c:valAx>
        <c:axId val="532877072"/>
        <c:scaling>
          <c:orientation val="minMax"/>
          <c:min val="0"/>
        </c:scaling>
        <c:delete val="0"/>
        <c:axPos val="l"/>
        <c:majorGridlines>
          <c:spPr>
            <a:ln w="9525" cap="flat" cmpd="sng" algn="ctr">
              <a:solidFill>
                <a:schemeClr val="dk1">
                  <a:lumMod val="15000"/>
                  <a:lumOff val="85000"/>
                </a:schemeClr>
              </a:solidFill>
              <a:round/>
            </a:ln>
            <a:effectLst/>
          </c:spPr>
        </c:majorGridlines>
        <c:numFmt formatCode="[&lt;200001]0;;;\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3287641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userShapes r:id="rId4"/>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1750319404518879"/>
          <c:y val="2.9669565558036588E-2"/>
          <c:w val="0.33516122984626923"/>
          <c:h val="0.94545481255141617"/>
        </c:manualLayout>
      </c:layout>
      <c:doughnutChart>
        <c:varyColors val="1"/>
        <c:ser>
          <c:idx val="0"/>
          <c:order val="0"/>
          <c:tx>
            <c:strRef>
              <c:f>Sheet1!$A$2</c:f>
              <c:strCache>
                <c:ptCount val="1"/>
                <c:pt idx="0">
                  <c:v>2023</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6435-44A2-B03D-B521BC29BD06}"/>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6435-44A2-B03D-B521BC29BD06}"/>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c:ext xmlns:c16="http://schemas.microsoft.com/office/drawing/2014/chart" uri="{C3380CC4-5D6E-409C-BE32-E72D297353CC}">
                <c16:uniqueId val="{00000005-6435-44A2-B03D-B521BC29BD06}"/>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c:ext xmlns:c16="http://schemas.microsoft.com/office/drawing/2014/chart" uri="{C3380CC4-5D6E-409C-BE32-E72D297353CC}">
                <c16:uniqueId val="{00000007-6435-44A2-B03D-B521BC29BD06}"/>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c:ext xmlns:c16="http://schemas.microsoft.com/office/drawing/2014/chart" uri="{C3380CC4-5D6E-409C-BE32-E72D297353CC}">
                <c16:uniqueId val="{00000009-6435-44A2-B03D-B521BC29BD06}"/>
              </c:ext>
            </c:extLst>
          </c:dPt>
          <c:dLbls>
            <c:dLbl>
              <c:idx val="0"/>
              <c:layout>
                <c:manualLayout>
                  <c:x val="-0.24360296735060016"/>
                  <c:y val="-9.4081061309907801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34984994056727065"/>
                      <c:h val="0.27393179145433161"/>
                    </c:manualLayout>
                  </c15:layout>
                </c:ext>
                <c:ext xmlns:c16="http://schemas.microsoft.com/office/drawing/2014/chart" uri="{C3380CC4-5D6E-409C-BE32-E72D297353CC}">
                  <c16:uniqueId val="{00000001-6435-44A2-B03D-B521BC29BD06}"/>
                </c:ext>
              </c:extLst>
            </c:dLbl>
            <c:dLbl>
              <c:idx val="1"/>
              <c:delete val="1"/>
              <c:extLst>
                <c:ext xmlns:c15="http://schemas.microsoft.com/office/drawing/2012/chart" uri="{CE6537A1-D6FC-4f65-9D91-7224C49458BB}"/>
                <c:ext xmlns:c16="http://schemas.microsoft.com/office/drawing/2014/chart" uri="{C3380CC4-5D6E-409C-BE32-E72D297353CC}">
                  <c16:uniqueId val="{00000003-6435-44A2-B03D-B521BC29BD06}"/>
                </c:ext>
              </c:extLst>
            </c:dLbl>
            <c:dLbl>
              <c:idx val="2"/>
              <c:layout>
                <c:manualLayout>
                  <c:x val="-0.19228147114522076"/>
                  <c:y val="8.6240689925519406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435-44A2-B03D-B521BC29BD06}"/>
                </c:ext>
              </c:extLst>
            </c:dLbl>
            <c:dLbl>
              <c:idx val="3"/>
              <c:layout>
                <c:manualLayout>
                  <c:x val="0.19367041145173305"/>
                  <c:y val="-4.7040376323010585E-2"/>
                </c:manualLayout>
              </c:layout>
              <c:tx>
                <c:rich>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fld id="{70BDFE12-7E68-46B0-85D6-C52E1E15C915}" type="CATEGORYNAME">
                      <a:rPr lang="en-US"/>
                      <a:pPr>
                        <a:defRPr>
                          <a:solidFill>
                            <a:sysClr val="windowText" lastClr="000000"/>
                          </a:solidFill>
                        </a:defRPr>
                      </a:pPr>
                      <a:t>[NÁZEV KATEGORIE]</a:t>
                    </a:fld>
                    <a:r>
                      <a:rPr lang="en-US" baseline="0"/>
                      <a:t>
0,01%</a:t>
                    </a:r>
                  </a:p>
                </c:rich>
              </c:tx>
              <c:numFmt formatCode="0.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ysClr val="windowText" lastClr="000000"/>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34276278756294698"/>
                      <c:h val="0.31301481277991955"/>
                    </c:manualLayout>
                  </c15:layout>
                  <c15:dlblFieldTable/>
                  <c15:showDataLabelsRange val="0"/>
                </c:ext>
                <c:ext xmlns:c16="http://schemas.microsoft.com/office/drawing/2014/chart" uri="{C3380CC4-5D6E-409C-BE32-E72D297353CC}">
                  <c16:uniqueId val="{00000007-6435-44A2-B03D-B521BC29BD06}"/>
                </c:ext>
              </c:extLst>
            </c:dLbl>
            <c:dLbl>
              <c:idx val="4"/>
              <c:layout>
                <c:manualLayout>
                  <c:x val="0.19414788341330752"/>
                  <c:y val="9.7092694851795031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2"/>
                        </a:solidFill>
                        <a:latin typeface="+mn-lt"/>
                        <a:ea typeface="+mn-ea"/>
                        <a:cs typeface="+mn-cs"/>
                      </a:defRPr>
                    </a:pPr>
                    <a:fld id="{632C349F-EF0E-459A-BE3C-64747F06D048}" type="CATEGORYNAME">
                      <a:rPr lang="en-US">
                        <a:solidFill>
                          <a:sysClr val="windowText" lastClr="000000"/>
                        </a:solidFill>
                      </a:rPr>
                      <a:pPr>
                        <a:defRPr/>
                      </a:pPr>
                      <a:t>[NÁZEV KATEGORIE]</a:t>
                    </a:fld>
                    <a:r>
                      <a:rPr lang="en-US" baseline="0">
                        <a:solidFill>
                          <a:sysClr val="windowText" lastClr="000000"/>
                        </a:solidFill>
                      </a:rPr>
                      <a:t>
</a:t>
                    </a:r>
                    <a:fld id="{18E19E0D-6F35-4C81-88BA-4A7533E229C1}" type="PERCENTAGE">
                      <a:rPr lang="en-US" baseline="0">
                        <a:solidFill>
                          <a:sysClr val="windowText" lastClr="000000"/>
                        </a:solidFill>
                      </a:rPr>
                      <a:pPr>
                        <a:defRPr/>
                      </a:pPr>
                      <a:t>[PROCENTO]</a:t>
                    </a:fld>
                    <a:endParaRPr lang="en-US" baseline="0">
                      <a:solidFill>
                        <a:sysClr val="windowText" lastClr="000000"/>
                      </a:solidFill>
                    </a:endParaRPr>
                  </a:p>
                </c:rich>
              </c:tx>
              <c:numFmt formatCode="0.0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2"/>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32930153955943164"/>
                      <c:h val="0.35221512638242836"/>
                    </c:manualLayout>
                  </c15:layout>
                  <c15:dlblFieldTable/>
                  <c15:showDataLabelsRange val="0"/>
                </c:ext>
                <c:ext xmlns:c16="http://schemas.microsoft.com/office/drawing/2014/chart" uri="{C3380CC4-5D6E-409C-BE32-E72D297353CC}">
                  <c16:uniqueId val="{00000009-6435-44A2-B03D-B521BC29BD06}"/>
                </c:ext>
              </c:extLst>
            </c:dLbl>
            <c:dLbl>
              <c:idx val="5"/>
              <c:layout>
                <c:manualLayout>
                  <c:xMode val="edge"/>
                  <c:yMode val="edge"/>
                  <c:x val="0.23283082077051925"/>
                  <c:y val="0.5776397515527950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A-6435-44A2-B03D-B521BC29BD06}"/>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cs-CZ"/>
              </a:p>
            </c:txPr>
            <c:showLegendKey val="0"/>
            <c:showVal val="0"/>
            <c:showCatName val="1"/>
            <c:showSerName val="0"/>
            <c:showPercent val="1"/>
            <c:showBubbleSize val="0"/>
            <c:showLeaderLines val="1"/>
            <c:leaderLines>
              <c:spPr>
                <a:ln w="9525">
                  <a:noFill/>
                </a:ln>
                <a:effectLst/>
              </c:spPr>
            </c:leaderLines>
            <c:extLst>
              <c:ext xmlns:c15="http://schemas.microsoft.com/office/drawing/2012/chart" uri="{CE6537A1-D6FC-4f65-9D91-7224C49458BB}"/>
            </c:extLst>
          </c:dLbls>
          <c:cat>
            <c:strRef>
              <c:f>Sheet1!$B$1:$F$1</c:f>
              <c:strCache>
                <c:ptCount val="5"/>
                <c:pt idx="0">
                  <c:v>Drážní a kombinovaná doprava</c:v>
                </c:pt>
                <c:pt idx="1">
                  <c:v>Pozemní komunikace</c:v>
                </c:pt>
                <c:pt idx="2">
                  <c:v>Dotace pro SFDI</c:v>
                </c:pt>
                <c:pt idx="3">
                  <c:v>Výdaje spojené s výkonem předsednictví ČR v Radě EU</c:v>
                </c:pt>
                <c:pt idx="4">
                  <c:v>Ostatní výdaje spojené s dopravní politikou státu</c:v>
                </c:pt>
              </c:strCache>
            </c:strRef>
          </c:cat>
          <c:val>
            <c:numRef>
              <c:f>Sheet1!$B$2:$F$2</c:f>
              <c:numCache>
                <c:formatCode>General</c:formatCode>
                <c:ptCount val="5"/>
                <c:pt idx="0" formatCode="#,##0">
                  <c:v>3839476</c:v>
                </c:pt>
                <c:pt idx="1">
                  <c:v>0</c:v>
                </c:pt>
                <c:pt idx="2" formatCode="#,##0">
                  <c:v>3678749</c:v>
                </c:pt>
                <c:pt idx="3" formatCode="#,##0">
                  <c:v>175</c:v>
                </c:pt>
                <c:pt idx="4" formatCode="#,##0">
                  <c:v>903482</c:v>
                </c:pt>
              </c:numCache>
            </c:numRef>
          </c:val>
          <c:extLst>
            <c:ext xmlns:c16="http://schemas.microsoft.com/office/drawing/2014/chart" uri="{C3380CC4-5D6E-409C-BE32-E72D297353CC}">
              <c16:uniqueId val="{0000000B-6435-44A2-B03D-B521BC29BD06}"/>
            </c:ext>
          </c:extLst>
        </c:ser>
        <c:dLbls>
          <c:showLegendKey val="0"/>
          <c:showVal val="0"/>
          <c:showCatName val="0"/>
          <c:showSerName val="0"/>
          <c:showPercent val="0"/>
          <c:showBubbleSize val="0"/>
          <c:showLeaderLines val="1"/>
        </c:dLbls>
        <c:firstSliceAng val="111"/>
        <c:holeSize val="85"/>
      </c:doughnut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673469387755102E-2"/>
          <c:y val="6.6176470588235295E-2"/>
          <c:w val="0.84523809523809523"/>
          <c:h val="0.71913309424972272"/>
        </c:manualLayout>
      </c:layout>
      <c:barChart>
        <c:barDir val="col"/>
        <c:grouping val="clustered"/>
        <c:varyColors val="0"/>
        <c:ser>
          <c:idx val="0"/>
          <c:order val="0"/>
          <c:tx>
            <c:strRef>
              <c:f>Sheet1!$A$2</c:f>
              <c:strCache>
                <c:ptCount val="1"/>
                <c:pt idx="0">
                  <c:v>skutečnost 2022</c:v>
                </c:pt>
              </c:strCache>
            </c:strRef>
          </c:tx>
          <c:spPr>
            <a:solidFill>
              <a:schemeClr val="accent1"/>
            </a:solidFill>
            <a:ln>
              <a:noFill/>
            </a:ln>
            <a:effectLst/>
          </c:spPr>
          <c:invertIfNegative val="0"/>
          <c:dLbls>
            <c:dLbl>
              <c:idx val="0"/>
              <c:layout>
                <c:manualLayout>
                  <c:x val="-2.9960610446982394E-3"/>
                  <c:y val="-1.410372429749598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448-42C6-B626-ED33ACF6D518}"/>
                </c:ext>
              </c:extLst>
            </c:dLbl>
            <c:dLbl>
              <c:idx val="1"/>
              <c:layout>
                <c:manualLayout>
                  <c:x val="-4.0380458697549804E-3"/>
                  <c:y val="9.063821894022439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448-42C6-B626-ED33ACF6D51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Organizační složky státu</c:v>
                </c:pt>
                <c:pt idx="1">
                  <c:v>Příspěvkové organizace</c:v>
                </c:pt>
              </c:strCache>
            </c:strRef>
          </c:cat>
          <c:val>
            <c:numRef>
              <c:f>Sheet1!$B$2:$C$2</c:f>
              <c:numCache>
                <c:formatCode>General</c:formatCode>
                <c:ptCount val="2"/>
                <c:pt idx="0" formatCode="#,##0">
                  <c:v>6775</c:v>
                </c:pt>
                <c:pt idx="1">
                  <c:v>277</c:v>
                </c:pt>
              </c:numCache>
            </c:numRef>
          </c:val>
          <c:extLst>
            <c:ext xmlns:c16="http://schemas.microsoft.com/office/drawing/2014/chart" uri="{C3380CC4-5D6E-409C-BE32-E72D297353CC}">
              <c16:uniqueId val="{00000002-7448-42C6-B626-ED33ACF6D518}"/>
            </c:ext>
          </c:extLst>
        </c:ser>
        <c:ser>
          <c:idx val="1"/>
          <c:order val="1"/>
          <c:tx>
            <c:strRef>
              <c:f>Sheet1!$A$3</c:f>
              <c:strCache>
                <c:ptCount val="1"/>
                <c:pt idx="0">
                  <c:v>skutečnost 2023</c:v>
                </c:pt>
              </c:strCache>
            </c:strRef>
          </c:tx>
          <c:spPr>
            <a:solidFill>
              <a:schemeClr val="accent2"/>
            </a:solidFill>
            <a:ln>
              <a:noFill/>
            </a:ln>
            <a:effectLst/>
          </c:spPr>
          <c:invertIfNegative val="0"/>
          <c:dLbls>
            <c:dLbl>
              <c:idx val="0"/>
              <c:layout>
                <c:manualLayout>
                  <c:x val="8.9086652619221329E-3"/>
                  <c:y val="-1.144196343313239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448-42C6-B626-ED33ACF6D518}"/>
                </c:ext>
              </c:extLst>
            </c:dLbl>
            <c:dLbl>
              <c:idx val="1"/>
              <c:layout>
                <c:manualLayout>
                  <c:x val="-2.337225299088308E-3"/>
                  <c:y val="6.821346331569166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448-42C6-B626-ED33ACF6D51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Organizační složky státu</c:v>
                </c:pt>
                <c:pt idx="1">
                  <c:v>Příspěvkové organizace</c:v>
                </c:pt>
              </c:strCache>
            </c:strRef>
          </c:cat>
          <c:val>
            <c:numRef>
              <c:f>Sheet1!$B$3:$C$3</c:f>
              <c:numCache>
                <c:formatCode>General</c:formatCode>
                <c:ptCount val="2"/>
                <c:pt idx="0" formatCode="#,##0">
                  <c:v>10390</c:v>
                </c:pt>
                <c:pt idx="1">
                  <c:v>226</c:v>
                </c:pt>
              </c:numCache>
            </c:numRef>
          </c:val>
          <c:extLst>
            <c:ext xmlns:c16="http://schemas.microsoft.com/office/drawing/2014/chart" uri="{C3380CC4-5D6E-409C-BE32-E72D297353CC}">
              <c16:uniqueId val="{00000005-7448-42C6-B626-ED33ACF6D518}"/>
            </c:ext>
          </c:extLst>
        </c:ser>
        <c:dLbls>
          <c:showLegendKey val="0"/>
          <c:showVal val="0"/>
          <c:showCatName val="0"/>
          <c:showSerName val="0"/>
          <c:showPercent val="0"/>
          <c:showBubbleSize val="0"/>
        </c:dLbls>
        <c:gapWidth val="267"/>
        <c:overlap val="-43"/>
        <c:axId val="152392968"/>
        <c:axId val="1"/>
      </c:barChart>
      <c:catAx>
        <c:axId val="15239296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spcFirstLastPara="1" vertOverflow="ellipsis"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cs-CZ"/>
          </a:p>
        </c:txPr>
        <c:crossAx val="1"/>
        <c:crosses val="autoZero"/>
        <c:auto val="1"/>
        <c:lblAlgn val="ctr"/>
        <c:lblOffset val="100"/>
        <c:tickLblSkip val="1"/>
        <c:tickMarkSkip val="1"/>
        <c:noMultiLvlLbl val="0"/>
      </c:catAx>
      <c:valAx>
        <c:axId val="1"/>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15239296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31292073584593799"/>
          <c:y val="0.90076378647317734"/>
          <c:w val="0.37415835247034496"/>
          <c:h val="9.923621352682283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183978394682847"/>
          <c:y val="4.5042861021682635E-4"/>
          <c:w val="0.33860489042433173"/>
          <c:h val="0.9829758349171871"/>
        </c:manualLayout>
      </c:layout>
      <c:doughnutChart>
        <c:varyColors val="1"/>
        <c:ser>
          <c:idx val="0"/>
          <c:order val="0"/>
          <c:tx>
            <c:strRef>
              <c:f>Sheet1!$A$2</c:f>
              <c:strCache>
                <c:ptCount val="1"/>
                <c:pt idx="0">
                  <c:v>2023</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35F5-4A15-91C4-BC42ACC2637D}"/>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35F5-4A15-91C4-BC42ACC2637D}"/>
              </c:ext>
            </c:extLst>
          </c:dPt>
          <c:dLbls>
            <c:dLbl>
              <c:idx val="0"/>
              <c:layout>
                <c:manualLayout>
                  <c:x val="0.1370748733393739"/>
                  <c:y val="-4.7631159002027919E-2"/>
                </c:manualLayout>
              </c:layout>
              <c:numFmt formatCode="General" sourceLinked="0"/>
              <c:spPr>
                <a:noFill/>
                <a:ln w="25394">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5F5-4A15-91C4-BC42ACC2637D}"/>
                </c:ext>
              </c:extLst>
            </c:dLbl>
            <c:dLbl>
              <c:idx val="1"/>
              <c:layout>
                <c:manualLayout>
                  <c:x val="-0.10688597875067465"/>
                  <c:y val="-5.9193545986335826E-2"/>
                </c:manualLayout>
              </c:layout>
              <c:numFmt formatCode="General" sourceLinked="0"/>
              <c:spPr>
                <a:noFill/>
                <a:ln w="25394">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cs-CZ"/>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5F5-4A15-91C4-BC42ACC2637D}"/>
                </c:ext>
              </c:extLst>
            </c:dLbl>
            <c:spPr>
              <a:noFill/>
              <a:ln w="25394">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cs-CZ"/>
              </a:p>
            </c:txPr>
            <c:showLegendKey val="0"/>
            <c:showVal val="0"/>
            <c:showCatName val="1"/>
            <c:showSerName val="0"/>
            <c:showPercent val="1"/>
            <c:showBubbleSize val="0"/>
            <c:showLeaderLines val="0"/>
            <c:extLst>
              <c:ext xmlns:c15="http://schemas.microsoft.com/office/drawing/2012/chart" uri="{CE6537A1-D6FC-4f65-9D91-7224C49458BB}"/>
            </c:extLst>
          </c:dLbls>
          <c:cat>
            <c:strRef>
              <c:f>Sheet1!$B$1:$C$1</c:f>
              <c:strCache>
                <c:ptCount val="2"/>
                <c:pt idx="0">
                  <c:v>Organizační složky státu</c:v>
                </c:pt>
                <c:pt idx="1">
                  <c:v>Příspěvkové organizce</c:v>
                </c:pt>
              </c:strCache>
            </c:strRef>
          </c:cat>
          <c:val>
            <c:numRef>
              <c:f>Sheet1!$B$2:$C$2</c:f>
              <c:numCache>
                <c:formatCode>#,##0</c:formatCode>
                <c:ptCount val="2"/>
                <c:pt idx="0">
                  <c:v>22173</c:v>
                </c:pt>
                <c:pt idx="1">
                  <c:v>824719</c:v>
                </c:pt>
              </c:numCache>
            </c:numRef>
          </c:val>
          <c:extLst>
            <c:ext xmlns:c16="http://schemas.microsoft.com/office/drawing/2014/chart" uri="{C3380CC4-5D6E-409C-BE32-E72D297353CC}">
              <c16:uniqueId val="{00000004-35F5-4A15-91C4-BC42ACC2637D}"/>
            </c:ext>
          </c:extLst>
        </c:ser>
        <c:dLbls>
          <c:showLegendKey val="0"/>
          <c:showVal val="0"/>
          <c:showCatName val="0"/>
          <c:showSerName val="0"/>
          <c:showPercent val="0"/>
          <c:showBubbleSize val="0"/>
          <c:showLeaderLines val="0"/>
        </c:dLbls>
        <c:firstSliceAng val="88"/>
        <c:holeSize val="85"/>
      </c:doughnutChart>
      <c:spPr>
        <a:noFill/>
        <a:ln w="25394">
          <a:noFill/>
        </a:ln>
      </c:spPr>
    </c:plotArea>
    <c:plotVisOnly val="1"/>
    <c:dispBlanksAs val="zero"/>
    <c:showDLblsOverMax val="0"/>
  </c:chart>
  <c:spPr>
    <a:solidFill>
      <a:schemeClr val="bg1"/>
    </a:solidFill>
    <a:ln>
      <a:noFill/>
    </a:ln>
    <a:effectLst/>
  </c:spPr>
  <c:txPr>
    <a:bodyPr/>
    <a:lstStyle/>
    <a:p>
      <a:pPr>
        <a:defRPr/>
      </a:pPr>
      <a:endParaRPr lang="cs-CZ"/>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3.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0.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3.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4.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6.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7.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8.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9.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0.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3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dgm:spPr>
      <dgm:t>
        <a:bodyPr/>
        <a:lstStyle/>
        <a:p>
          <a:r>
            <a:rPr lang="cs-CZ" sz="1050" b="1">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dgm:spPr>
      <dgm:t>
        <a:bodyPr/>
        <a:lstStyle/>
        <a:p>
          <a:r>
            <a:rPr lang="cs-CZ" sz="1000" b="1">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dgm:spPr>
      <dgm:t>
        <a:bodyPr/>
        <a:lstStyle/>
        <a:p>
          <a:r>
            <a:rPr lang="cs-CZ" sz="1050" b="1">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dgm:spPr>
      <dgm:t>
        <a:bodyPr/>
        <a:lstStyle/>
        <a:p>
          <a:r>
            <a:rPr lang="cs-CZ" sz="1050" b="1">
              <a:latin typeface="Calibri" panose="020F0502020204030204"/>
              <a:ea typeface="+mn-ea"/>
              <a:cs typeface="+mn-cs"/>
            </a:rPr>
            <a:t>Prostředky na platy</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dgm:spPr>
      <dgm:t>
        <a:bodyPr/>
        <a:lstStyle/>
        <a:p>
          <a:r>
            <a:rPr lang="cs-CZ" sz="1000">
              <a:latin typeface="Calibri" panose="020F0502020204030204"/>
              <a:ea typeface="+mn-ea"/>
              <a:cs typeface="+mn-cs"/>
            </a:rPr>
            <a:t>572 924</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dgm:spPr>
      <dgm:t>
        <a:bodyPr/>
        <a:lstStyle/>
        <a:p>
          <a:r>
            <a:rPr lang="cs-CZ" sz="1000">
              <a:latin typeface="Calibri" panose="020F0502020204030204"/>
              <a:ea typeface="+mn-ea"/>
              <a:cs typeface="+mn-cs"/>
            </a:rPr>
            <a:t>594 583</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B587A40-1508-4D97-8343-8C28E6FBB468}">
      <dgm:prSet phldrT="[Text]" custT="1"/>
      <dgm:spPr>
        <a:xfrm>
          <a:off x="39171" y="913502"/>
          <a:ext cx="1001083" cy="400433"/>
        </a:xfrm>
        <a:prstGeom prst="chevron">
          <a:avLst/>
        </a:prstGeom>
      </dgm:spPr>
      <dgm:t>
        <a:bodyPr/>
        <a:lstStyle/>
        <a:p>
          <a:r>
            <a:rPr lang="cs-CZ" sz="1050" b="1">
              <a:latin typeface="Calibri" panose="020F0502020204030204"/>
              <a:ea typeface="+mn-ea"/>
              <a:cs typeface="+mn-cs"/>
            </a:rPr>
            <a:t>Ostatní platby za provedenou práci</a:t>
          </a:r>
        </a:p>
      </dgm:t>
    </dgm:pt>
    <dgm:pt modelId="{5A4B4849-C2A4-45C8-8168-A75B29D32ADB}" type="parTrans" cxnId="{4416F82F-40A8-4740-AE37-435C6B87493B}">
      <dgm:prSet/>
      <dgm:spPr/>
      <dgm:t>
        <a:bodyPr/>
        <a:lstStyle/>
        <a:p>
          <a:endParaRPr lang="cs-CZ"/>
        </a:p>
      </dgm:t>
    </dgm:pt>
    <dgm:pt modelId="{D50D9CFF-A1EA-4080-A317-AF76E6FFF851}" type="sibTrans" cxnId="{4416F82F-40A8-4740-AE37-435C6B87493B}">
      <dgm:prSet/>
      <dgm:spPr/>
      <dgm:t>
        <a:bodyPr/>
        <a:lstStyle/>
        <a:p>
          <a:endParaRPr lang="cs-CZ"/>
        </a:p>
      </dgm:t>
    </dgm:pt>
    <dgm:pt modelId="{F23C8976-2127-4278-997D-2CDED8DEB7F2}">
      <dgm:prSet phldrT="[Text]" custT="1"/>
      <dgm:spPr>
        <a:xfrm>
          <a:off x="3768406" y="947539"/>
          <a:ext cx="830898" cy="332359"/>
        </a:xfrm>
        <a:prstGeom prst="chevron">
          <a:avLst/>
        </a:prstGeom>
      </dgm:spPr>
      <dgm:t>
        <a:bodyPr/>
        <a:lstStyle/>
        <a:p>
          <a:r>
            <a:rPr lang="cs-CZ" sz="1000">
              <a:latin typeface="Calibri" panose="020F0502020204030204"/>
              <a:ea typeface="+mn-ea"/>
              <a:cs typeface="+mn-cs"/>
            </a:rPr>
            <a:t>10 476</a:t>
          </a:r>
        </a:p>
      </dgm:t>
    </dgm:pt>
    <dgm:pt modelId="{C60EC84A-D43D-46D2-8A83-88B32AFBC884}" type="parTrans" cxnId="{67ACB215-C547-49CC-87ED-8EE43AA7DA4F}">
      <dgm:prSet/>
      <dgm:spPr/>
      <dgm:t>
        <a:bodyPr/>
        <a:lstStyle/>
        <a:p>
          <a:endParaRPr lang="cs-CZ"/>
        </a:p>
      </dgm:t>
    </dgm:pt>
    <dgm:pt modelId="{7A52D734-6024-4494-86F2-45892853953A}" type="sibTrans" cxnId="{67ACB215-C547-49CC-87ED-8EE43AA7DA4F}">
      <dgm:prSet/>
      <dgm:spPr/>
      <dgm:t>
        <a:bodyPr/>
        <a:lstStyle/>
        <a:p>
          <a:endParaRPr lang="cs-CZ"/>
        </a:p>
      </dgm:t>
    </dgm:pt>
    <dgm:pt modelId="{A27EEBCB-6984-4C15-B6F0-27B735F2B4E0}">
      <dgm:prSet phldrT="[Text]" custT="1"/>
      <dgm:spPr>
        <a:xfrm>
          <a:off x="4482979" y="947539"/>
          <a:ext cx="830898" cy="332359"/>
        </a:xfrm>
        <a:prstGeom prst="chevron">
          <a:avLst/>
        </a:prstGeom>
      </dgm:spPr>
      <dgm:t>
        <a:bodyPr/>
        <a:lstStyle/>
        <a:p>
          <a:r>
            <a:rPr lang="cs-CZ" sz="1000">
              <a:latin typeface="Calibri" panose="020F0502020204030204"/>
              <a:ea typeface="+mn-ea"/>
              <a:cs typeface="+mn-cs"/>
            </a:rPr>
            <a:t>10 332</a:t>
          </a:r>
        </a:p>
      </dgm:t>
    </dgm:pt>
    <dgm:pt modelId="{E2E6D716-159D-40AE-A33B-539431203709}" type="parTrans" cxnId="{6583D4FF-13F4-4B7E-BB4B-A9938DD6AED1}">
      <dgm:prSet/>
      <dgm:spPr/>
      <dgm:t>
        <a:bodyPr/>
        <a:lstStyle/>
        <a:p>
          <a:endParaRPr lang="cs-CZ"/>
        </a:p>
      </dgm:t>
    </dgm:pt>
    <dgm:pt modelId="{282F0C65-4156-4839-9CD8-F5A3B3C83326}" type="sibTrans" cxnId="{6583D4FF-13F4-4B7E-BB4B-A9938DD6AED1}">
      <dgm:prSet/>
      <dgm:spPr/>
      <dgm:t>
        <a:bodyPr/>
        <a:lstStyle/>
        <a:p>
          <a:endParaRPr lang="cs-CZ"/>
        </a:p>
      </dgm:t>
    </dgm:pt>
    <dgm:pt modelId="{F3DB0DA9-CF9F-48FB-8A4E-B16B996859CC}">
      <dgm:prSet custT="1"/>
      <dgm:spPr>
        <a:xfrm>
          <a:off x="3053833" y="491045"/>
          <a:ext cx="830898" cy="332359"/>
        </a:xfrm>
        <a:prstGeom prst="chevron">
          <a:avLst/>
        </a:prstGeom>
      </dgm:spPr>
      <dgm:t>
        <a:bodyPr/>
        <a:lstStyle/>
        <a:p>
          <a:r>
            <a:rPr lang="cs-CZ" sz="1000">
              <a:latin typeface="Calibri" panose="020F0502020204030204"/>
              <a:ea typeface="+mn-ea"/>
              <a:cs typeface="+mn-cs"/>
            </a:rPr>
            <a:t>574 778</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dgm:spPr>
      <dgm:t>
        <a:bodyPr/>
        <a:lstStyle/>
        <a:p>
          <a:r>
            <a:rPr lang="cs-CZ" sz="1000">
              <a:latin typeface="Calibri" panose="020F0502020204030204"/>
              <a:ea typeface="+mn-ea"/>
              <a:cs typeface="+mn-cs"/>
            </a:rPr>
            <a:t>575 267</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B7ECE7B1-DE09-4B35-B3EF-F552934AFCE8}">
      <dgm:prSet custT="1"/>
      <dgm:spPr>
        <a:xfrm>
          <a:off x="3053833" y="34551"/>
          <a:ext cx="830898" cy="332359"/>
        </a:xfrm>
        <a:prstGeom prst="chevron">
          <a:avLst/>
        </a:prstGeom>
      </dgm:spPr>
      <dgm:t>
        <a:bodyPr/>
        <a:lstStyle/>
        <a:p>
          <a:r>
            <a:rPr lang="cs-CZ" sz="1050" b="1">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dgm:spPr>
      <dgm:t>
        <a:bodyPr/>
        <a:lstStyle/>
        <a:p>
          <a:r>
            <a:rPr lang="cs-CZ" sz="1000" b="1">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A60C9FE3-6133-4657-A514-55217A1AA855}">
      <dgm:prSet custT="1"/>
      <dgm:spPr>
        <a:xfrm>
          <a:off x="3053833" y="947539"/>
          <a:ext cx="830898" cy="332359"/>
        </a:xfrm>
        <a:prstGeom prst="chevron">
          <a:avLst/>
        </a:prstGeom>
      </dgm:spPr>
      <dgm:t>
        <a:bodyPr/>
        <a:lstStyle/>
        <a:p>
          <a:r>
            <a:rPr lang="cs-CZ" sz="1000">
              <a:latin typeface="Calibri" panose="020F0502020204030204"/>
              <a:ea typeface="+mn-ea"/>
              <a:cs typeface="+mn-cs"/>
            </a:rPr>
            <a:t>16 304</a:t>
          </a:r>
        </a:p>
      </dgm:t>
    </dgm:pt>
    <dgm:pt modelId="{48E7F69E-D617-43E7-B65A-766B6597C104}" type="parTrans" cxnId="{B4C5D7C9-3B70-451E-921F-5A507669669C}">
      <dgm:prSet/>
      <dgm:spPr/>
      <dgm:t>
        <a:bodyPr/>
        <a:lstStyle/>
        <a:p>
          <a:endParaRPr lang="cs-CZ"/>
        </a:p>
      </dgm:t>
    </dgm:pt>
    <dgm:pt modelId="{E86F0626-7479-4219-874A-CE1165407EEC}" type="sibTrans" cxnId="{B4C5D7C9-3B70-451E-921F-5A507669669C}">
      <dgm:prSet/>
      <dgm:spPr/>
      <dgm:t>
        <a:bodyPr/>
        <a:lstStyle/>
        <a:p>
          <a:endParaRPr lang="cs-CZ"/>
        </a:p>
      </dgm:t>
    </dgm:pt>
    <dgm:pt modelId="{77485BA1-1EFD-426B-BD17-453AAD7439CB}">
      <dgm:prSet custT="1"/>
      <dgm:spPr>
        <a:xfrm>
          <a:off x="2339260" y="947539"/>
          <a:ext cx="830898" cy="332359"/>
        </a:xfrm>
        <a:prstGeom prst="chevron">
          <a:avLst/>
        </a:prstGeom>
      </dgm:spPr>
      <dgm:t>
        <a:bodyPr/>
        <a:lstStyle/>
        <a:p>
          <a:r>
            <a:rPr lang="cs-CZ" sz="1000">
              <a:latin typeface="Calibri" panose="020F0502020204030204"/>
              <a:ea typeface="+mn-ea"/>
              <a:cs typeface="+mn-cs"/>
            </a:rPr>
            <a:t>13 116</a:t>
          </a:r>
        </a:p>
      </dgm:t>
    </dgm:pt>
    <dgm:pt modelId="{5F05A5CF-31E6-4A74-87AB-A1DB8C53F68F}" type="parTrans" cxnId="{A25D73CF-D3FE-4A59-90D9-D522A8290BF9}">
      <dgm:prSet/>
      <dgm:spPr/>
      <dgm:t>
        <a:bodyPr/>
        <a:lstStyle/>
        <a:p>
          <a:endParaRPr lang="cs-CZ"/>
        </a:p>
      </dgm:t>
    </dgm:pt>
    <dgm:pt modelId="{6EB90918-DFF2-4E86-ABD3-6281C2267DD5}" type="sibTrans" cxnId="{A25D73CF-D3FE-4A59-90D9-D522A8290BF9}">
      <dgm:prSet/>
      <dgm:spPr/>
      <dgm:t>
        <a:bodyPr/>
        <a:lstStyle/>
        <a:p>
          <a:endParaRPr lang="cs-CZ"/>
        </a:p>
      </dgm:t>
    </dgm:pt>
    <dgm:pt modelId="{7D95A44A-ECB8-4607-AF49-B15DF5A2602D}">
      <dgm:prSet custT="1"/>
      <dgm:spPr>
        <a:xfrm>
          <a:off x="1624687" y="947539"/>
          <a:ext cx="830898" cy="332359"/>
        </a:xfrm>
        <a:prstGeom prst="chevron">
          <a:avLst/>
        </a:prstGeom>
      </dgm:spPr>
      <dgm:t>
        <a:bodyPr/>
        <a:lstStyle/>
        <a:p>
          <a:r>
            <a:rPr lang="cs-CZ" sz="1000">
              <a:latin typeface="Calibri" panose="020F0502020204030204"/>
              <a:ea typeface="+mn-ea"/>
              <a:cs typeface="+mn-cs"/>
            </a:rPr>
            <a:t>12 288</a:t>
          </a:r>
        </a:p>
      </dgm:t>
    </dgm:pt>
    <dgm:pt modelId="{1A0087B4-A96A-4FB7-B06E-A5D36C6523EF}" type="parTrans" cxnId="{31794D17-765C-417D-B10F-34A1C578BC82}">
      <dgm:prSet/>
      <dgm:spPr/>
      <dgm:t>
        <a:bodyPr/>
        <a:lstStyle/>
        <a:p>
          <a:endParaRPr lang="cs-CZ"/>
        </a:p>
      </dgm:t>
    </dgm:pt>
    <dgm:pt modelId="{98FD26B5-E98B-4D74-B590-8A1D7F8EA02B}" type="sibTrans" cxnId="{31794D17-765C-417D-B10F-34A1C578BC82}">
      <dgm:prSet/>
      <dgm:spPr/>
      <dgm:t>
        <a:bodyPr/>
        <a:lstStyle/>
        <a:p>
          <a:endParaRPr lang="cs-CZ"/>
        </a:p>
      </dgm:t>
    </dgm:pt>
    <dgm:pt modelId="{B62A07CB-3EFA-46D4-B983-264441964367}">
      <dgm:prSet custT="1"/>
      <dgm:spPr>
        <a:xfrm>
          <a:off x="1624687" y="34551"/>
          <a:ext cx="830898" cy="332359"/>
        </a:xfrm>
        <a:prstGeom prst="chevron">
          <a:avLst/>
        </a:prstGeom>
      </dgm:spPr>
      <dgm:t>
        <a:bodyPr/>
        <a:lstStyle/>
        <a:p>
          <a:r>
            <a:rPr lang="cs-CZ" sz="1000" b="1">
              <a:latin typeface="Calibri" panose="020F0502020204030204"/>
              <a:ea typeface="+mn-ea"/>
              <a:cs typeface="+mn-cs"/>
            </a:rPr>
            <a:t>2019</a:t>
          </a:r>
        </a:p>
      </dgm:t>
    </dgm:pt>
    <dgm:pt modelId="{86BFB788-3F63-4576-8E20-CC6A3656E461}" type="sibTrans" cxnId="{7A54F410-46BF-4BC4-8EA6-774AA8D2CE63}">
      <dgm:prSet/>
      <dgm:spPr/>
      <dgm:t>
        <a:bodyPr/>
        <a:lstStyle/>
        <a:p>
          <a:endParaRPr lang="cs-CZ"/>
        </a:p>
      </dgm:t>
    </dgm:pt>
    <dgm:pt modelId="{DA6DDA27-2107-4270-A3BD-1C78B27962E5}" type="parTrans" cxnId="{7A54F410-46BF-4BC4-8EA6-774AA8D2CE63}">
      <dgm:prSet/>
      <dgm:spPr/>
      <dgm:t>
        <a:bodyPr/>
        <a:lstStyle/>
        <a:p>
          <a:endParaRPr lang="cs-CZ"/>
        </a:p>
      </dgm:t>
    </dgm:pt>
    <dgm:pt modelId="{9F6AD232-91D9-428D-A514-5855536CA218}">
      <dgm:prSet phldrT="[Text]" custT="1"/>
      <dgm:spPr>
        <a:xfrm>
          <a:off x="4482979" y="491045"/>
          <a:ext cx="830898" cy="332359"/>
        </a:xfrm>
      </dgm:spPr>
      <dgm:t>
        <a:bodyPr/>
        <a:lstStyle/>
        <a:p>
          <a:r>
            <a:rPr lang="cs-CZ" sz="1000">
              <a:latin typeface="Calibri" panose="020F0502020204030204"/>
              <a:ea typeface="+mn-ea"/>
              <a:cs typeface="+mn-cs"/>
            </a:rPr>
            <a:t>610 655</a:t>
          </a:r>
        </a:p>
      </dgm:t>
    </dgm:pt>
    <dgm:pt modelId="{013114EF-D384-4714-BC76-C270070218DD}" type="parTrans" cxnId="{45B48C2E-A748-49AE-A1F5-E9912740DF86}">
      <dgm:prSet/>
      <dgm:spPr/>
      <dgm:t>
        <a:bodyPr/>
        <a:lstStyle/>
        <a:p>
          <a:endParaRPr lang="cs-CZ"/>
        </a:p>
      </dgm:t>
    </dgm:pt>
    <dgm:pt modelId="{164E4465-D6F2-4D17-929F-6691DD360ED4}" type="sibTrans" cxnId="{45B48C2E-A748-49AE-A1F5-E9912740DF86}">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3" custScaleX="151644"/>
      <dgm:spPr/>
    </dgm:pt>
    <dgm:pt modelId="{16F8A479-D000-4689-AA45-88FB35BD20E7}" type="pres">
      <dgm:prSet presAssocID="{DA6DDA27-2107-4270-A3BD-1C78B27962E5}" presName="parTrans" presStyleCnt="0"/>
      <dgm:spPr/>
    </dgm:pt>
    <dgm:pt modelId="{9CF25B67-FA31-41AE-B4EF-CCD2718072B3}" type="pres">
      <dgm:prSet presAssocID="{B62A07CB-3EFA-46D4-B983-264441964367}" presName="node" presStyleLbl="alignAccFollowNode1" presStyleIdx="0" presStyleCnt="15">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1" presStyleCnt="15">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2" presStyleCnt="15">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3" presStyleCnt="15">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4" presStyleCnt="15">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3" custScaleX="151954"/>
      <dgm:spPr/>
    </dgm:pt>
    <dgm:pt modelId="{61ACC0E5-6DB5-4C48-961E-4E73AFD0F72C}" type="pres">
      <dgm:prSet presAssocID="{987134DD-5B78-4BCA-9259-DE628B8E685E}" presName="parTrans" presStyleCnt="0"/>
      <dgm:spPr/>
    </dgm:pt>
    <dgm:pt modelId="{58F31D09-ADCD-4DC9-8221-D1D9CF855BAD}" type="pres">
      <dgm:prSet presAssocID="{8745A055-D09D-4C9C-BC6F-FA2A4CB4E11F}" presName="node" presStyleLbl="alignAccFollowNode1" presStyleIdx="5" presStyleCnt="15">
        <dgm:presLayoutVars>
          <dgm:bulletEnabled val="1"/>
        </dgm:presLayoutVars>
      </dgm:prSet>
      <dgm:spPr/>
    </dgm:pt>
    <dgm:pt modelId="{F926AF39-E7BE-4E11-9D22-C62449B0D6F5}" type="pres">
      <dgm:prSet presAssocID="{E1A6CB3E-3E8F-47BA-95FF-025EA5275374}" presName="sibTrans" presStyleCnt="0"/>
      <dgm:spPr/>
    </dgm:pt>
    <dgm:pt modelId="{1D04C8CC-6EFD-46D0-BB1C-70E60B93513A}" type="pres">
      <dgm:prSet presAssocID="{F3DB0DA9-CF9F-48FB-8A4E-B16B996859CC}" presName="node" presStyleLbl="alignAccFollowNode1" presStyleIdx="6" presStyleCnt="15">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7" presStyleCnt="15">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8" presStyleCnt="15">
        <dgm:presLayoutVars>
          <dgm:bulletEnabled val="1"/>
        </dgm:presLayoutVars>
      </dgm:prSet>
      <dgm:spPr/>
    </dgm:pt>
    <dgm:pt modelId="{141A120D-6817-47B9-8610-717D1794A74A}" type="pres">
      <dgm:prSet presAssocID="{530A1608-B48A-4847-B17E-FBE47F647A54}" presName="sibTrans" presStyleCnt="0"/>
      <dgm:spPr/>
    </dgm:pt>
    <dgm:pt modelId="{3CEE6A7F-7896-4564-927F-AF7EEC6A4BD8}" type="pres">
      <dgm:prSet presAssocID="{9F6AD232-91D9-428D-A514-5855536CA218}" presName="node" presStyleLbl="alignAccFollowNode1" presStyleIdx="9" presStyleCnt="15">
        <dgm:presLayoutVars>
          <dgm:bulletEnabled val="1"/>
        </dgm:presLayoutVars>
      </dgm:prSet>
      <dgm:spPr>
        <a:prstGeom prst="chevron">
          <a:avLst/>
        </a:prstGeom>
      </dgm:spPr>
    </dgm:pt>
    <dgm:pt modelId="{BD4AB627-12C3-4C14-A36D-18F53B40C0C2}" type="pres">
      <dgm:prSet presAssocID="{60CC8BA2-67B8-4B5C-8F83-24E2D147DDF5}" presName="vSp" presStyleCnt="0"/>
      <dgm:spPr/>
    </dgm:pt>
    <dgm:pt modelId="{74599312-6AB4-4211-AF7A-02BC49294BED}" type="pres">
      <dgm:prSet presAssocID="{FB587A40-1508-4D97-8343-8C28E6FBB468}" presName="horFlow" presStyleCnt="0"/>
      <dgm:spPr/>
    </dgm:pt>
    <dgm:pt modelId="{F97D4733-33FE-440A-9F4A-E88411DCDC07}" type="pres">
      <dgm:prSet presAssocID="{FB587A40-1508-4D97-8343-8C28E6FBB468}" presName="bigChev" presStyleLbl="node1" presStyleIdx="2" presStyleCnt="3" custScaleX="150515"/>
      <dgm:spPr/>
    </dgm:pt>
    <dgm:pt modelId="{FBB3F77B-C16F-484A-8C53-7B4196A2E588}" type="pres">
      <dgm:prSet presAssocID="{1A0087B4-A96A-4FB7-B06E-A5D36C6523EF}" presName="parTrans" presStyleCnt="0"/>
      <dgm:spPr/>
    </dgm:pt>
    <dgm:pt modelId="{8F0EEA60-B1DB-420F-91B7-F24A16C0E9F6}" type="pres">
      <dgm:prSet presAssocID="{7D95A44A-ECB8-4607-AF49-B15DF5A2602D}" presName="node" presStyleLbl="alignAccFollowNode1" presStyleIdx="10" presStyleCnt="15">
        <dgm:presLayoutVars>
          <dgm:bulletEnabled val="1"/>
        </dgm:presLayoutVars>
      </dgm:prSet>
      <dgm:spPr/>
    </dgm:pt>
    <dgm:pt modelId="{FA44E0AB-6FD0-49BB-B31B-83A7AF9B57C9}" type="pres">
      <dgm:prSet presAssocID="{98FD26B5-E98B-4D74-B590-8A1D7F8EA02B}" presName="sibTrans" presStyleCnt="0"/>
      <dgm:spPr/>
    </dgm:pt>
    <dgm:pt modelId="{364DD1D5-65B5-427D-8048-69F9B123D620}" type="pres">
      <dgm:prSet presAssocID="{77485BA1-1EFD-426B-BD17-453AAD7439CB}" presName="node" presStyleLbl="alignAccFollowNode1" presStyleIdx="11" presStyleCnt="15">
        <dgm:presLayoutVars>
          <dgm:bulletEnabled val="1"/>
        </dgm:presLayoutVars>
      </dgm:prSet>
      <dgm:spPr/>
    </dgm:pt>
    <dgm:pt modelId="{0389FC13-632C-46F0-8605-F8B130B01B47}" type="pres">
      <dgm:prSet presAssocID="{6EB90918-DFF2-4E86-ABD3-6281C2267DD5}" presName="sibTrans" presStyleCnt="0"/>
      <dgm:spPr/>
    </dgm:pt>
    <dgm:pt modelId="{7249E8C8-FABD-4CA5-BBFA-E45908887436}" type="pres">
      <dgm:prSet presAssocID="{A60C9FE3-6133-4657-A514-55217A1AA855}" presName="node" presStyleLbl="alignAccFollowNode1" presStyleIdx="12" presStyleCnt="15">
        <dgm:presLayoutVars>
          <dgm:bulletEnabled val="1"/>
        </dgm:presLayoutVars>
      </dgm:prSet>
      <dgm:spPr/>
    </dgm:pt>
    <dgm:pt modelId="{00F72B38-8AC4-4DF1-AA7B-BB2A489ECE83}" type="pres">
      <dgm:prSet presAssocID="{E86F0626-7479-4219-874A-CE1165407EEC}" presName="sibTrans" presStyleCnt="0"/>
      <dgm:spPr/>
    </dgm:pt>
    <dgm:pt modelId="{1F7E2D3B-1C75-4E88-87A3-5E98A54B5AC6}" type="pres">
      <dgm:prSet presAssocID="{F23C8976-2127-4278-997D-2CDED8DEB7F2}" presName="node" presStyleLbl="alignAccFollowNode1" presStyleIdx="13" presStyleCnt="15">
        <dgm:presLayoutVars>
          <dgm:bulletEnabled val="1"/>
        </dgm:presLayoutVars>
      </dgm:prSet>
      <dgm:spPr/>
    </dgm:pt>
    <dgm:pt modelId="{53E9F6E5-248F-45F1-A9AB-C47D75EC7068}" type="pres">
      <dgm:prSet presAssocID="{7A52D734-6024-4494-86F2-45892853953A}" presName="sibTrans" presStyleCnt="0"/>
      <dgm:spPr/>
    </dgm:pt>
    <dgm:pt modelId="{2BB8A638-90F3-4041-95E0-6576F32D89E3}" type="pres">
      <dgm:prSet presAssocID="{A27EEBCB-6984-4C15-B6F0-27B735F2B4E0}" presName="node" presStyleLbl="alignAccFollowNode1" presStyleIdx="14" presStyleCnt="15">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7A54F410-46BF-4BC4-8EA6-774AA8D2CE63}" srcId="{A026A503-5385-48CD-9960-7890BC01BF17}" destId="{B62A07CB-3EFA-46D4-B983-264441964367}" srcOrd="0" destOrd="0" parTransId="{DA6DDA27-2107-4270-A3BD-1C78B27962E5}" sibTransId="{86BFB788-3F63-4576-8E20-CC6A3656E461}"/>
    <dgm:cxn modelId="{67ACB215-C547-49CC-87ED-8EE43AA7DA4F}" srcId="{FB587A40-1508-4D97-8343-8C28E6FBB468}" destId="{F23C8976-2127-4278-997D-2CDED8DEB7F2}" srcOrd="3" destOrd="0" parTransId="{C60EC84A-D43D-46D2-8A83-88B32AFBC884}" sibTransId="{7A52D734-6024-4494-86F2-45892853953A}"/>
    <dgm:cxn modelId="{78521717-9E71-41A7-B2C1-90D5FAE5A1CB}" type="presOf" srcId="{77485BA1-1EFD-426B-BD17-453AAD7439CB}" destId="{364DD1D5-65B5-427D-8048-69F9B123D620}" srcOrd="0" destOrd="0" presId="urn:microsoft.com/office/officeart/2005/8/layout/lProcess3"/>
    <dgm:cxn modelId="{31794D17-765C-417D-B10F-34A1C578BC82}" srcId="{FB587A40-1508-4D97-8343-8C28E6FBB468}" destId="{7D95A44A-ECB8-4607-AF49-B15DF5A2602D}" srcOrd="0" destOrd="0" parTransId="{1A0087B4-A96A-4FB7-B06E-A5D36C6523EF}" sibTransId="{98FD26B5-E98B-4D74-B590-8A1D7F8EA02B}"/>
    <dgm:cxn modelId="{50C4D418-E3EE-43BA-8DBE-EA09E0166175}" srcId="{60CC8BA2-67B8-4B5C-8F83-24E2D147DDF5}" destId="{C00F4E8D-2D97-4332-8A25-D515248152D2}" srcOrd="2"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45B48C2E-A748-49AE-A1F5-E9912740DF86}" srcId="{60CC8BA2-67B8-4B5C-8F83-24E2D147DDF5}" destId="{9F6AD232-91D9-428D-A514-5855536CA218}" srcOrd="4" destOrd="0" parTransId="{013114EF-D384-4714-BC76-C270070218DD}" sibTransId="{164E4465-D6F2-4D17-929F-6691DD360ED4}"/>
    <dgm:cxn modelId="{4416F82F-40A8-4740-AE37-435C6B87493B}" srcId="{E6F261A4-C73A-49D8-96F2-76C8A05FBA61}" destId="{FB587A40-1508-4D97-8343-8C28E6FBB468}" srcOrd="2" destOrd="0" parTransId="{5A4B4849-C2A4-45C8-8168-A75B29D32ADB}" sibTransId="{D50D9CFF-A1EA-4080-A317-AF76E6FFF851}"/>
    <dgm:cxn modelId="{81368935-D9C8-4FD2-94D9-578AF782F3C7}" srcId="{A026A503-5385-48CD-9960-7890BC01BF17}" destId="{B7ECE7B1-DE09-4B35-B3EF-F552934AFCE8}" srcOrd="2" destOrd="0" parTransId="{A9C9CEC0-A762-4343-9FD1-C949E5188B85}" sibTransId="{10B5F909-84D1-4EDB-9013-6CD0F76DFEA1}"/>
    <dgm:cxn modelId="{A8944B36-099E-467F-98E4-83062C67CC15}" type="presOf" srcId="{9F6AD232-91D9-428D-A514-5855536CA218}" destId="{3CEE6A7F-7896-4564-927F-AF7EEC6A4BD8}" srcOrd="0" destOrd="0" presId="urn:microsoft.com/office/officeart/2005/8/layout/lProcess3"/>
    <dgm:cxn modelId="{F8BA8E3A-2853-464E-89AE-903440A0A8AA}" srcId="{A026A503-5385-48CD-9960-7890BC01BF17}" destId="{66B9B487-B0DE-49D5-B890-8F4F7B485182}" srcOrd="4"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0" destOrd="0" parTransId="{987134DD-5B78-4BCA-9259-DE628B8E685E}" sibTransId="{E1A6CB3E-3E8F-47BA-95FF-025EA5275374}"/>
    <dgm:cxn modelId="{6B393870-ED54-405E-974D-A62CC7C580CD}" type="presOf" srcId="{A60C9FE3-6133-4657-A514-55217A1AA855}" destId="{7249E8C8-FABD-4CA5-BBFA-E45908887436}" srcOrd="0" destOrd="0" presId="urn:microsoft.com/office/officeart/2005/8/layout/lProcess3"/>
    <dgm:cxn modelId="{2D587D55-1155-4743-A2E6-D8BB3EE53FFA}" type="presOf" srcId="{7D95A44A-ECB8-4607-AF49-B15DF5A2602D}" destId="{8F0EEA60-B1DB-420F-91B7-F24A16C0E9F6}" srcOrd="0" destOrd="0" presId="urn:microsoft.com/office/officeart/2005/8/layout/lProcess3"/>
    <dgm:cxn modelId="{9AAF8E5A-DC3B-4AFE-BF2B-0CA982D4A873}" srcId="{A026A503-5385-48CD-9960-7890BC01BF17}" destId="{81B96AF2-AF7C-4C6D-BF8F-26DA405E6181}" srcOrd="3"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3" destOrd="0" parTransId="{209BC680-4E03-4850-8AA8-C4A94E922D15}" sibTransId="{530A1608-B48A-4847-B17E-FBE47F647A54}"/>
    <dgm:cxn modelId="{12DF8CA0-2202-48D3-BFED-52239A8BF490}" srcId="{60CC8BA2-67B8-4B5C-8F83-24E2D147DDF5}" destId="{F3DB0DA9-CF9F-48FB-8A4E-B16B996859CC}" srcOrd="1"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B4C5D7C9-3B70-451E-921F-5A507669669C}" srcId="{FB587A40-1508-4D97-8343-8C28E6FBB468}" destId="{A60C9FE3-6133-4657-A514-55217A1AA855}" srcOrd="2" destOrd="0" parTransId="{48E7F69E-D617-43E7-B65A-766B6597C104}" sibTransId="{E86F0626-7479-4219-874A-CE1165407EEC}"/>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A25D73CF-D3FE-4A59-90D9-D522A8290BF9}" srcId="{FB587A40-1508-4D97-8343-8C28E6FBB468}" destId="{77485BA1-1EFD-426B-BD17-453AAD7439CB}" srcOrd="1" destOrd="0" parTransId="{5F05A5CF-31E6-4A74-87AB-A1DB8C53F68F}" sibTransId="{6EB90918-DFF2-4E86-ABD3-6281C2267DD5}"/>
    <dgm:cxn modelId="{C40972D2-A95A-4B4B-BBE9-36A113D44C99}" type="presOf" srcId="{FB587A40-1508-4D97-8343-8C28E6FBB468}" destId="{F97D4733-33FE-440A-9F4A-E88411DCDC07}" srcOrd="0" destOrd="0" presId="urn:microsoft.com/office/officeart/2005/8/layout/lProcess3"/>
    <dgm:cxn modelId="{0DC9CAD7-C976-4E61-934E-63A3AC917476}" type="presOf" srcId="{F23C8976-2127-4278-997D-2CDED8DEB7F2}" destId="{1F7E2D3B-1C75-4E88-87A3-5E98A54B5AC6}" srcOrd="0" destOrd="0" presId="urn:microsoft.com/office/officeart/2005/8/layout/lProcess3"/>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1"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8AE17EF8-C7A0-4637-AF61-6768CACB5AFB}" type="presOf" srcId="{A27EEBCB-6984-4C15-B6F0-27B735F2B4E0}" destId="{2BB8A638-90F3-4041-95E0-6576F32D89E3}" srcOrd="0" destOrd="0" presId="urn:microsoft.com/office/officeart/2005/8/layout/lProcess3"/>
    <dgm:cxn modelId="{9F384BFF-2582-42FB-AA89-C1DF4BFA2F8A}" type="presOf" srcId="{F3DB0DA9-CF9F-48FB-8A4E-B16B996859CC}" destId="{1D04C8CC-6EFD-46D0-BB1C-70E60B93513A}" srcOrd="0" destOrd="0" presId="urn:microsoft.com/office/officeart/2005/8/layout/lProcess3"/>
    <dgm:cxn modelId="{6583D4FF-13F4-4B7E-BB4B-A9938DD6AED1}" srcId="{FB587A40-1508-4D97-8343-8C28E6FBB468}" destId="{A27EEBCB-6984-4C15-B6F0-27B735F2B4E0}" srcOrd="4" destOrd="0" parTransId="{E2E6D716-159D-40AE-A33B-539431203709}" sibTransId="{282F0C65-4156-4839-9CD8-F5A3B3C83326}"/>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B389D454-ED53-415C-8C92-78346729BA71}" type="presParOf" srcId="{7AFA005C-24EB-425D-AA59-994D2BCA7851}" destId="{16F8A479-D000-4689-AA45-88FB35BD20E7}" srcOrd="1" destOrd="0" presId="urn:microsoft.com/office/officeart/2005/8/layout/lProcess3"/>
    <dgm:cxn modelId="{E2308CAE-70E6-43D3-8275-F70F4D1B821B}" type="presParOf" srcId="{7AFA005C-24EB-425D-AA59-994D2BCA7851}" destId="{9CF25B67-FA31-41AE-B4EF-CCD2718072B3}" srcOrd="2" destOrd="0" presId="urn:microsoft.com/office/officeart/2005/8/layout/lProcess3"/>
    <dgm:cxn modelId="{5C1B932C-235D-4F1A-9AE4-FBE0C0741DCC}" type="presParOf" srcId="{7AFA005C-24EB-425D-AA59-994D2BCA7851}" destId="{CF2A569A-A5DD-47B4-A8A4-2F55658E3B6D}" srcOrd="3" destOrd="0" presId="urn:microsoft.com/office/officeart/2005/8/layout/lProcess3"/>
    <dgm:cxn modelId="{5299EB9E-9611-4C80-9C7F-367781513D99}" type="presParOf" srcId="{7AFA005C-24EB-425D-AA59-994D2BCA7851}" destId="{ED3FB9E6-0BAA-4702-B8CA-920A66AFC02F}" srcOrd="4" destOrd="0" presId="urn:microsoft.com/office/officeart/2005/8/layout/lProcess3"/>
    <dgm:cxn modelId="{0EF39BA9-C529-41BC-BE86-013E7B281E2A}" type="presParOf" srcId="{7AFA005C-24EB-425D-AA59-994D2BCA7851}" destId="{3121E4B7-F3A0-42BA-AD82-8FDFE22D4AC6}" srcOrd="5" destOrd="0" presId="urn:microsoft.com/office/officeart/2005/8/layout/lProcess3"/>
    <dgm:cxn modelId="{817DB98E-76EC-43EC-A793-E225BB82EC22}" type="presParOf" srcId="{7AFA005C-24EB-425D-AA59-994D2BCA7851}" destId="{9783D7DD-9297-4972-8B5A-E2BE8A6720CA}" srcOrd="6" destOrd="0" presId="urn:microsoft.com/office/officeart/2005/8/layout/lProcess3"/>
    <dgm:cxn modelId="{75D27544-63C6-4DC2-A041-AA8A2E6ECBCE}" type="presParOf" srcId="{7AFA005C-24EB-425D-AA59-994D2BCA7851}" destId="{595C3FF3-1CE2-4857-857D-24F27C9A7A01}" srcOrd="7" destOrd="0" presId="urn:microsoft.com/office/officeart/2005/8/layout/lProcess3"/>
    <dgm:cxn modelId="{D24CC84D-6544-41E1-BD00-53D4E9FEA428}" type="presParOf" srcId="{7AFA005C-24EB-425D-AA59-994D2BCA7851}" destId="{1A805A11-34B2-4547-9AC3-D38054F91140}" srcOrd="8" destOrd="0" presId="urn:microsoft.com/office/officeart/2005/8/layout/lProcess3"/>
    <dgm:cxn modelId="{E11EDD92-E80E-4A97-B356-E8B1E0B92849}" type="presParOf" srcId="{7AFA005C-24EB-425D-AA59-994D2BCA7851}" destId="{170943A2-07FD-4ED6-B58F-4E78324785DA}" srcOrd="9" destOrd="0" presId="urn:microsoft.com/office/officeart/2005/8/layout/lProcess3"/>
    <dgm:cxn modelId="{6B8782E3-72D3-4D4A-B59B-56F04F4C3BBE}" type="presParOf" srcId="{7AFA005C-24EB-425D-AA59-994D2BCA7851}" destId="{E8FE0132-567C-48E3-8786-55757C8F10C4}" srcOrd="10"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F1D6ECB5-FEF8-4992-A0B9-22F11A924EEC}" type="presParOf" srcId="{46382AFD-95FC-4564-A1AD-95C56098B8F7}" destId="{61ACC0E5-6DB5-4C48-961E-4E73AFD0F72C}" srcOrd="1" destOrd="0" presId="urn:microsoft.com/office/officeart/2005/8/layout/lProcess3"/>
    <dgm:cxn modelId="{057BC54A-0FEE-4424-895F-E36957DC6163}" type="presParOf" srcId="{46382AFD-95FC-4564-A1AD-95C56098B8F7}" destId="{58F31D09-ADCD-4DC9-8221-D1D9CF855BAD}" srcOrd="2" destOrd="0" presId="urn:microsoft.com/office/officeart/2005/8/layout/lProcess3"/>
    <dgm:cxn modelId="{0782C071-60FB-4447-91C9-27630AD1C5CA}" type="presParOf" srcId="{46382AFD-95FC-4564-A1AD-95C56098B8F7}" destId="{F926AF39-E7BE-4E11-9D22-C62449B0D6F5}" srcOrd="3" destOrd="0" presId="urn:microsoft.com/office/officeart/2005/8/layout/lProcess3"/>
    <dgm:cxn modelId="{12E0D335-A7F9-4071-A638-35E7FC2D0473}" type="presParOf" srcId="{46382AFD-95FC-4564-A1AD-95C56098B8F7}" destId="{1D04C8CC-6EFD-46D0-BB1C-70E60B93513A}" srcOrd="4" destOrd="0" presId="urn:microsoft.com/office/officeart/2005/8/layout/lProcess3"/>
    <dgm:cxn modelId="{65D41940-96AE-4BB8-8400-1448CC4346E4}" type="presParOf" srcId="{46382AFD-95FC-4564-A1AD-95C56098B8F7}" destId="{ACF4825D-F322-47DC-8BCE-FA35DB4619D6}" srcOrd="5" destOrd="0" presId="urn:microsoft.com/office/officeart/2005/8/layout/lProcess3"/>
    <dgm:cxn modelId="{FE60B3C6-AADC-4DA9-B0A5-9F1EBF1B9B06}" type="presParOf" srcId="{46382AFD-95FC-4564-A1AD-95C56098B8F7}" destId="{13C9CD02-249A-42BA-89EA-061EDDC086D7}" srcOrd="6" destOrd="0" presId="urn:microsoft.com/office/officeart/2005/8/layout/lProcess3"/>
    <dgm:cxn modelId="{F48B0157-5ACA-40C7-B996-536DB78C2FEA}" type="presParOf" srcId="{46382AFD-95FC-4564-A1AD-95C56098B8F7}" destId="{412FD5E1-6105-4277-8502-29E6E714906A}" srcOrd="7" destOrd="0" presId="urn:microsoft.com/office/officeart/2005/8/layout/lProcess3"/>
    <dgm:cxn modelId="{45DA59A1-0878-4066-8783-79CD9368F04F}" type="presParOf" srcId="{46382AFD-95FC-4564-A1AD-95C56098B8F7}" destId="{10D62D9A-AAE0-458C-9095-B2BB7F451ACB}" srcOrd="8" destOrd="0" presId="urn:microsoft.com/office/officeart/2005/8/layout/lProcess3"/>
    <dgm:cxn modelId="{98C9A3BA-4447-4873-A708-4D9671130C8C}" type="presParOf" srcId="{46382AFD-95FC-4564-A1AD-95C56098B8F7}" destId="{141A120D-6817-47B9-8610-717D1794A74A}" srcOrd="9" destOrd="0" presId="urn:microsoft.com/office/officeart/2005/8/layout/lProcess3"/>
    <dgm:cxn modelId="{2F8A2DF8-1AF6-45B5-B27C-E09561EF653D}" type="presParOf" srcId="{46382AFD-95FC-4564-A1AD-95C56098B8F7}" destId="{3CEE6A7F-7896-4564-927F-AF7EEC6A4BD8}" srcOrd="10" destOrd="0" presId="urn:microsoft.com/office/officeart/2005/8/layout/lProcess3"/>
    <dgm:cxn modelId="{03749785-A0FE-4031-8EF3-B97CCF7144EA}" type="presParOf" srcId="{AABEC067-B163-4BF4-8A60-BD081BE42642}" destId="{BD4AB627-12C3-4C14-A36D-18F53B40C0C2}" srcOrd="3" destOrd="0" presId="urn:microsoft.com/office/officeart/2005/8/layout/lProcess3"/>
    <dgm:cxn modelId="{FA29E224-8962-446E-9E6F-766B5E85182A}" type="presParOf" srcId="{AABEC067-B163-4BF4-8A60-BD081BE42642}" destId="{74599312-6AB4-4211-AF7A-02BC49294BED}" srcOrd="4" destOrd="0" presId="urn:microsoft.com/office/officeart/2005/8/layout/lProcess3"/>
    <dgm:cxn modelId="{8CB96936-1F9C-4925-8D87-7127EAFB9D99}" type="presParOf" srcId="{74599312-6AB4-4211-AF7A-02BC49294BED}" destId="{F97D4733-33FE-440A-9F4A-E88411DCDC07}" srcOrd="0" destOrd="0" presId="urn:microsoft.com/office/officeart/2005/8/layout/lProcess3"/>
    <dgm:cxn modelId="{6B1F37B6-59C4-407E-B2CD-BBB5ADA2F91E}" type="presParOf" srcId="{74599312-6AB4-4211-AF7A-02BC49294BED}" destId="{FBB3F77B-C16F-484A-8C53-7B4196A2E588}" srcOrd="1" destOrd="0" presId="urn:microsoft.com/office/officeart/2005/8/layout/lProcess3"/>
    <dgm:cxn modelId="{59094907-C405-4557-889C-18FAAC6943E9}" type="presParOf" srcId="{74599312-6AB4-4211-AF7A-02BC49294BED}" destId="{8F0EEA60-B1DB-420F-91B7-F24A16C0E9F6}" srcOrd="2" destOrd="0" presId="urn:microsoft.com/office/officeart/2005/8/layout/lProcess3"/>
    <dgm:cxn modelId="{472FFE65-2DB7-4664-9EE2-C563E94B388E}" type="presParOf" srcId="{74599312-6AB4-4211-AF7A-02BC49294BED}" destId="{FA44E0AB-6FD0-49BB-B31B-83A7AF9B57C9}" srcOrd="3" destOrd="0" presId="urn:microsoft.com/office/officeart/2005/8/layout/lProcess3"/>
    <dgm:cxn modelId="{8C3ACE92-A6CB-4C11-BAEE-2EE1DB633B21}" type="presParOf" srcId="{74599312-6AB4-4211-AF7A-02BC49294BED}" destId="{364DD1D5-65B5-427D-8048-69F9B123D620}" srcOrd="4" destOrd="0" presId="urn:microsoft.com/office/officeart/2005/8/layout/lProcess3"/>
    <dgm:cxn modelId="{0227F734-30B6-4632-BBBD-1AC104D8FF95}" type="presParOf" srcId="{74599312-6AB4-4211-AF7A-02BC49294BED}" destId="{0389FC13-632C-46F0-8605-F8B130B01B47}" srcOrd="5" destOrd="0" presId="urn:microsoft.com/office/officeart/2005/8/layout/lProcess3"/>
    <dgm:cxn modelId="{9073BBF4-C443-4536-A257-F735FE271A5F}" type="presParOf" srcId="{74599312-6AB4-4211-AF7A-02BC49294BED}" destId="{7249E8C8-FABD-4CA5-BBFA-E45908887436}" srcOrd="6" destOrd="0" presId="urn:microsoft.com/office/officeart/2005/8/layout/lProcess3"/>
    <dgm:cxn modelId="{0FFC18E3-BF01-45C5-86D4-6F59C4679AE7}" type="presParOf" srcId="{74599312-6AB4-4211-AF7A-02BC49294BED}" destId="{00F72B38-8AC4-4DF1-AA7B-BB2A489ECE83}" srcOrd="7" destOrd="0" presId="urn:microsoft.com/office/officeart/2005/8/layout/lProcess3"/>
    <dgm:cxn modelId="{86F4ABCE-B7B3-452A-88BF-FE4450850404}" type="presParOf" srcId="{74599312-6AB4-4211-AF7A-02BC49294BED}" destId="{1F7E2D3B-1C75-4E88-87A3-5E98A54B5AC6}" srcOrd="8" destOrd="0" presId="urn:microsoft.com/office/officeart/2005/8/layout/lProcess3"/>
    <dgm:cxn modelId="{D20C2889-0321-40C4-AF06-B1AC77256BBD}" type="presParOf" srcId="{74599312-6AB4-4211-AF7A-02BC49294BED}" destId="{53E9F6E5-248F-45F1-A9AB-C47D75EC7068}" srcOrd="9" destOrd="0" presId="urn:microsoft.com/office/officeart/2005/8/layout/lProcess3"/>
    <dgm:cxn modelId="{87337C10-D6DE-4D55-8878-CDC5F37BA04F}" type="presParOf" srcId="{74599312-6AB4-4211-AF7A-02BC49294BED}" destId="{2BB8A638-90F3-4041-95E0-6576F32D89E3}" srcOrd="10" destOrd="0" presId="urn:microsoft.com/office/officeart/2005/8/layout/lProcess3"/>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dgm:spPr>
      <dgm:t>
        <a:bodyPr/>
        <a:lstStyle/>
        <a:p>
          <a:r>
            <a:rPr lang="cs-CZ" sz="1050" b="1">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dgm:spPr>
      <dgm:t>
        <a:bodyPr/>
        <a:lstStyle/>
        <a:p>
          <a:r>
            <a:rPr lang="cs-CZ" sz="1000" b="1">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dgm:spPr>
      <dgm:t>
        <a:bodyPr/>
        <a:lstStyle/>
        <a:p>
          <a:r>
            <a:rPr lang="cs-CZ" sz="1050" b="1">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dgm:spPr>
      <dgm:t>
        <a:bodyPr/>
        <a:lstStyle/>
        <a:p>
          <a:r>
            <a:rPr lang="cs-CZ" sz="1050" b="1">
              <a:latin typeface="Calibri" panose="020F0502020204030204"/>
              <a:ea typeface="+mn-ea"/>
              <a:cs typeface="+mn-cs"/>
            </a:rPr>
            <a:t>Průměrný plat             za kapitolu 327 MD</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dgm:spPr>
      <dgm:t>
        <a:bodyPr/>
        <a:lstStyle/>
        <a:p>
          <a:r>
            <a:rPr lang="cs-CZ" sz="1000">
              <a:latin typeface="Calibri" panose="020F0502020204030204"/>
              <a:ea typeface="+mn-ea"/>
              <a:cs typeface="+mn-cs"/>
            </a:rPr>
            <a:t>52 199</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dgm:spPr>
      <dgm:t>
        <a:bodyPr/>
        <a:lstStyle/>
        <a:p>
          <a:r>
            <a:rPr lang="cs-CZ" sz="1000">
              <a:latin typeface="Calibri" panose="020F0502020204030204"/>
              <a:ea typeface="+mn-ea"/>
              <a:cs typeface="+mn-cs"/>
            </a:rPr>
            <a:t>54 201</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3DB0DA9-CF9F-48FB-8A4E-B16B996859CC}">
      <dgm:prSet custT="1"/>
      <dgm:spPr>
        <a:xfrm>
          <a:off x="3053833" y="491045"/>
          <a:ext cx="830898" cy="332359"/>
        </a:xfrm>
        <a:prstGeom prst="chevron">
          <a:avLst/>
        </a:prstGeom>
      </dgm:spPr>
      <dgm:t>
        <a:bodyPr/>
        <a:lstStyle/>
        <a:p>
          <a:r>
            <a:rPr lang="cs-CZ" sz="1000">
              <a:latin typeface="Calibri" panose="020F0502020204030204"/>
              <a:ea typeface="+mn-ea"/>
              <a:cs typeface="+mn-cs"/>
            </a:rPr>
            <a:t>52 445</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dgm:spPr>
      <dgm:t>
        <a:bodyPr/>
        <a:lstStyle/>
        <a:p>
          <a:r>
            <a:rPr lang="cs-CZ" sz="1000">
              <a:latin typeface="Calibri" panose="020F0502020204030204"/>
              <a:ea typeface="+mn-ea"/>
              <a:cs typeface="+mn-cs"/>
            </a:rPr>
            <a:t>50 688</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B7ECE7B1-DE09-4B35-B3EF-F552934AFCE8}">
      <dgm:prSet custT="1"/>
      <dgm:spPr>
        <a:xfrm>
          <a:off x="3053833" y="34551"/>
          <a:ext cx="830898" cy="332359"/>
        </a:xfrm>
        <a:prstGeom prst="chevron">
          <a:avLst/>
        </a:prstGeom>
      </dgm:spPr>
      <dgm:t>
        <a:bodyPr/>
        <a:lstStyle/>
        <a:p>
          <a:r>
            <a:rPr lang="cs-CZ" sz="1050" b="1">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dgm:spPr>
      <dgm:t>
        <a:bodyPr/>
        <a:lstStyle/>
        <a:p>
          <a:r>
            <a:rPr lang="cs-CZ" sz="1000" b="1">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dgm:spPr>
      <dgm:t>
        <a:bodyPr/>
        <a:lstStyle/>
        <a:p>
          <a:r>
            <a:rPr lang="cs-CZ" sz="1000" b="1">
              <a:latin typeface="Calibri" panose="020F0502020204030204"/>
              <a:ea typeface="+mn-ea"/>
              <a:cs typeface="+mn-cs"/>
            </a:rPr>
            <a:t>2019</a:t>
          </a:r>
        </a:p>
      </dgm:t>
    </dgm:pt>
    <dgm:pt modelId="{86BFB788-3F63-4576-8E20-CC6A3656E461}" type="sibTrans" cxnId="{7A54F410-46BF-4BC4-8EA6-774AA8D2CE63}">
      <dgm:prSet/>
      <dgm:spPr/>
      <dgm:t>
        <a:bodyPr/>
        <a:lstStyle/>
        <a:p>
          <a:endParaRPr lang="cs-CZ"/>
        </a:p>
      </dgm:t>
    </dgm:pt>
    <dgm:pt modelId="{DA6DDA27-2107-4270-A3BD-1C78B27962E5}" type="parTrans" cxnId="{7A54F410-46BF-4BC4-8EA6-774AA8D2CE63}">
      <dgm:prSet/>
      <dgm:spPr/>
      <dgm:t>
        <a:bodyPr/>
        <a:lstStyle/>
        <a:p>
          <a:endParaRPr lang="cs-CZ"/>
        </a:p>
      </dgm:t>
    </dgm:pt>
    <dgm:pt modelId="{9F6AD232-91D9-428D-A514-5855536CA218}">
      <dgm:prSet phldrT="[Text]" custT="1"/>
      <dgm:spPr>
        <a:xfrm>
          <a:off x="4482979" y="491045"/>
          <a:ext cx="830898" cy="332359"/>
        </a:xfrm>
      </dgm:spPr>
      <dgm:t>
        <a:bodyPr/>
        <a:lstStyle/>
        <a:p>
          <a:r>
            <a:rPr lang="cs-CZ" sz="1000">
              <a:latin typeface="Calibri" panose="020F0502020204030204"/>
              <a:ea typeface="+mn-ea"/>
              <a:cs typeface="+mn-cs"/>
            </a:rPr>
            <a:t>56 782</a:t>
          </a:r>
        </a:p>
      </dgm:t>
    </dgm:pt>
    <dgm:pt modelId="{013114EF-D384-4714-BC76-C270070218DD}" type="parTrans" cxnId="{45B48C2E-A748-49AE-A1F5-E9912740DF86}">
      <dgm:prSet/>
      <dgm:spPr/>
      <dgm:t>
        <a:bodyPr/>
        <a:lstStyle/>
        <a:p>
          <a:endParaRPr lang="cs-CZ"/>
        </a:p>
      </dgm:t>
    </dgm:pt>
    <dgm:pt modelId="{164E4465-D6F2-4D17-929F-6691DD360ED4}" type="sibTrans" cxnId="{45B48C2E-A748-49AE-A1F5-E9912740DF86}">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2" custScaleX="151644"/>
      <dgm:spPr/>
    </dgm:pt>
    <dgm:pt modelId="{16F8A479-D000-4689-AA45-88FB35BD20E7}" type="pres">
      <dgm:prSet presAssocID="{DA6DDA27-2107-4270-A3BD-1C78B27962E5}" presName="parTrans" presStyleCnt="0"/>
      <dgm:spPr/>
    </dgm:pt>
    <dgm:pt modelId="{9CF25B67-FA31-41AE-B4EF-CCD2718072B3}" type="pres">
      <dgm:prSet presAssocID="{B62A07CB-3EFA-46D4-B983-264441964367}" presName="node" presStyleLbl="alignAccFollowNode1" presStyleIdx="0" presStyleCnt="10">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1" presStyleCnt="10">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2" presStyleCnt="10">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3" presStyleCnt="10">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4" presStyleCnt="10">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2" custScaleX="151954"/>
      <dgm:spPr/>
    </dgm:pt>
    <dgm:pt modelId="{61ACC0E5-6DB5-4C48-961E-4E73AFD0F72C}" type="pres">
      <dgm:prSet presAssocID="{987134DD-5B78-4BCA-9259-DE628B8E685E}" presName="parTrans" presStyleCnt="0"/>
      <dgm:spPr/>
    </dgm:pt>
    <dgm:pt modelId="{58F31D09-ADCD-4DC9-8221-D1D9CF855BAD}" type="pres">
      <dgm:prSet presAssocID="{8745A055-D09D-4C9C-BC6F-FA2A4CB4E11F}" presName="node" presStyleLbl="alignAccFollowNode1" presStyleIdx="5" presStyleCnt="10">
        <dgm:presLayoutVars>
          <dgm:bulletEnabled val="1"/>
        </dgm:presLayoutVars>
      </dgm:prSet>
      <dgm:spPr/>
    </dgm:pt>
    <dgm:pt modelId="{F926AF39-E7BE-4E11-9D22-C62449B0D6F5}" type="pres">
      <dgm:prSet presAssocID="{E1A6CB3E-3E8F-47BA-95FF-025EA5275374}" presName="sibTrans" presStyleCnt="0"/>
      <dgm:spPr/>
    </dgm:pt>
    <dgm:pt modelId="{1D04C8CC-6EFD-46D0-BB1C-70E60B93513A}" type="pres">
      <dgm:prSet presAssocID="{F3DB0DA9-CF9F-48FB-8A4E-B16B996859CC}" presName="node" presStyleLbl="alignAccFollowNode1" presStyleIdx="6" presStyleCnt="10">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7" presStyleCnt="10">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8" presStyleCnt="10">
        <dgm:presLayoutVars>
          <dgm:bulletEnabled val="1"/>
        </dgm:presLayoutVars>
      </dgm:prSet>
      <dgm:spPr/>
    </dgm:pt>
    <dgm:pt modelId="{141A120D-6817-47B9-8610-717D1794A74A}" type="pres">
      <dgm:prSet presAssocID="{530A1608-B48A-4847-B17E-FBE47F647A54}" presName="sibTrans" presStyleCnt="0"/>
      <dgm:spPr/>
    </dgm:pt>
    <dgm:pt modelId="{3CEE6A7F-7896-4564-927F-AF7EEC6A4BD8}" type="pres">
      <dgm:prSet presAssocID="{9F6AD232-91D9-428D-A514-5855536CA218}" presName="node" presStyleLbl="alignAccFollowNode1" presStyleIdx="9" presStyleCnt="10">
        <dgm:presLayoutVars>
          <dgm:bulletEnabled val="1"/>
        </dgm:presLayoutVars>
      </dgm:prSet>
      <dgm:spPr>
        <a:prstGeom prst="chevron">
          <a:avLst/>
        </a:prstGeom>
      </dgm:spPr>
    </dgm:pt>
  </dgm:ptLst>
  <dgm:cxnLst>
    <dgm:cxn modelId="{310D0001-5C72-4109-8616-4A75DBE70CB6}" srcId="{E6F261A4-C73A-49D8-96F2-76C8A05FBA61}" destId="{A026A503-5385-48CD-9960-7890BC01BF17}" srcOrd="0" destOrd="0" parTransId="{0CACBDA1-35FC-4014-986E-1E38A531BB1B}" sibTransId="{C1D54371-DD1A-4DF8-B817-3EBA22BA4E2D}"/>
    <dgm:cxn modelId="{7A54F410-46BF-4BC4-8EA6-774AA8D2CE63}" srcId="{A026A503-5385-48CD-9960-7890BC01BF17}" destId="{B62A07CB-3EFA-46D4-B983-264441964367}" srcOrd="0" destOrd="0" parTransId="{DA6DDA27-2107-4270-A3BD-1C78B27962E5}" sibTransId="{86BFB788-3F63-4576-8E20-CC6A3656E461}"/>
    <dgm:cxn modelId="{50C4D418-E3EE-43BA-8DBE-EA09E0166175}" srcId="{60CC8BA2-67B8-4B5C-8F83-24E2D147DDF5}" destId="{C00F4E8D-2D97-4332-8A25-D515248152D2}" srcOrd="2"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45B48C2E-A748-49AE-A1F5-E9912740DF86}" srcId="{60CC8BA2-67B8-4B5C-8F83-24E2D147DDF5}" destId="{9F6AD232-91D9-428D-A514-5855536CA218}" srcOrd="4" destOrd="0" parTransId="{013114EF-D384-4714-BC76-C270070218DD}" sibTransId="{164E4465-D6F2-4D17-929F-6691DD360ED4}"/>
    <dgm:cxn modelId="{81368935-D9C8-4FD2-94D9-578AF782F3C7}" srcId="{A026A503-5385-48CD-9960-7890BC01BF17}" destId="{B7ECE7B1-DE09-4B35-B3EF-F552934AFCE8}" srcOrd="2" destOrd="0" parTransId="{A9C9CEC0-A762-4343-9FD1-C949E5188B85}" sibTransId="{10B5F909-84D1-4EDB-9013-6CD0F76DFEA1}"/>
    <dgm:cxn modelId="{A8944B36-099E-467F-98E4-83062C67CC15}" type="presOf" srcId="{9F6AD232-91D9-428D-A514-5855536CA218}" destId="{3CEE6A7F-7896-4564-927F-AF7EEC6A4BD8}" srcOrd="0" destOrd="0" presId="urn:microsoft.com/office/officeart/2005/8/layout/lProcess3"/>
    <dgm:cxn modelId="{F8BA8E3A-2853-464E-89AE-903440A0A8AA}" srcId="{A026A503-5385-48CD-9960-7890BC01BF17}" destId="{66B9B487-B0DE-49D5-B890-8F4F7B485182}" srcOrd="4"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0" destOrd="0" parTransId="{987134DD-5B78-4BCA-9259-DE628B8E685E}" sibTransId="{E1A6CB3E-3E8F-47BA-95FF-025EA5275374}"/>
    <dgm:cxn modelId="{9AAF8E5A-DC3B-4AFE-BF2B-0CA982D4A873}" srcId="{A026A503-5385-48CD-9960-7890BC01BF17}" destId="{81B96AF2-AF7C-4C6D-BF8F-26DA405E6181}" srcOrd="3"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3" destOrd="0" parTransId="{209BC680-4E03-4850-8AA8-C4A94E922D15}" sibTransId="{530A1608-B48A-4847-B17E-FBE47F647A54}"/>
    <dgm:cxn modelId="{12DF8CA0-2202-48D3-BFED-52239A8BF490}" srcId="{60CC8BA2-67B8-4B5C-8F83-24E2D147DDF5}" destId="{F3DB0DA9-CF9F-48FB-8A4E-B16B996859CC}" srcOrd="1"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1"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9F384BFF-2582-42FB-AA89-C1DF4BFA2F8A}" type="presOf" srcId="{F3DB0DA9-CF9F-48FB-8A4E-B16B996859CC}" destId="{1D04C8CC-6EFD-46D0-BB1C-70E60B93513A}" srcOrd="0" destOrd="0" presId="urn:microsoft.com/office/officeart/2005/8/layout/lProcess3"/>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B389D454-ED53-415C-8C92-78346729BA71}" type="presParOf" srcId="{7AFA005C-24EB-425D-AA59-994D2BCA7851}" destId="{16F8A479-D000-4689-AA45-88FB35BD20E7}" srcOrd="1" destOrd="0" presId="urn:microsoft.com/office/officeart/2005/8/layout/lProcess3"/>
    <dgm:cxn modelId="{E2308CAE-70E6-43D3-8275-F70F4D1B821B}" type="presParOf" srcId="{7AFA005C-24EB-425D-AA59-994D2BCA7851}" destId="{9CF25B67-FA31-41AE-B4EF-CCD2718072B3}" srcOrd="2" destOrd="0" presId="urn:microsoft.com/office/officeart/2005/8/layout/lProcess3"/>
    <dgm:cxn modelId="{5C1B932C-235D-4F1A-9AE4-FBE0C0741DCC}" type="presParOf" srcId="{7AFA005C-24EB-425D-AA59-994D2BCA7851}" destId="{CF2A569A-A5DD-47B4-A8A4-2F55658E3B6D}" srcOrd="3" destOrd="0" presId="urn:microsoft.com/office/officeart/2005/8/layout/lProcess3"/>
    <dgm:cxn modelId="{5299EB9E-9611-4C80-9C7F-367781513D99}" type="presParOf" srcId="{7AFA005C-24EB-425D-AA59-994D2BCA7851}" destId="{ED3FB9E6-0BAA-4702-B8CA-920A66AFC02F}" srcOrd="4" destOrd="0" presId="urn:microsoft.com/office/officeart/2005/8/layout/lProcess3"/>
    <dgm:cxn modelId="{0EF39BA9-C529-41BC-BE86-013E7B281E2A}" type="presParOf" srcId="{7AFA005C-24EB-425D-AA59-994D2BCA7851}" destId="{3121E4B7-F3A0-42BA-AD82-8FDFE22D4AC6}" srcOrd="5" destOrd="0" presId="urn:microsoft.com/office/officeart/2005/8/layout/lProcess3"/>
    <dgm:cxn modelId="{817DB98E-76EC-43EC-A793-E225BB82EC22}" type="presParOf" srcId="{7AFA005C-24EB-425D-AA59-994D2BCA7851}" destId="{9783D7DD-9297-4972-8B5A-E2BE8A6720CA}" srcOrd="6" destOrd="0" presId="urn:microsoft.com/office/officeart/2005/8/layout/lProcess3"/>
    <dgm:cxn modelId="{75D27544-63C6-4DC2-A041-AA8A2E6ECBCE}" type="presParOf" srcId="{7AFA005C-24EB-425D-AA59-994D2BCA7851}" destId="{595C3FF3-1CE2-4857-857D-24F27C9A7A01}" srcOrd="7" destOrd="0" presId="urn:microsoft.com/office/officeart/2005/8/layout/lProcess3"/>
    <dgm:cxn modelId="{D24CC84D-6544-41E1-BD00-53D4E9FEA428}" type="presParOf" srcId="{7AFA005C-24EB-425D-AA59-994D2BCA7851}" destId="{1A805A11-34B2-4547-9AC3-D38054F91140}" srcOrd="8" destOrd="0" presId="urn:microsoft.com/office/officeart/2005/8/layout/lProcess3"/>
    <dgm:cxn modelId="{E11EDD92-E80E-4A97-B356-E8B1E0B92849}" type="presParOf" srcId="{7AFA005C-24EB-425D-AA59-994D2BCA7851}" destId="{170943A2-07FD-4ED6-B58F-4E78324785DA}" srcOrd="9" destOrd="0" presId="urn:microsoft.com/office/officeart/2005/8/layout/lProcess3"/>
    <dgm:cxn modelId="{6B8782E3-72D3-4D4A-B59B-56F04F4C3BBE}" type="presParOf" srcId="{7AFA005C-24EB-425D-AA59-994D2BCA7851}" destId="{E8FE0132-567C-48E3-8786-55757C8F10C4}" srcOrd="10"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F1D6ECB5-FEF8-4992-A0B9-22F11A924EEC}" type="presParOf" srcId="{46382AFD-95FC-4564-A1AD-95C56098B8F7}" destId="{61ACC0E5-6DB5-4C48-961E-4E73AFD0F72C}" srcOrd="1" destOrd="0" presId="urn:microsoft.com/office/officeart/2005/8/layout/lProcess3"/>
    <dgm:cxn modelId="{057BC54A-0FEE-4424-895F-E36957DC6163}" type="presParOf" srcId="{46382AFD-95FC-4564-A1AD-95C56098B8F7}" destId="{58F31D09-ADCD-4DC9-8221-D1D9CF855BAD}" srcOrd="2" destOrd="0" presId="urn:microsoft.com/office/officeart/2005/8/layout/lProcess3"/>
    <dgm:cxn modelId="{0782C071-60FB-4447-91C9-27630AD1C5CA}" type="presParOf" srcId="{46382AFD-95FC-4564-A1AD-95C56098B8F7}" destId="{F926AF39-E7BE-4E11-9D22-C62449B0D6F5}" srcOrd="3" destOrd="0" presId="urn:microsoft.com/office/officeart/2005/8/layout/lProcess3"/>
    <dgm:cxn modelId="{12E0D335-A7F9-4071-A638-35E7FC2D0473}" type="presParOf" srcId="{46382AFD-95FC-4564-A1AD-95C56098B8F7}" destId="{1D04C8CC-6EFD-46D0-BB1C-70E60B93513A}" srcOrd="4" destOrd="0" presId="urn:microsoft.com/office/officeart/2005/8/layout/lProcess3"/>
    <dgm:cxn modelId="{65D41940-96AE-4BB8-8400-1448CC4346E4}" type="presParOf" srcId="{46382AFD-95FC-4564-A1AD-95C56098B8F7}" destId="{ACF4825D-F322-47DC-8BCE-FA35DB4619D6}" srcOrd="5" destOrd="0" presId="urn:microsoft.com/office/officeart/2005/8/layout/lProcess3"/>
    <dgm:cxn modelId="{FE60B3C6-AADC-4DA9-B0A5-9F1EBF1B9B06}" type="presParOf" srcId="{46382AFD-95FC-4564-A1AD-95C56098B8F7}" destId="{13C9CD02-249A-42BA-89EA-061EDDC086D7}" srcOrd="6" destOrd="0" presId="urn:microsoft.com/office/officeart/2005/8/layout/lProcess3"/>
    <dgm:cxn modelId="{F48B0157-5ACA-40C7-B996-536DB78C2FEA}" type="presParOf" srcId="{46382AFD-95FC-4564-A1AD-95C56098B8F7}" destId="{412FD5E1-6105-4277-8502-29E6E714906A}" srcOrd="7" destOrd="0" presId="urn:microsoft.com/office/officeart/2005/8/layout/lProcess3"/>
    <dgm:cxn modelId="{45DA59A1-0878-4066-8783-79CD9368F04F}" type="presParOf" srcId="{46382AFD-95FC-4564-A1AD-95C56098B8F7}" destId="{10D62D9A-AAE0-458C-9095-B2BB7F451ACB}" srcOrd="8" destOrd="0" presId="urn:microsoft.com/office/officeart/2005/8/layout/lProcess3"/>
    <dgm:cxn modelId="{98C9A3BA-4447-4873-A708-4D9671130C8C}" type="presParOf" srcId="{46382AFD-95FC-4564-A1AD-95C56098B8F7}" destId="{141A120D-6817-47B9-8610-717D1794A74A}" srcOrd="9" destOrd="0" presId="urn:microsoft.com/office/officeart/2005/8/layout/lProcess3"/>
    <dgm:cxn modelId="{2F8A2DF8-1AF6-45B5-B27C-E09561EF653D}" type="presParOf" srcId="{46382AFD-95FC-4564-A1AD-95C56098B8F7}" destId="{3CEE6A7F-7896-4564-927F-AF7EEC6A4BD8}" srcOrd="10" destOrd="0" presId="urn:microsoft.com/office/officeart/2005/8/layout/lProcess3"/>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674DB68-C40A-4650-9236-EB4C2EA1A0A0}"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F3284D9-050B-4EF3-9AFE-CFF32691E21B}">
      <dgm:prSet phldrT="[Text]" custT="1"/>
      <dgm: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gm:spPr>
      <dgm:t>
        <a:bodyPr/>
        <a:lstStyle/>
        <a:p>
          <a:r>
            <a:rPr lang="cs-CZ" sz="1100" baseline="0">
              <a:solidFill>
                <a:sysClr val="windowText" lastClr="000000"/>
              </a:solidFill>
              <a:latin typeface="Calibri" panose="020F0502020204030204"/>
              <a:ea typeface="+mn-ea"/>
              <a:cs typeface="+mn-cs"/>
            </a:rPr>
            <a:t>Celkové schválené výdaje programu hrazené ze státního rozpočtu včetně EU</a:t>
          </a:r>
        </a:p>
        <a:p>
          <a:r>
            <a:rPr lang="cs-CZ" sz="1100" baseline="0">
              <a:solidFill>
                <a:sysClr val="windowText" lastClr="000000"/>
              </a:solidFill>
              <a:latin typeface="Calibri" panose="020F0502020204030204"/>
              <a:ea typeface="+mn-ea"/>
              <a:cs typeface="+mn-cs"/>
            </a:rPr>
            <a:t> činí </a:t>
          </a:r>
          <a:r>
            <a:rPr lang="cs-CZ" sz="1100" b="1" baseline="0">
              <a:solidFill>
                <a:sysClr val="windowText" lastClr="000000"/>
              </a:solidFill>
              <a:latin typeface="Calibri" panose="020F0502020204030204"/>
              <a:ea typeface="+mn-ea"/>
              <a:cs typeface="+mn-cs"/>
            </a:rPr>
            <a:t>1 697 603 tis. Kč</a:t>
          </a:r>
        </a:p>
      </dgm:t>
    </dgm:pt>
    <dgm:pt modelId="{B1C7ED98-A319-4B73-8667-A9BC9F6D8328}" type="parTrans" cxnId="{6A00B773-E43C-4AB5-B9E3-0344D4A05F45}">
      <dgm:prSet/>
      <dgm:spPr/>
      <dgm:t>
        <a:bodyPr/>
        <a:lstStyle/>
        <a:p>
          <a:endParaRPr lang="cs-CZ"/>
        </a:p>
      </dgm:t>
    </dgm:pt>
    <dgm:pt modelId="{69029C21-5BE1-497A-A793-F9A74341301B}" type="sibTrans" cxnId="{6A00B773-E43C-4AB5-B9E3-0344D4A05F45}">
      <dgm:prSet/>
      <dgm:spPr/>
      <dgm:t>
        <a:bodyPr/>
        <a:lstStyle/>
        <a:p>
          <a:endParaRPr lang="cs-CZ"/>
        </a:p>
      </dgm:t>
    </dgm:pt>
    <dgm:pt modelId="{C3F872C0-9A7E-4486-9085-68D028B70349}">
      <dgm:prSet phldrT="[Text]" custT="1"/>
      <dgm: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nSpc>
              <a:spcPct val="100000"/>
            </a:lnSpc>
            <a:spcAft>
              <a:spcPts val="0"/>
            </a:spcAft>
          </a:pPr>
          <a:r>
            <a:rPr lang="cs-CZ" sz="1100" b="1">
              <a:solidFill>
                <a:srgbClr val="5B9BD5">
                  <a:lumMod val="75000"/>
                </a:srgbClr>
              </a:solidFill>
              <a:latin typeface="Calibri" panose="020F0502020204030204"/>
              <a:ea typeface="+mn-ea"/>
              <a:cs typeface="+mn-cs"/>
            </a:rPr>
            <a:t>Celkové skutečně čerpané prostředky státního rozpočtu včetně EU k 31.12.2023 činí               1 088 567 tis. Kč</a:t>
          </a:r>
        </a:p>
      </dgm:t>
    </dgm:pt>
    <dgm:pt modelId="{4E6638AA-ED1E-42BE-9714-F54837DB1B36}" type="parTrans" cxnId="{9DBE886C-31C6-4173-ACDD-D2D998B475DC}">
      <dgm:prSet/>
      <dgm:spPr/>
      <dgm:t>
        <a:bodyPr/>
        <a:lstStyle/>
        <a:p>
          <a:endParaRPr lang="cs-CZ"/>
        </a:p>
      </dgm:t>
    </dgm:pt>
    <dgm:pt modelId="{1BF85506-A730-4145-BBA5-282500B4621F}" type="sibTrans" cxnId="{9DBE886C-31C6-4173-ACDD-D2D998B475DC}">
      <dgm:prSet/>
      <dgm:spPr/>
      <dgm:t>
        <a:bodyPr/>
        <a:lstStyle/>
        <a:p>
          <a:endParaRPr lang="cs-CZ"/>
        </a:p>
      </dgm:t>
    </dgm:pt>
    <dgm:pt modelId="{AEAAC497-982E-4288-B55D-D9CB08E8A1A2}" type="pres">
      <dgm:prSet presAssocID="{D674DB68-C40A-4650-9236-EB4C2EA1A0A0}" presName="Name0" presStyleCnt="0">
        <dgm:presLayoutVars>
          <dgm:chPref val="3"/>
          <dgm:dir/>
          <dgm:animLvl val="lvl"/>
          <dgm:resizeHandles/>
        </dgm:presLayoutVars>
      </dgm:prSet>
      <dgm:spPr/>
    </dgm:pt>
    <dgm:pt modelId="{174483F3-521D-456F-9393-24965CDEC63F}" type="pres">
      <dgm:prSet presAssocID="{8F3284D9-050B-4EF3-9AFE-CFF32691E21B}" presName="horFlow" presStyleCnt="0"/>
      <dgm:spPr/>
    </dgm:pt>
    <dgm:pt modelId="{02DF64E2-7887-4C75-9AFC-DDEF6E290B10}" type="pres">
      <dgm:prSet presAssocID="{8F3284D9-050B-4EF3-9AFE-CFF32691E21B}" presName="bigChev" presStyleLbl="node1" presStyleIdx="0" presStyleCnt="2" custScaleX="717338" custScaleY="143925" custLinFactNeighborX="-6048" custLinFactNeighborY="-294"/>
      <dgm:spPr/>
    </dgm:pt>
    <dgm:pt modelId="{DB7F2370-6DC3-4C33-9F59-A5A46DC3CDEA}" type="pres">
      <dgm:prSet presAssocID="{8F3284D9-050B-4EF3-9AFE-CFF32691E21B}" presName="vSp" presStyleCnt="0"/>
      <dgm:spPr/>
    </dgm:pt>
    <dgm:pt modelId="{AE271E2F-B2D4-456E-9A34-BF47E80978C2}" type="pres">
      <dgm:prSet presAssocID="{C3F872C0-9A7E-4486-9085-68D028B70349}" presName="horFlow" presStyleCnt="0"/>
      <dgm:spPr/>
    </dgm:pt>
    <dgm:pt modelId="{49971915-8BC1-462C-8559-1A86CA9363E7}" type="pres">
      <dgm:prSet presAssocID="{C3F872C0-9A7E-4486-9085-68D028B70349}" presName="bigChev" presStyleLbl="node1" presStyleIdx="1" presStyleCnt="2" custScaleX="717338" custScaleY="153947"/>
      <dgm:spPr/>
    </dgm:pt>
  </dgm:ptLst>
  <dgm:cxnLst>
    <dgm:cxn modelId="{56ADB41B-D9DC-4FF6-9255-222CDC91D36D}" type="presOf" srcId="{D674DB68-C40A-4650-9236-EB4C2EA1A0A0}" destId="{AEAAC497-982E-4288-B55D-D9CB08E8A1A2}" srcOrd="0" destOrd="0" presId="urn:microsoft.com/office/officeart/2005/8/layout/lProcess3"/>
    <dgm:cxn modelId="{9DBE886C-31C6-4173-ACDD-D2D998B475DC}" srcId="{D674DB68-C40A-4650-9236-EB4C2EA1A0A0}" destId="{C3F872C0-9A7E-4486-9085-68D028B70349}" srcOrd="1" destOrd="0" parTransId="{4E6638AA-ED1E-42BE-9714-F54837DB1B36}" sibTransId="{1BF85506-A730-4145-BBA5-282500B4621F}"/>
    <dgm:cxn modelId="{6A00B773-E43C-4AB5-B9E3-0344D4A05F45}" srcId="{D674DB68-C40A-4650-9236-EB4C2EA1A0A0}" destId="{8F3284D9-050B-4EF3-9AFE-CFF32691E21B}" srcOrd="0" destOrd="0" parTransId="{B1C7ED98-A319-4B73-8667-A9BC9F6D8328}" sibTransId="{69029C21-5BE1-497A-A793-F9A74341301B}"/>
    <dgm:cxn modelId="{70DBBC57-29AB-4A5E-B6CE-B0151CA96CFF}" type="presOf" srcId="{8F3284D9-050B-4EF3-9AFE-CFF32691E21B}" destId="{02DF64E2-7887-4C75-9AFC-DDEF6E290B10}" srcOrd="0" destOrd="0" presId="urn:microsoft.com/office/officeart/2005/8/layout/lProcess3"/>
    <dgm:cxn modelId="{86028AD3-C279-47DD-BDB7-76D5CAA00895}" type="presOf" srcId="{C3F872C0-9A7E-4486-9085-68D028B70349}" destId="{49971915-8BC1-462C-8559-1A86CA9363E7}" srcOrd="0" destOrd="0" presId="urn:microsoft.com/office/officeart/2005/8/layout/lProcess3"/>
    <dgm:cxn modelId="{31451605-9197-4165-BB36-55E96C769D24}" type="presParOf" srcId="{AEAAC497-982E-4288-B55D-D9CB08E8A1A2}" destId="{174483F3-521D-456F-9393-24965CDEC63F}" srcOrd="0" destOrd="0" presId="urn:microsoft.com/office/officeart/2005/8/layout/lProcess3"/>
    <dgm:cxn modelId="{3944A1AB-7654-44D8-A9C3-027E9C7CC4D7}" type="presParOf" srcId="{174483F3-521D-456F-9393-24965CDEC63F}" destId="{02DF64E2-7887-4C75-9AFC-DDEF6E290B10}" srcOrd="0" destOrd="0" presId="urn:microsoft.com/office/officeart/2005/8/layout/lProcess3"/>
    <dgm:cxn modelId="{EF8BF69C-3EC8-4F35-881C-B6BD023057FB}" type="presParOf" srcId="{AEAAC497-982E-4288-B55D-D9CB08E8A1A2}" destId="{DB7F2370-6DC3-4C33-9F59-A5A46DC3CDEA}" srcOrd="1" destOrd="0" presId="urn:microsoft.com/office/officeart/2005/8/layout/lProcess3"/>
    <dgm:cxn modelId="{A8E20D06-CB83-4FDB-884D-B99CE1F11C3C}" type="presParOf" srcId="{AEAAC497-982E-4288-B55D-D9CB08E8A1A2}" destId="{AE271E2F-B2D4-456E-9A34-BF47E80978C2}" srcOrd="2" destOrd="0" presId="urn:microsoft.com/office/officeart/2005/8/layout/lProcess3"/>
    <dgm:cxn modelId="{E19B8E62-02AD-41F5-9A0D-AAF857015A96}" type="presParOf" srcId="{AE271E2F-B2D4-456E-9A34-BF47E80978C2}" destId="{49971915-8BC1-462C-8559-1A86CA9363E7}" srcOrd="0" destOrd="0" presId="urn:microsoft.com/office/officeart/2005/8/layout/lProcess3"/>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000">
              <a:solidFill>
                <a:sysClr val="windowText" lastClr="000000"/>
              </a:solidFill>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50">
              <a:solidFill>
                <a:sysClr val="windowText" lastClr="000000">
                  <a:hueOff val="0"/>
                  <a:satOff val="0"/>
                  <a:lumOff val="0"/>
                  <a:alphaOff val="0"/>
                </a:sysClr>
              </a:solidFill>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000">
              <a:solidFill>
                <a:sysClr val="windowText" lastClr="000000"/>
              </a:solidFill>
              <a:latin typeface="Calibri" panose="020F0502020204030204"/>
              <a:ea typeface="+mn-ea"/>
              <a:cs typeface="+mn-cs"/>
            </a:rPr>
            <a:t>Skutečnost SR v tis. Kč</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177 038</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159 457</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B587A40-1508-4D97-8343-8C28E6FBB468}">
      <dgm:prSet phldrT="[Text]" custT="1"/>
      <dgm:spPr>
        <a:xfrm>
          <a:off x="39171" y="913502"/>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000">
              <a:solidFill>
                <a:sysClr val="windowText" lastClr="000000"/>
              </a:solidFill>
              <a:latin typeface="Calibri" panose="020F0502020204030204"/>
              <a:ea typeface="+mn-ea"/>
              <a:cs typeface="+mn-cs"/>
            </a:rPr>
            <a:t>Skutečnost EU v tis.Kč</a:t>
          </a:r>
        </a:p>
      </dgm:t>
    </dgm:pt>
    <dgm:pt modelId="{5A4B4849-C2A4-45C8-8168-A75B29D32ADB}" type="parTrans" cxnId="{4416F82F-40A8-4740-AE37-435C6B87493B}">
      <dgm:prSet/>
      <dgm:spPr/>
      <dgm:t>
        <a:bodyPr/>
        <a:lstStyle/>
        <a:p>
          <a:endParaRPr lang="cs-CZ"/>
        </a:p>
      </dgm:t>
    </dgm:pt>
    <dgm:pt modelId="{D50D9CFF-A1EA-4080-A317-AF76E6FFF851}" type="sibTrans" cxnId="{4416F82F-40A8-4740-AE37-435C6B87493B}">
      <dgm:prSet/>
      <dgm:spPr/>
      <dgm:t>
        <a:bodyPr/>
        <a:lstStyle/>
        <a:p>
          <a:endParaRPr lang="cs-CZ"/>
        </a:p>
      </dgm:t>
    </dgm:pt>
    <dgm:pt modelId="{F23C8976-2127-4278-997D-2CDED8DEB7F2}">
      <dgm:prSet phldrT="[Text]" custT="1"/>
      <dgm:spPr>
        <a:xfrm>
          <a:off x="3768406"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C60EC84A-D43D-46D2-8A83-88B32AFBC884}" type="parTrans" cxnId="{67ACB215-C547-49CC-87ED-8EE43AA7DA4F}">
      <dgm:prSet/>
      <dgm:spPr/>
      <dgm:t>
        <a:bodyPr/>
        <a:lstStyle/>
        <a:p>
          <a:endParaRPr lang="cs-CZ"/>
        </a:p>
      </dgm:t>
    </dgm:pt>
    <dgm:pt modelId="{7A52D734-6024-4494-86F2-45892853953A}" type="sibTrans" cxnId="{67ACB215-C547-49CC-87ED-8EE43AA7DA4F}">
      <dgm:prSet/>
      <dgm:spPr/>
      <dgm:t>
        <a:bodyPr/>
        <a:lstStyle/>
        <a:p>
          <a:endParaRPr lang="cs-CZ"/>
        </a:p>
      </dgm:t>
    </dgm:pt>
    <dgm:pt modelId="{A27EEBCB-6984-4C15-B6F0-27B735F2B4E0}">
      <dgm:prSet phldrT="[Text]" custT="1"/>
      <dgm:spPr>
        <a:xfrm>
          <a:off x="4482979"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564</a:t>
          </a:r>
        </a:p>
      </dgm:t>
    </dgm:pt>
    <dgm:pt modelId="{E2E6D716-159D-40AE-A33B-539431203709}" type="parTrans" cxnId="{6583D4FF-13F4-4B7E-BB4B-A9938DD6AED1}">
      <dgm:prSet/>
      <dgm:spPr/>
      <dgm:t>
        <a:bodyPr/>
        <a:lstStyle/>
        <a:p>
          <a:endParaRPr lang="cs-CZ"/>
        </a:p>
      </dgm:t>
    </dgm:pt>
    <dgm:pt modelId="{282F0C65-4156-4839-9CD8-F5A3B3C83326}" type="sibTrans" cxnId="{6583D4FF-13F4-4B7E-BB4B-A9938DD6AED1}">
      <dgm:prSet/>
      <dgm:spPr/>
      <dgm:t>
        <a:bodyPr/>
        <a:lstStyle/>
        <a:p>
          <a:endParaRPr lang="cs-CZ"/>
        </a:p>
      </dgm:t>
    </dgm:pt>
    <dgm:pt modelId="{F3DB0DA9-CF9F-48FB-8A4E-B16B996859CC}">
      <dgm:prSet custT="1"/>
      <dgm:spPr>
        <a:xfrm>
          <a:off x="305383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193 340</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109 816</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6CAE84A3-5291-4F09-9834-F24060A9F0B1}">
      <dgm:prSet custT="1"/>
      <dgm:spPr>
        <a:xfrm>
          <a:off x="91011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224 611</a:t>
          </a:r>
        </a:p>
      </dgm:t>
    </dgm:pt>
    <dgm:pt modelId="{B95147BD-D846-4A8C-92DB-73A084F65B44}" type="parTrans" cxnId="{8640D906-6D90-46F5-A549-4F071EDC525B}">
      <dgm:prSet/>
      <dgm:spPr/>
      <dgm:t>
        <a:bodyPr/>
        <a:lstStyle/>
        <a:p>
          <a:endParaRPr lang="cs-CZ"/>
        </a:p>
      </dgm:t>
    </dgm:pt>
    <dgm:pt modelId="{45948C87-89E7-4E8B-9743-54102AC6245B}" type="sibTrans" cxnId="{8640D906-6D90-46F5-A549-4F071EDC525B}">
      <dgm:prSet/>
      <dgm:spPr/>
      <dgm:t>
        <a:bodyPr/>
        <a:lstStyle/>
        <a:p>
          <a:endParaRPr lang="cs-CZ"/>
        </a:p>
      </dgm:t>
    </dgm:pt>
    <dgm:pt modelId="{3D26C7C6-8483-443E-A4D0-39EB2E9F1734}">
      <dgm:prSet custT="1"/>
      <dgm:spPr>
        <a:xfrm>
          <a:off x="2339260"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223 509</a:t>
          </a:r>
        </a:p>
      </dgm:t>
    </dgm:pt>
    <dgm:pt modelId="{784EF831-4F13-4FD2-9A95-E0A2C4428672}" type="parTrans" cxnId="{64112C09-0440-4778-81F4-727FA9F9691C}">
      <dgm:prSet/>
      <dgm:spPr/>
      <dgm:t>
        <a:bodyPr/>
        <a:lstStyle/>
        <a:p>
          <a:endParaRPr lang="cs-CZ"/>
        </a:p>
      </dgm:t>
    </dgm:pt>
    <dgm:pt modelId="{01187B68-E2E8-4B94-97F8-2AC1B6A5D762}" type="sibTrans" cxnId="{64112C09-0440-4778-81F4-727FA9F9691C}">
      <dgm:prSet/>
      <dgm:spPr/>
      <dgm:t>
        <a:bodyPr/>
        <a:lstStyle/>
        <a:p>
          <a:endParaRPr lang="cs-CZ"/>
        </a:p>
      </dgm:t>
    </dgm:pt>
    <dgm:pt modelId="{C605948A-2FAA-4B2B-A55B-BAE904731737}">
      <dgm:prSet custT="1"/>
      <dgm:spPr>
        <a:xfrm>
          <a:off x="91011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před 2018</a:t>
          </a:r>
        </a:p>
      </dgm:t>
    </dgm:pt>
    <dgm:pt modelId="{4F5A3C1F-B0DE-477C-8A8C-330B6742F4A4}" type="parTrans" cxnId="{DA9B9B68-BE8F-4E0D-971E-10B1DE45F4EF}">
      <dgm:prSet/>
      <dgm:spPr/>
      <dgm:t>
        <a:bodyPr/>
        <a:lstStyle/>
        <a:p>
          <a:endParaRPr lang="cs-CZ"/>
        </a:p>
      </dgm:t>
    </dgm:pt>
    <dgm:pt modelId="{13EB3CF2-FEEB-4BAA-9725-6C1E3263EA03}" type="sibTrans" cxnId="{DA9B9B68-BE8F-4E0D-971E-10B1DE45F4EF}">
      <dgm:prSet/>
      <dgm:spPr/>
      <dgm:t>
        <a:bodyPr/>
        <a:lstStyle/>
        <a:p>
          <a:endParaRPr lang="cs-CZ"/>
        </a:p>
      </dgm:t>
    </dgm:pt>
    <dgm:pt modelId="{B7ECE7B1-DE09-4B35-B3EF-F552934AFCE8}">
      <dgm:prSet custT="1"/>
      <dgm:spPr>
        <a:xfrm>
          <a:off x="305383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50">
              <a:solidFill>
                <a:sysClr val="windowText" lastClr="000000">
                  <a:hueOff val="0"/>
                  <a:satOff val="0"/>
                  <a:lumOff val="0"/>
                  <a:alphaOff val="0"/>
                </a:sysClr>
              </a:solidFill>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2019</a:t>
          </a:r>
        </a:p>
      </dgm:t>
    </dgm:pt>
    <dgm:pt modelId="{DA6DDA27-2107-4270-A3BD-1C78B27962E5}" type="parTrans" cxnId="{7A54F410-46BF-4BC4-8EA6-774AA8D2CE63}">
      <dgm:prSet/>
      <dgm:spPr/>
      <dgm:t>
        <a:bodyPr/>
        <a:lstStyle/>
        <a:p>
          <a:endParaRPr lang="cs-CZ"/>
        </a:p>
      </dgm:t>
    </dgm:pt>
    <dgm:pt modelId="{86BFB788-3F63-4576-8E20-CC6A3656E461}" type="sibTrans" cxnId="{7A54F410-46BF-4BC4-8EA6-774AA8D2CE63}">
      <dgm:prSet/>
      <dgm:spPr/>
      <dgm:t>
        <a:bodyPr/>
        <a:lstStyle/>
        <a:p>
          <a:endParaRPr lang="cs-CZ"/>
        </a:p>
      </dgm:t>
    </dgm:pt>
    <dgm:pt modelId="{A60C9FE3-6133-4657-A514-55217A1AA855}">
      <dgm:prSet custT="1"/>
      <dgm:spPr>
        <a:xfrm>
          <a:off x="305383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146</a:t>
          </a:r>
        </a:p>
      </dgm:t>
    </dgm:pt>
    <dgm:pt modelId="{48E7F69E-D617-43E7-B65A-766B6597C104}" type="parTrans" cxnId="{B4C5D7C9-3B70-451E-921F-5A507669669C}">
      <dgm:prSet/>
      <dgm:spPr/>
      <dgm:t>
        <a:bodyPr/>
        <a:lstStyle/>
        <a:p>
          <a:endParaRPr lang="cs-CZ"/>
        </a:p>
      </dgm:t>
    </dgm:pt>
    <dgm:pt modelId="{E86F0626-7479-4219-874A-CE1165407EEC}" type="sibTrans" cxnId="{B4C5D7C9-3B70-451E-921F-5A507669669C}">
      <dgm:prSet/>
      <dgm:spPr/>
      <dgm:t>
        <a:bodyPr/>
        <a:lstStyle/>
        <a:p>
          <a:endParaRPr lang="cs-CZ"/>
        </a:p>
      </dgm:t>
    </dgm:pt>
    <dgm:pt modelId="{77485BA1-1EFD-426B-BD17-453AAD7439CB}">
      <dgm:prSet custT="1"/>
      <dgm:spPr>
        <a:xfrm>
          <a:off x="2339260"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8</a:t>
          </a:r>
        </a:p>
      </dgm:t>
    </dgm:pt>
    <dgm:pt modelId="{5F05A5CF-31E6-4A74-87AB-A1DB8C53F68F}" type="parTrans" cxnId="{A25D73CF-D3FE-4A59-90D9-D522A8290BF9}">
      <dgm:prSet/>
      <dgm:spPr/>
      <dgm:t>
        <a:bodyPr/>
        <a:lstStyle/>
        <a:p>
          <a:endParaRPr lang="cs-CZ"/>
        </a:p>
      </dgm:t>
    </dgm:pt>
    <dgm:pt modelId="{6EB90918-DFF2-4E86-ABD3-6281C2267DD5}" type="sibTrans" cxnId="{A25D73CF-D3FE-4A59-90D9-D522A8290BF9}">
      <dgm:prSet/>
      <dgm:spPr/>
      <dgm:t>
        <a:bodyPr/>
        <a:lstStyle/>
        <a:p>
          <a:endParaRPr lang="cs-CZ"/>
        </a:p>
      </dgm:t>
    </dgm:pt>
    <dgm:pt modelId="{27FFE990-B0C4-4FE6-A871-AE135DB78369}">
      <dgm:prSet custT="1"/>
      <dgm:spPr>
        <a:xfrm>
          <a:off x="91011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9B4A0989-1E62-46C2-BC62-491B074543C4}" type="sibTrans" cxnId="{ACF7FCFB-5C7E-4ED9-9E67-B9F4B0554989}">
      <dgm:prSet/>
      <dgm:spPr/>
      <dgm:t>
        <a:bodyPr/>
        <a:lstStyle/>
        <a:p>
          <a:endParaRPr lang="cs-CZ"/>
        </a:p>
      </dgm:t>
    </dgm:pt>
    <dgm:pt modelId="{6FF203A5-4BE7-4F36-987F-345CD6206E3E}" type="parTrans" cxnId="{ACF7FCFB-5C7E-4ED9-9E67-B9F4B0554989}">
      <dgm:prSet/>
      <dgm:spPr/>
      <dgm:t>
        <a:bodyPr/>
        <a:lstStyle/>
        <a:p>
          <a:endParaRPr lang="cs-CZ"/>
        </a:p>
      </dgm:t>
    </dgm:pt>
    <dgm:pt modelId="{7D95A44A-ECB8-4607-AF49-B15DF5A2602D}">
      <dgm:prSet custT="1"/>
      <dgm:spPr>
        <a:xfrm>
          <a:off x="1624687"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78</a:t>
          </a:r>
        </a:p>
      </dgm:t>
    </dgm:pt>
    <dgm:pt modelId="{98FD26B5-E98B-4D74-B590-8A1D7F8EA02B}" type="sibTrans" cxnId="{31794D17-765C-417D-B10F-34A1C578BC82}">
      <dgm:prSet/>
      <dgm:spPr/>
      <dgm:t>
        <a:bodyPr/>
        <a:lstStyle/>
        <a:p>
          <a:endParaRPr lang="cs-CZ"/>
        </a:p>
      </dgm:t>
    </dgm:pt>
    <dgm:pt modelId="{1A0087B4-A96A-4FB7-B06E-A5D36C6523EF}" type="parTrans" cxnId="{31794D17-765C-417D-B10F-34A1C578BC82}">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3"/>
      <dgm:spPr/>
    </dgm:pt>
    <dgm:pt modelId="{D708EA36-7A62-4200-AA2D-F87AB641D79B}" type="pres">
      <dgm:prSet presAssocID="{4F5A3C1F-B0DE-477C-8A8C-330B6742F4A4}" presName="parTrans" presStyleCnt="0"/>
      <dgm:spPr/>
    </dgm:pt>
    <dgm:pt modelId="{030F83A3-E98C-4486-A756-7B7DEC40A7DD}" type="pres">
      <dgm:prSet presAssocID="{C605948A-2FAA-4B2B-A55B-BAE904731737}" presName="node" presStyleLbl="alignAccFollowNode1" presStyleIdx="0" presStyleCnt="18">
        <dgm:presLayoutVars>
          <dgm:bulletEnabled val="1"/>
        </dgm:presLayoutVars>
      </dgm:prSet>
      <dgm:spPr/>
    </dgm:pt>
    <dgm:pt modelId="{72EC78BA-7662-4A22-A807-ED0657C37165}" type="pres">
      <dgm:prSet presAssocID="{13EB3CF2-FEEB-4BAA-9725-6C1E3263EA03}" presName="sibTrans" presStyleCnt="0"/>
      <dgm:spPr/>
    </dgm:pt>
    <dgm:pt modelId="{9CF25B67-FA31-41AE-B4EF-CCD2718072B3}" type="pres">
      <dgm:prSet presAssocID="{B62A07CB-3EFA-46D4-B983-264441964367}" presName="node" presStyleLbl="alignAccFollowNode1" presStyleIdx="1" presStyleCnt="18">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2" presStyleCnt="18">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3" presStyleCnt="18">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4" presStyleCnt="18">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5" presStyleCnt="18">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3"/>
      <dgm:spPr/>
    </dgm:pt>
    <dgm:pt modelId="{7F584C56-36FB-49EB-9E33-580FE0F9D74F}" type="pres">
      <dgm:prSet presAssocID="{B95147BD-D846-4A8C-92DB-73A084F65B44}" presName="parTrans" presStyleCnt="0"/>
      <dgm:spPr/>
    </dgm:pt>
    <dgm:pt modelId="{92DB449A-781D-438A-A28D-42D189DED613}" type="pres">
      <dgm:prSet presAssocID="{6CAE84A3-5291-4F09-9834-F24060A9F0B1}" presName="node" presStyleLbl="alignAccFollowNode1" presStyleIdx="6" presStyleCnt="18">
        <dgm:presLayoutVars>
          <dgm:bulletEnabled val="1"/>
        </dgm:presLayoutVars>
      </dgm:prSet>
      <dgm:spPr/>
    </dgm:pt>
    <dgm:pt modelId="{0F7C95B5-E5B1-4E7D-B972-6B77B705C56A}" type="pres">
      <dgm:prSet presAssocID="{45948C87-89E7-4E8B-9743-54102AC6245B}" presName="sibTrans" presStyleCnt="0"/>
      <dgm:spPr/>
    </dgm:pt>
    <dgm:pt modelId="{58F31D09-ADCD-4DC9-8221-D1D9CF855BAD}" type="pres">
      <dgm:prSet presAssocID="{8745A055-D09D-4C9C-BC6F-FA2A4CB4E11F}" presName="node" presStyleLbl="alignAccFollowNode1" presStyleIdx="7" presStyleCnt="18">
        <dgm:presLayoutVars>
          <dgm:bulletEnabled val="1"/>
        </dgm:presLayoutVars>
      </dgm:prSet>
      <dgm:spPr/>
    </dgm:pt>
    <dgm:pt modelId="{F926AF39-E7BE-4E11-9D22-C62449B0D6F5}" type="pres">
      <dgm:prSet presAssocID="{E1A6CB3E-3E8F-47BA-95FF-025EA5275374}" presName="sibTrans" presStyleCnt="0"/>
      <dgm:spPr/>
    </dgm:pt>
    <dgm:pt modelId="{A0DBC11E-E766-4152-BC15-BC0009251B6A}" type="pres">
      <dgm:prSet presAssocID="{3D26C7C6-8483-443E-A4D0-39EB2E9F1734}" presName="node" presStyleLbl="alignAccFollowNode1" presStyleIdx="8" presStyleCnt="18">
        <dgm:presLayoutVars>
          <dgm:bulletEnabled val="1"/>
        </dgm:presLayoutVars>
      </dgm:prSet>
      <dgm:spPr/>
    </dgm:pt>
    <dgm:pt modelId="{D053A473-5939-4ED2-A2EB-08F6EA663B63}" type="pres">
      <dgm:prSet presAssocID="{01187B68-E2E8-4B94-97F8-2AC1B6A5D762}" presName="sibTrans" presStyleCnt="0"/>
      <dgm:spPr/>
    </dgm:pt>
    <dgm:pt modelId="{1D04C8CC-6EFD-46D0-BB1C-70E60B93513A}" type="pres">
      <dgm:prSet presAssocID="{F3DB0DA9-CF9F-48FB-8A4E-B16B996859CC}" presName="node" presStyleLbl="alignAccFollowNode1" presStyleIdx="9" presStyleCnt="18">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10" presStyleCnt="18">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11" presStyleCnt="18">
        <dgm:presLayoutVars>
          <dgm:bulletEnabled val="1"/>
        </dgm:presLayoutVars>
      </dgm:prSet>
      <dgm:spPr/>
    </dgm:pt>
    <dgm:pt modelId="{BD4AB627-12C3-4C14-A36D-18F53B40C0C2}" type="pres">
      <dgm:prSet presAssocID="{60CC8BA2-67B8-4B5C-8F83-24E2D147DDF5}" presName="vSp" presStyleCnt="0"/>
      <dgm:spPr/>
    </dgm:pt>
    <dgm:pt modelId="{74599312-6AB4-4211-AF7A-02BC49294BED}" type="pres">
      <dgm:prSet presAssocID="{FB587A40-1508-4D97-8343-8C28E6FBB468}" presName="horFlow" presStyleCnt="0"/>
      <dgm:spPr/>
    </dgm:pt>
    <dgm:pt modelId="{F97D4733-33FE-440A-9F4A-E88411DCDC07}" type="pres">
      <dgm:prSet presAssocID="{FB587A40-1508-4D97-8343-8C28E6FBB468}" presName="bigChev" presStyleLbl="node1" presStyleIdx="2" presStyleCnt="3"/>
      <dgm:spPr/>
    </dgm:pt>
    <dgm:pt modelId="{D1ACCDF2-9E7F-476A-9D20-0DAF44D09DEF}" type="pres">
      <dgm:prSet presAssocID="{6FF203A5-4BE7-4F36-987F-345CD6206E3E}" presName="parTrans" presStyleCnt="0"/>
      <dgm:spPr/>
    </dgm:pt>
    <dgm:pt modelId="{16516B57-4DCC-425D-9CC5-42A917385C3E}" type="pres">
      <dgm:prSet presAssocID="{27FFE990-B0C4-4FE6-A871-AE135DB78369}" presName="node" presStyleLbl="alignAccFollowNode1" presStyleIdx="12" presStyleCnt="18">
        <dgm:presLayoutVars>
          <dgm:bulletEnabled val="1"/>
        </dgm:presLayoutVars>
      </dgm:prSet>
      <dgm:spPr/>
    </dgm:pt>
    <dgm:pt modelId="{FA023B04-684B-4501-97AF-9EDA18AA5790}" type="pres">
      <dgm:prSet presAssocID="{9B4A0989-1E62-46C2-BC62-491B074543C4}" presName="sibTrans" presStyleCnt="0"/>
      <dgm:spPr/>
    </dgm:pt>
    <dgm:pt modelId="{8F0EEA60-B1DB-420F-91B7-F24A16C0E9F6}" type="pres">
      <dgm:prSet presAssocID="{7D95A44A-ECB8-4607-AF49-B15DF5A2602D}" presName="node" presStyleLbl="alignAccFollowNode1" presStyleIdx="13" presStyleCnt="18">
        <dgm:presLayoutVars>
          <dgm:bulletEnabled val="1"/>
        </dgm:presLayoutVars>
      </dgm:prSet>
      <dgm:spPr/>
    </dgm:pt>
    <dgm:pt modelId="{FA44E0AB-6FD0-49BB-B31B-83A7AF9B57C9}" type="pres">
      <dgm:prSet presAssocID="{98FD26B5-E98B-4D74-B590-8A1D7F8EA02B}" presName="sibTrans" presStyleCnt="0"/>
      <dgm:spPr/>
    </dgm:pt>
    <dgm:pt modelId="{364DD1D5-65B5-427D-8048-69F9B123D620}" type="pres">
      <dgm:prSet presAssocID="{77485BA1-1EFD-426B-BD17-453AAD7439CB}" presName="node" presStyleLbl="alignAccFollowNode1" presStyleIdx="14" presStyleCnt="18">
        <dgm:presLayoutVars>
          <dgm:bulletEnabled val="1"/>
        </dgm:presLayoutVars>
      </dgm:prSet>
      <dgm:spPr/>
    </dgm:pt>
    <dgm:pt modelId="{0389FC13-632C-46F0-8605-F8B130B01B47}" type="pres">
      <dgm:prSet presAssocID="{6EB90918-DFF2-4E86-ABD3-6281C2267DD5}" presName="sibTrans" presStyleCnt="0"/>
      <dgm:spPr/>
    </dgm:pt>
    <dgm:pt modelId="{7249E8C8-FABD-4CA5-BBFA-E45908887436}" type="pres">
      <dgm:prSet presAssocID="{A60C9FE3-6133-4657-A514-55217A1AA855}" presName="node" presStyleLbl="alignAccFollowNode1" presStyleIdx="15" presStyleCnt="18">
        <dgm:presLayoutVars>
          <dgm:bulletEnabled val="1"/>
        </dgm:presLayoutVars>
      </dgm:prSet>
      <dgm:spPr/>
    </dgm:pt>
    <dgm:pt modelId="{00F72B38-8AC4-4DF1-AA7B-BB2A489ECE83}" type="pres">
      <dgm:prSet presAssocID="{E86F0626-7479-4219-874A-CE1165407EEC}" presName="sibTrans" presStyleCnt="0"/>
      <dgm:spPr/>
    </dgm:pt>
    <dgm:pt modelId="{1F7E2D3B-1C75-4E88-87A3-5E98A54B5AC6}" type="pres">
      <dgm:prSet presAssocID="{F23C8976-2127-4278-997D-2CDED8DEB7F2}" presName="node" presStyleLbl="alignAccFollowNode1" presStyleIdx="16" presStyleCnt="18">
        <dgm:presLayoutVars>
          <dgm:bulletEnabled val="1"/>
        </dgm:presLayoutVars>
      </dgm:prSet>
      <dgm:spPr/>
    </dgm:pt>
    <dgm:pt modelId="{53E9F6E5-248F-45F1-A9AB-C47D75EC7068}" type="pres">
      <dgm:prSet presAssocID="{7A52D734-6024-4494-86F2-45892853953A}" presName="sibTrans" presStyleCnt="0"/>
      <dgm:spPr/>
    </dgm:pt>
    <dgm:pt modelId="{2BB8A638-90F3-4041-95E0-6576F32D89E3}" type="pres">
      <dgm:prSet presAssocID="{A27EEBCB-6984-4C15-B6F0-27B735F2B4E0}" presName="node" presStyleLbl="alignAccFollowNode1" presStyleIdx="17" presStyleCnt="18">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8640D906-6D90-46F5-A549-4F071EDC525B}" srcId="{60CC8BA2-67B8-4B5C-8F83-24E2D147DDF5}" destId="{6CAE84A3-5291-4F09-9834-F24060A9F0B1}" srcOrd="0" destOrd="0" parTransId="{B95147BD-D846-4A8C-92DB-73A084F65B44}" sibTransId="{45948C87-89E7-4E8B-9743-54102AC6245B}"/>
    <dgm:cxn modelId="{64112C09-0440-4778-81F4-727FA9F9691C}" srcId="{60CC8BA2-67B8-4B5C-8F83-24E2D147DDF5}" destId="{3D26C7C6-8483-443E-A4D0-39EB2E9F1734}" srcOrd="2" destOrd="0" parTransId="{784EF831-4F13-4FD2-9A95-E0A2C4428672}" sibTransId="{01187B68-E2E8-4B94-97F8-2AC1B6A5D762}"/>
    <dgm:cxn modelId="{A49A260C-AA3B-425C-A528-9DA30D7BC691}" type="presOf" srcId="{3D26C7C6-8483-443E-A4D0-39EB2E9F1734}" destId="{A0DBC11E-E766-4152-BC15-BC0009251B6A}" srcOrd="0" destOrd="0" presId="urn:microsoft.com/office/officeart/2005/8/layout/lProcess3"/>
    <dgm:cxn modelId="{7A54F410-46BF-4BC4-8EA6-774AA8D2CE63}" srcId="{A026A503-5385-48CD-9960-7890BC01BF17}" destId="{B62A07CB-3EFA-46D4-B983-264441964367}" srcOrd="1" destOrd="0" parTransId="{DA6DDA27-2107-4270-A3BD-1C78B27962E5}" sibTransId="{86BFB788-3F63-4576-8E20-CC6A3656E461}"/>
    <dgm:cxn modelId="{67ACB215-C547-49CC-87ED-8EE43AA7DA4F}" srcId="{FB587A40-1508-4D97-8343-8C28E6FBB468}" destId="{F23C8976-2127-4278-997D-2CDED8DEB7F2}" srcOrd="4" destOrd="0" parTransId="{C60EC84A-D43D-46D2-8A83-88B32AFBC884}" sibTransId="{7A52D734-6024-4494-86F2-45892853953A}"/>
    <dgm:cxn modelId="{78521717-9E71-41A7-B2C1-90D5FAE5A1CB}" type="presOf" srcId="{77485BA1-1EFD-426B-BD17-453AAD7439CB}" destId="{364DD1D5-65B5-427D-8048-69F9B123D620}" srcOrd="0" destOrd="0" presId="urn:microsoft.com/office/officeart/2005/8/layout/lProcess3"/>
    <dgm:cxn modelId="{31794D17-765C-417D-B10F-34A1C578BC82}" srcId="{FB587A40-1508-4D97-8343-8C28E6FBB468}" destId="{7D95A44A-ECB8-4607-AF49-B15DF5A2602D}" srcOrd="1" destOrd="0" parTransId="{1A0087B4-A96A-4FB7-B06E-A5D36C6523EF}" sibTransId="{98FD26B5-E98B-4D74-B590-8A1D7F8EA02B}"/>
    <dgm:cxn modelId="{50C4D418-E3EE-43BA-8DBE-EA09E0166175}" srcId="{60CC8BA2-67B8-4B5C-8F83-24E2D147DDF5}" destId="{C00F4E8D-2D97-4332-8A25-D515248152D2}" srcOrd="4" destOrd="0" parTransId="{8CE3F335-ECDE-4FE1-95C9-782C64482161}" sibTransId="{C3D59508-ADB3-4433-BEA0-51BEB0A8B6D4}"/>
    <dgm:cxn modelId="{9A777627-4B28-4942-99C1-64653CDB170F}" type="presOf" srcId="{27FFE990-B0C4-4FE6-A871-AE135DB78369}" destId="{16516B57-4DCC-425D-9CC5-42A917385C3E}" srcOrd="0" destOrd="0" presId="urn:microsoft.com/office/officeart/2005/8/layout/lProcess3"/>
    <dgm:cxn modelId="{47B6CD29-356F-43A1-99A4-931E915C2950}" type="presOf" srcId="{66B9B487-B0DE-49D5-B890-8F4F7B485182}" destId="{E8FE0132-567C-48E3-8786-55757C8F10C4}" srcOrd="0" destOrd="0" presId="urn:microsoft.com/office/officeart/2005/8/layout/lProcess3"/>
    <dgm:cxn modelId="{4416F82F-40A8-4740-AE37-435C6B87493B}" srcId="{E6F261A4-C73A-49D8-96F2-76C8A05FBA61}" destId="{FB587A40-1508-4D97-8343-8C28E6FBB468}" srcOrd="2" destOrd="0" parTransId="{5A4B4849-C2A4-45C8-8168-A75B29D32ADB}" sibTransId="{D50D9CFF-A1EA-4080-A317-AF76E6FFF851}"/>
    <dgm:cxn modelId="{81368935-D9C8-4FD2-94D9-578AF782F3C7}" srcId="{A026A503-5385-48CD-9960-7890BC01BF17}" destId="{B7ECE7B1-DE09-4B35-B3EF-F552934AFCE8}" srcOrd="3" destOrd="0" parTransId="{A9C9CEC0-A762-4343-9FD1-C949E5188B85}" sibTransId="{10B5F909-84D1-4EDB-9013-6CD0F76DFEA1}"/>
    <dgm:cxn modelId="{F8BA8E3A-2853-464E-89AE-903440A0A8AA}" srcId="{A026A503-5385-48CD-9960-7890BC01BF17}" destId="{66B9B487-B0DE-49D5-B890-8F4F7B485182}" srcOrd="5"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1" destOrd="0" parTransId="{987134DD-5B78-4BCA-9259-DE628B8E685E}" sibTransId="{E1A6CB3E-3E8F-47BA-95FF-025EA5275374}"/>
    <dgm:cxn modelId="{DA9B9B68-BE8F-4E0D-971E-10B1DE45F4EF}" srcId="{A026A503-5385-48CD-9960-7890BC01BF17}" destId="{C605948A-2FAA-4B2B-A55B-BAE904731737}" srcOrd="0" destOrd="0" parTransId="{4F5A3C1F-B0DE-477C-8A8C-330B6742F4A4}" sibTransId="{13EB3CF2-FEEB-4BAA-9725-6C1E3263EA03}"/>
    <dgm:cxn modelId="{E643F668-812E-447F-8ABE-B32AE9D3D453}" type="presOf" srcId="{6CAE84A3-5291-4F09-9834-F24060A9F0B1}" destId="{92DB449A-781D-438A-A28D-42D189DED613}" srcOrd="0" destOrd="0" presId="urn:microsoft.com/office/officeart/2005/8/layout/lProcess3"/>
    <dgm:cxn modelId="{6B393870-ED54-405E-974D-A62CC7C580CD}" type="presOf" srcId="{A60C9FE3-6133-4657-A514-55217A1AA855}" destId="{7249E8C8-FABD-4CA5-BBFA-E45908887436}" srcOrd="0" destOrd="0" presId="urn:microsoft.com/office/officeart/2005/8/layout/lProcess3"/>
    <dgm:cxn modelId="{2D587D55-1155-4743-A2E6-D8BB3EE53FFA}" type="presOf" srcId="{7D95A44A-ECB8-4607-AF49-B15DF5A2602D}" destId="{8F0EEA60-B1DB-420F-91B7-F24A16C0E9F6}" srcOrd="0" destOrd="0" presId="urn:microsoft.com/office/officeart/2005/8/layout/lProcess3"/>
    <dgm:cxn modelId="{9AAF8E5A-DC3B-4AFE-BF2B-0CA982D4A873}" srcId="{A026A503-5385-48CD-9960-7890BC01BF17}" destId="{81B96AF2-AF7C-4C6D-BF8F-26DA405E6181}" srcOrd="4"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5" destOrd="0" parTransId="{209BC680-4E03-4850-8AA8-C4A94E922D15}" sibTransId="{530A1608-B48A-4847-B17E-FBE47F647A54}"/>
    <dgm:cxn modelId="{12DF8CA0-2202-48D3-BFED-52239A8BF490}" srcId="{60CC8BA2-67B8-4B5C-8F83-24E2D147DDF5}" destId="{F3DB0DA9-CF9F-48FB-8A4E-B16B996859CC}" srcOrd="3"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B4C5D7C9-3B70-451E-921F-5A507669669C}" srcId="{FB587A40-1508-4D97-8343-8C28E6FBB468}" destId="{A60C9FE3-6133-4657-A514-55217A1AA855}" srcOrd="3" destOrd="0" parTransId="{48E7F69E-D617-43E7-B65A-766B6597C104}" sibTransId="{E86F0626-7479-4219-874A-CE1165407EEC}"/>
    <dgm:cxn modelId="{48EC4FCA-D306-41BD-B626-13E5643BC8EE}" type="presOf" srcId="{C605948A-2FAA-4B2B-A55B-BAE904731737}" destId="{030F83A3-E98C-4486-A756-7B7DEC40A7DD}"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A25D73CF-D3FE-4A59-90D9-D522A8290BF9}" srcId="{FB587A40-1508-4D97-8343-8C28E6FBB468}" destId="{77485BA1-1EFD-426B-BD17-453AAD7439CB}" srcOrd="2" destOrd="0" parTransId="{5F05A5CF-31E6-4A74-87AB-A1DB8C53F68F}" sibTransId="{6EB90918-DFF2-4E86-ABD3-6281C2267DD5}"/>
    <dgm:cxn modelId="{C40972D2-A95A-4B4B-BBE9-36A113D44C99}" type="presOf" srcId="{FB587A40-1508-4D97-8343-8C28E6FBB468}" destId="{F97D4733-33FE-440A-9F4A-E88411DCDC07}" srcOrd="0" destOrd="0" presId="urn:microsoft.com/office/officeart/2005/8/layout/lProcess3"/>
    <dgm:cxn modelId="{0DC9CAD7-C976-4E61-934E-63A3AC917476}" type="presOf" srcId="{F23C8976-2127-4278-997D-2CDED8DEB7F2}" destId="{1F7E2D3B-1C75-4E88-87A3-5E98A54B5AC6}" srcOrd="0" destOrd="0" presId="urn:microsoft.com/office/officeart/2005/8/layout/lProcess3"/>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2"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8AE17EF8-C7A0-4637-AF61-6768CACB5AFB}" type="presOf" srcId="{A27EEBCB-6984-4C15-B6F0-27B735F2B4E0}" destId="{2BB8A638-90F3-4041-95E0-6576F32D89E3}" srcOrd="0" destOrd="0" presId="urn:microsoft.com/office/officeart/2005/8/layout/lProcess3"/>
    <dgm:cxn modelId="{ACF7FCFB-5C7E-4ED9-9E67-B9F4B0554989}" srcId="{FB587A40-1508-4D97-8343-8C28E6FBB468}" destId="{27FFE990-B0C4-4FE6-A871-AE135DB78369}" srcOrd="0" destOrd="0" parTransId="{6FF203A5-4BE7-4F36-987F-345CD6206E3E}" sibTransId="{9B4A0989-1E62-46C2-BC62-491B074543C4}"/>
    <dgm:cxn modelId="{9F384BFF-2582-42FB-AA89-C1DF4BFA2F8A}" type="presOf" srcId="{F3DB0DA9-CF9F-48FB-8A4E-B16B996859CC}" destId="{1D04C8CC-6EFD-46D0-BB1C-70E60B93513A}" srcOrd="0" destOrd="0" presId="urn:microsoft.com/office/officeart/2005/8/layout/lProcess3"/>
    <dgm:cxn modelId="{6583D4FF-13F4-4B7E-BB4B-A9938DD6AED1}" srcId="{FB587A40-1508-4D97-8343-8C28E6FBB468}" destId="{A27EEBCB-6984-4C15-B6F0-27B735F2B4E0}" srcOrd="5" destOrd="0" parTransId="{E2E6D716-159D-40AE-A33B-539431203709}" sibTransId="{282F0C65-4156-4839-9CD8-F5A3B3C83326}"/>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CEBA6DA9-4893-4B48-BA41-699721241277}" type="presParOf" srcId="{7AFA005C-24EB-425D-AA59-994D2BCA7851}" destId="{D708EA36-7A62-4200-AA2D-F87AB641D79B}" srcOrd="1" destOrd="0" presId="urn:microsoft.com/office/officeart/2005/8/layout/lProcess3"/>
    <dgm:cxn modelId="{897E52B9-769B-411C-8153-CAB01EFCF4A8}" type="presParOf" srcId="{7AFA005C-24EB-425D-AA59-994D2BCA7851}" destId="{030F83A3-E98C-4486-A756-7B7DEC40A7DD}" srcOrd="2" destOrd="0" presId="urn:microsoft.com/office/officeart/2005/8/layout/lProcess3"/>
    <dgm:cxn modelId="{0102FA0A-21ED-43C1-8F5D-1F46E440CC9E}" type="presParOf" srcId="{7AFA005C-24EB-425D-AA59-994D2BCA7851}" destId="{72EC78BA-7662-4A22-A807-ED0657C37165}" srcOrd="3" destOrd="0" presId="urn:microsoft.com/office/officeart/2005/8/layout/lProcess3"/>
    <dgm:cxn modelId="{E2308CAE-70E6-43D3-8275-F70F4D1B821B}" type="presParOf" srcId="{7AFA005C-24EB-425D-AA59-994D2BCA7851}" destId="{9CF25B67-FA31-41AE-B4EF-CCD2718072B3}" srcOrd="4" destOrd="0" presId="urn:microsoft.com/office/officeart/2005/8/layout/lProcess3"/>
    <dgm:cxn modelId="{5C1B932C-235D-4F1A-9AE4-FBE0C0741DCC}" type="presParOf" srcId="{7AFA005C-24EB-425D-AA59-994D2BCA7851}" destId="{CF2A569A-A5DD-47B4-A8A4-2F55658E3B6D}" srcOrd="5" destOrd="0" presId="urn:microsoft.com/office/officeart/2005/8/layout/lProcess3"/>
    <dgm:cxn modelId="{5299EB9E-9611-4C80-9C7F-367781513D99}" type="presParOf" srcId="{7AFA005C-24EB-425D-AA59-994D2BCA7851}" destId="{ED3FB9E6-0BAA-4702-B8CA-920A66AFC02F}" srcOrd="6" destOrd="0" presId="urn:microsoft.com/office/officeart/2005/8/layout/lProcess3"/>
    <dgm:cxn modelId="{0EF39BA9-C529-41BC-BE86-013E7B281E2A}" type="presParOf" srcId="{7AFA005C-24EB-425D-AA59-994D2BCA7851}" destId="{3121E4B7-F3A0-42BA-AD82-8FDFE22D4AC6}" srcOrd="7" destOrd="0" presId="urn:microsoft.com/office/officeart/2005/8/layout/lProcess3"/>
    <dgm:cxn modelId="{817DB98E-76EC-43EC-A793-E225BB82EC22}" type="presParOf" srcId="{7AFA005C-24EB-425D-AA59-994D2BCA7851}" destId="{9783D7DD-9297-4972-8B5A-E2BE8A6720CA}" srcOrd="8" destOrd="0" presId="urn:microsoft.com/office/officeart/2005/8/layout/lProcess3"/>
    <dgm:cxn modelId="{75D27544-63C6-4DC2-A041-AA8A2E6ECBCE}" type="presParOf" srcId="{7AFA005C-24EB-425D-AA59-994D2BCA7851}" destId="{595C3FF3-1CE2-4857-857D-24F27C9A7A01}" srcOrd="9" destOrd="0" presId="urn:microsoft.com/office/officeart/2005/8/layout/lProcess3"/>
    <dgm:cxn modelId="{D24CC84D-6544-41E1-BD00-53D4E9FEA428}" type="presParOf" srcId="{7AFA005C-24EB-425D-AA59-994D2BCA7851}" destId="{1A805A11-34B2-4547-9AC3-D38054F91140}" srcOrd="10" destOrd="0" presId="urn:microsoft.com/office/officeart/2005/8/layout/lProcess3"/>
    <dgm:cxn modelId="{E11EDD92-E80E-4A97-B356-E8B1E0B92849}" type="presParOf" srcId="{7AFA005C-24EB-425D-AA59-994D2BCA7851}" destId="{170943A2-07FD-4ED6-B58F-4E78324785DA}" srcOrd="11" destOrd="0" presId="urn:microsoft.com/office/officeart/2005/8/layout/lProcess3"/>
    <dgm:cxn modelId="{6B8782E3-72D3-4D4A-B59B-56F04F4C3BBE}" type="presParOf" srcId="{7AFA005C-24EB-425D-AA59-994D2BCA7851}" destId="{E8FE0132-567C-48E3-8786-55757C8F10C4}" srcOrd="12"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78A4DFE0-3E3D-412F-91B7-397372F67513}" type="presParOf" srcId="{46382AFD-95FC-4564-A1AD-95C56098B8F7}" destId="{7F584C56-36FB-49EB-9E33-580FE0F9D74F}" srcOrd="1" destOrd="0" presId="urn:microsoft.com/office/officeart/2005/8/layout/lProcess3"/>
    <dgm:cxn modelId="{E6D22A62-91AC-41A2-A4F3-C95CF47ED007}" type="presParOf" srcId="{46382AFD-95FC-4564-A1AD-95C56098B8F7}" destId="{92DB449A-781D-438A-A28D-42D189DED613}" srcOrd="2" destOrd="0" presId="urn:microsoft.com/office/officeart/2005/8/layout/lProcess3"/>
    <dgm:cxn modelId="{587AE5F1-06B4-4C24-8317-F9F11E51EE01}" type="presParOf" srcId="{46382AFD-95FC-4564-A1AD-95C56098B8F7}" destId="{0F7C95B5-E5B1-4E7D-B972-6B77B705C56A}" srcOrd="3" destOrd="0" presId="urn:microsoft.com/office/officeart/2005/8/layout/lProcess3"/>
    <dgm:cxn modelId="{057BC54A-0FEE-4424-895F-E36957DC6163}" type="presParOf" srcId="{46382AFD-95FC-4564-A1AD-95C56098B8F7}" destId="{58F31D09-ADCD-4DC9-8221-D1D9CF855BAD}" srcOrd="4" destOrd="0" presId="urn:microsoft.com/office/officeart/2005/8/layout/lProcess3"/>
    <dgm:cxn modelId="{0782C071-60FB-4447-91C9-27630AD1C5CA}" type="presParOf" srcId="{46382AFD-95FC-4564-A1AD-95C56098B8F7}" destId="{F926AF39-E7BE-4E11-9D22-C62449B0D6F5}" srcOrd="5" destOrd="0" presId="urn:microsoft.com/office/officeart/2005/8/layout/lProcess3"/>
    <dgm:cxn modelId="{6C78DA26-2E38-40AA-B8D7-2022B2D87269}" type="presParOf" srcId="{46382AFD-95FC-4564-A1AD-95C56098B8F7}" destId="{A0DBC11E-E766-4152-BC15-BC0009251B6A}" srcOrd="6" destOrd="0" presId="urn:microsoft.com/office/officeart/2005/8/layout/lProcess3"/>
    <dgm:cxn modelId="{B5BDE1A4-09E6-4ADF-A8E6-4434CD92E6A8}" type="presParOf" srcId="{46382AFD-95FC-4564-A1AD-95C56098B8F7}" destId="{D053A473-5939-4ED2-A2EB-08F6EA663B63}" srcOrd="7" destOrd="0" presId="urn:microsoft.com/office/officeart/2005/8/layout/lProcess3"/>
    <dgm:cxn modelId="{12E0D335-A7F9-4071-A638-35E7FC2D0473}" type="presParOf" srcId="{46382AFD-95FC-4564-A1AD-95C56098B8F7}" destId="{1D04C8CC-6EFD-46D0-BB1C-70E60B93513A}" srcOrd="8" destOrd="0" presId="urn:microsoft.com/office/officeart/2005/8/layout/lProcess3"/>
    <dgm:cxn modelId="{65D41940-96AE-4BB8-8400-1448CC4346E4}" type="presParOf" srcId="{46382AFD-95FC-4564-A1AD-95C56098B8F7}" destId="{ACF4825D-F322-47DC-8BCE-FA35DB4619D6}" srcOrd="9" destOrd="0" presId="urn:microsoft.com/office/officeart/2005/8/layout/lProcess3"/>
    <dgm:cxn modelId="{FE60B3C6-AADC-4DA9-B0A5-9F1EBF1B9B06}" type="presParOf" srcId="{46382AFD-95FC-4564-A1AD-95C56098B8F7}" destId="{13C9CD02-249A-42BA-89EA-061EDDC086D7}" srcOrd="10" destOrd="0" presId="urn:microsoft.com/office/officeart/2005/8/layout/lProcess3"/>
    <dgm:cxn modelId="{F48B0157-5ACA-40C7-B996-536DB78C2FEA}" type="presParOf" srcId="{46382AFD-95FC-4564-A1AD-95C56098B8F7}" destId="{412FD5E1-6105-4277-8502-29E6E714906A}" srcOrd="11" destOrd="0" presId="urn:microsoft.com/office/officeart/2005/8/layout/lProcess3"/>
    <dgm:cxn modelId="{45DA59A1-0878-4066-8783-79CD9368F04F}" type="presParOf" srcId="{46382AFD-95FC-4564-A1AD-95C56098B8F7}" destId="{10D62D9A-AAE0-458C-9095-B2BB7F451ACB}" srcOrd="12" destOrd="0" presId="urn:microsoft.com/office/officeart/2005/8/layout/lProcess3"/>
    <dgm:cxn modelId="{03749785-A0FE-4031-8EF3-B97CCF7144EA}" type="presParOf" srcId="{AABEC067-B163-4BF4-8A60-BD081BE42642}" destId="{BD4AB627-12C3-4C14-A36D-18F53B40C0C2}" srcOrd="3" destOrd="0" presId="urn:microsoft.com/office/officeart/2005/8/layout/lProcess3"/>
    <dgm:cxn modelId="{FA29E224-8962-446E-9E6F-766B5E85182A}" type="presParOf" srcId="{AABEC067-B163-4BF4-8A60-BD081BE42642}" destId="{74599312-6AB4-4211-AF7A-02BC49294BED}" srcOrd="4" destOrd="0" presId="urn:microsoft.com/office/officeart/2005/8/layout/lProcess3"/>
    <dgm:cxn modelId="{8CB96936-1F9C-4925-8D87-7127EAFB9D99}" type="presParOf" srcId="{74599312-6AB4-4211-AF7A-02BC49294BED}" destId="{F97D4733-33FE-440A-9F4A-E88411DCDC07}" srcOrd="0" destOrd="0" presId="urn:microsoft.com/office/officeart/2005/8/layout/lProcess3"/>
    <dgm:cxn modelId="{10D50D15-0BDE-4468-B2B4-D890B00A91C8}" type="presParOf" srcId="{74599312-6AB4-4211-AF7A-02BC49294BED}" destId="{D1ACCDF2-9E7F-476A-9D20-0DAF44D09DEF}" srcOrd="1" destOrd="0" presId="urn:microsoft.com/office/officeart/2005/8/layout/lProcess3"/>
    <dgm:cxn modelId="{90FDC069-A7BE-4BB6-8F71-92B1A88D762E}" type="presParOf" srcId="{74599312-6AB4-4211-AF7A-02BC49294BED}" destId="{16516B57-4DCC-425D-9CC5-42A917385C3E}" srcOrd="2" destOrd="0" presId="urn:microsoft.com/office/officeart/2005/8/layout/lProcess3"/>
    <dgm:cxn modelId="{78FC66FF-2C9A-4373-90F6-1940EB779A60}" type="presParOf" srcId="{74599312-6AB4-4211-AF7A-02BC49294BED}" destId="{FA023B04-684B-4501-97AF-9EDA18AA5790}" srcOrd="3" destOrd="0" presId="urn:microsoft.com/office/officeart/2005/8/layout/lProcess3"/>
    <dgm:cxn modelId="{59094907-C405-4557-889C-18FAAC6943E9}" type="presParOf" srcId="{74599312-6AB4-4211-AF7A-02BC49294BED}" destId="{8F0EEA60-B1DB-420F-91B7-F24A16C0E9F6}" srcOrd="4" destOrd="0" presId="urn:microsoft.com/office/officeart/2005/8/layout/lProcess3"/>
    <dgm:cxn modelId="{472FFE65-2DB7-4664-9EE2-C563E94B388E}" type="presParOf" srcId="{74599312-6AB4-4211-AF7A-02BC49294BED}" destId="{FA44E0AB-6FD0-49BB-B31B-83A7AF9B57C9}" srcOrd="5" destOrd="0" presId="urn:microsoft.com/office/officeart/2005/8/layout/lProcess3"/>
    <dgm:cxn modelId="{8C3ACE92-A6CB-4C11-BAEE-2EE1DB633B21}" type="presParOf" srcId="{74599312-6AB4-4211-AF7A-02BC49294BED}" destId="{364DD1D5-65B5-427D-8048-69F9B123D620}" srcOrd="6" destOrd="0" presId="urn:microsoft.com/office/officeart/2005/8/layout/lProcess3"/>
    <dgm:cxn modelId="{0227F734-30B6-4632-BBBD-1AC104D8FF95}" type="presParOf" srcId="{74599312-6AB4-4211-AF7A-02BC49294BED}" destId="{0389FC13-632C-46F0-8605-F8B130B01B47}" srcOrd="7" destOrd="0" presId="urn:microsoft.com/office/officeart/2005/8/layout/lProcess3"/>
    <dgm:cxn modelId="{9073BBF4-C443-4536-A257-F735FE271A5F}" type="presParOf" srcId="{74599312-6AB4-4211-AF7A-02BC49294BED}" destId="{7249E8C8-FABD-4CA5-BBFA-E45908887436}" srcOrd="8" destOrd="0" presId="urn:microsoft.com/office/officeart/2005/8/layout/lProcess3"/>
    <dgm:cxn modelId="{0FFC18E3-BF01-45C5-86D4-6F59C4679AE7}" type="presParOf" srcId="{74599312-6AB4-4211-AF7A-02BC49294BED}" destId="{00F72B38-8AC4-4DF1-AA7B-BB2A489ECE83}" srcOrd="9" destOrd="0" presId="urn:microsoft.com/office/officeart/2005/8/layout/lProcess3"/>
    <dgm:cxn modelId="{86F4ABCE-B7B3-452A-88BF-FE4450850404}" type="presParOf" srcId="{74599312-6AB4-4211-AF7A-02BC49294BED}" destId="{1F7E2D3B-1C75-4E88-87A3-5E98A54B5AC6}" srcOrd="10" destOrd="0" presId="urn:microsoft.com/office/officeart/2005/8/layout/lProcess3"/>
    <dgm:cxn modelId="{D20C2889-0321-40C4-AF06-B1AC77256BBD}" type="presParOf" srcId="{74599312-6AB4-4211-AF7A-02BC49294BED}" destId="{53E9F6E5-248F-45F1-A9AB-C47D75EC7068}" srcOrd="11" destOrd="0" presId="urn:microsoft.com/office/officeart/2005/8/layout/lProcess3"/>
    <dgm:cxn modelId="{87337C10-D6DE-4D55-8878-CDC5F37BA04F}" type="presParOf" srcId="{74599312-6AB4-4211-AF7A-02BC49294BED}" destId="{2BB8A638-90F3-4041-95E0-6576F32D89E3}" srcOrd="12" destOrd="0" presId="urn:microsoft.com/office/officeart/2005/8/layout/lProcess3"/>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674DB68-C40A-4650-9236-EB4C2EA1A0A0}"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F3284D9-050B-4EF3-9AFE-CFF32691E21B}">
      <dgm:prSet phldrT="[Text]" custT="1"/>
      <dgm: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100" baseline="0">
              <a:solidFill>
                <a:sysClr val="windowText" lastClr="000000"/>
              </a:solidFill>
              <a:latin typeface="Calibri" panose="020F0502020204030204"/>
              <a:ea typeface="+mn-ea"/>
              <a:cs typeface="+mn-cs"/>
            </a:rPr>
            <a:t>Celkové schválené výdaje programu hrazené ze státního rozpočtu včetně EU</a:t>
          </a:r>
        </a:p>
        <a:p>
          <a:pPr>
            <a:buNone/>
          </a:pPr>
          <a:r>
            <a:rPr lang="cs-CZ" sz="1100" baseline="0">
              <a:solidFill>
                <a:sysClr val="windowText" lastClr="000000"/>
              </a:solidFill>
              <a:latin typeface="Calibri" panose="020F0502020204030204"/>
              <a:ea typeface="+mn-ea"/>
              <a:cs typeface="+mn-cs"/>
            </a:rPr>
            <a:t> činí </a:t>
          </a:r>
          <a:r>
            <a:rPr lang="cs-CZ" sz="1100" b="1" baseline="0">
              <a:solidFill>
                <a:sysClr val="windowText" lastClr="000000"/>
              </a:solidFill>
              <a:latin typeface="Calibri" panose="020F0502020204030204"/>
              <a:ea typeface="+mn-ea"/>
              <a:cs typeface="+mn-cs"/>
            </a:rPr>
            <a:t>665 365 tis. Kč</a:t>
          </a:r>
        </a:p>
      </dgm:t>
    </dgm:pt>
    <dgm:pt modelId="{B1C7ED98-A319-4B73-8667-A9BC9F6D8328}" type="parTrans" cxnId="{6A00B773-E43C-4AB5-B9E3-0344D4A05F45}">
      <dgm:prSet/>
      <dgm:spPr/>
      <dgm:t>
        <a:bodyPr/>
        <a:lstStyle/>
        <a:p>
          <a:endParaRPr lang="cs-CZ"/>
        </a:p>
      </dgm:t>
    </dgm:pt>
    <dgm:pt modelId="{69029C21-5BE1-497A-A793-F9A74341301B}" type="sibTrans" cxnId="{6A00B773-E43C-4AB5-B9E3-0344D4A05F45}">
      <dgm:prSet/>
      <dgm:spPr/>
      <dgm:t>
        <a:bodyPr/>
        <a:lstStyle/>
        <a:p>
          <a:endParaRPr lang="cs-CZ"/>
        </a:p>
      </dgm:t>
    </dgm:pt>
    <dgm:pt modelId="{C3F872C0-9A7E-4486-9085-68D028B70349}">
      <dgm:prSet phldrT="[Text]" custT="1"/>
      <dgm: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nSpc>
              <a:spcPct val="100000"/>
            </a:lnSpc>
            <a:spcAft>
              <a:spcPts val="0"/>
            </a:spcAft>
            <a:buNone/>
          </a:pPr>
          <a:r>
            <a:rPr lang="cs-CZ" sz="1100" b="1">
              <a:solidFill>
                <a:srgbClr val="5B9BD5">
                  <a:lumMod val="75000"/>
                </a:srgbClr>
              </a:solidFill>
              <a:latin typeface="Calibri" panose="020F0502020204030204"/>
              <a:ea typeface="+mn-ea"/>
              <a:cs typeface="+mn-cs"/>
            </a:rPr>
            <a:t>Celkové skutečně čerpané prostředky státního rozpočtu včetně EU k 31.12.2023 činí              593 095 tis. Kč</a:t>
          </a:r>
        </a:p>
      </dgm:t>
    </dgm:pt>
    <dgm:pt modelId="{4E6638AA-ED1E-42BE-9714-F54837DB1B36}" type="parTrans" cxnId="{9DBE886C-31C6-4173-ACDD-D2D998B475DC}">
      <dgm:prSet/>
      <dgm:spPr/>
      <dgm:t>
        <a:bodyPr/>
        <a:lstStyle/>
        <a:p>
          <a:endParaRPr lang="cs-CZ"/>
        </a:p>
      </dgm:t>
    </dgm:pt>
    <dgm:pt modelId="{1BF85506-A730-4145-BBA5-282500B4621F}" type="sibTrans" cxnId="{9DBE886C-31C6-4173-ACDD-D2D998B475DC}">
      <dgm:prSet/>
      <dgm:spPr/>
      <dgm:t>
        <a:bodyPr/>
        <a:lstStyle/>
        <a:p>
          <a:endParaRPr lang="cs-CZ"/>
        </a:p>
      </dgm:t>
    </dgm:pt>
    <dgm:pt modelId="{AEAAC497-982E-4288-B55D-D9CB08E8A1A2}" type="pres">
      <dgm:prSet presAssocID="{D674DB68-C40A-4650-9236-EB4C2EA1A0A0}" presName="Name0" presStyleCnt="0">
        <dgm:presLayoutVars>
          <dgm:chPref val="3"/>
          <dgm:dir/>
          <dgm:animLvl val="lvl"/>
          <dgm:resizeHandles/>
        </dgm:presLayoutVars>
      </dgm:prSet>
      <dgm:spPr/>
    </dgm:pt>
    <dgm:pt modelId="{174483F3-521D-456F-9393-24965CDEC63F}" type="pres">
      <dgm:prSet presAssocID="{8F3284D9-050B-4EF3-9AFE-CFF32691E21B}" presName="horFlow" presStyleCnt="0"/>
      <dgm:spPr/>
    </dgm:pt>
    <dgm:pt modelId="{02DF64E2-7887-4C75-9AFC-DDEF6E290B10}" type="pres">
      <dgm:prSet presAssocID="{8F3284D9-050B-4EF3-9AFE-CFF32691E21B}" presName="bigChev" presStyleLbl="node1" presStyleIdx="0" presStyleCnt="2" custScaleX="717338" custScaleY="143925" custLinFactNeighborX="-6048" custLinFactNeighborY="-294"/>
      <dgm:spPr/>
    </dgm:pt>
    <dgm:pt modelId="{DB7F2370-6DC3-4C33-9F59-A5A46DC3CDEA}" type="pres">
      <dgm:prSet presAssocID="{8F3284D9-050B-4EF3-9AFE-CFF32691E21B}" presName="vSp" presStyleCnt="0"/>
      <dgm:spPr/>
    </dgm:pt>
    <dgm:pt modelId="{AE271E2F-B2D4-456E-9A34-BF47E80978C2}" type="pres">
      <dgm:prSet presAssocID="{C3F872C0-9A7E-4486-9085-68D028B70349}" presName="horFlow" presStyleCnt="0"/>
      <dgm:spPr/>
    </dgm:pt>
    <dgm:pt modelId="{49971915-8BC1-462C-8559-1A86CA9363E7}" type="pres">
      <dgm:prSet presAssocID="{C3F872C0-9A7E-4486-9085-68D028B70349}" presName="bigChev" presStyleLbl="node1" presStyleIdx="1" presStyleCnt="2" custScaleX="717338" custScaleY="153947"/>
      <dgm:spPr/>
    </dgm:pt>
  </dgm:ptLst>
  <dgm:cxnLst>
    <dgm:cxn modelId="{56ADB41B-D9DC-4FF6-9255-222CDC91D36D}" type="presOf" srcId="{D674DB68-C40A-4650-9236-EB4C2EA1A0A0}" destId="{AEAAC497-982E-4288-B55D-D9CB08E8A1A2}" srcOrd="0" destOrd="0" presId="urn:microsoft.com/office/officeart/2005/8/layout/lProcess3"/>
    <dgm:cxn modelId="{9DBE886C-31C6-4173-ACDD-D2D998B475DC}" srcId="{D674DB68-C40A-4650-9236-EB4C2EA1A0A0}" destId="{C3F872C0-9A7E-4486-9085-68D028B70349}" srcOrd="1" destOrd="0" parTransId="{4E6638AA-ED1E-42BE-9714-F54837DB1B36}" sibTransId="{1BF85506-A730-4145-BBA5-282500B4621F}"/>
    <dgm:cxn modelId="{6A00B773-E43C-4AB5-B9E3-0344D4A05F45}" srcId="{D674DB68-C40A-4650-9236-EB4C2EA1A0A0}" destId="{8F3284D9-050B-4EF3-9AFE-CFF32691E21B}" srcOrd="0" destOrd="0" parTransId="{B1C7ED98-A319-4B73-8667-A9BC9F6D8328}" sibTransId="{69029C21-5BE1-497A-A793-F9A74341301B}"/>
    <dgm:cxn modelId="{70DBBC57-29AB-4A5E-B6CE-B0151CA96CFF}" type="presOf" srcId="{8F3284D9-050B-4EF3-9AFE-CFF32691E21B}" destId="{02DF64E2-7887-4C75-9AFC-DDEF6E290B10}" srcOrd="0" destOrd="0" presId="urn:microsoft.com/office/officeart/2005/8/layout/lProcess3"/>
    <dgm:cxn modelId="{86028AD3-C279-47DD-BDB7-76D5CAA00895}" type="presOf" srcId="{C3F872C0-9A7E-4486-9085-68D028B70349}" destId="{49971915-8BC1-462C-8559-1A86CA9363E7}" srcOrd="0" destOrd="0" presId="urn:microsoft.com/office/officeart/2005/8/layout/lProcess3"/>
    <dgm:cxn modelId="{31451605-9197-4165-BB36-55E96C769D24}" type="presParOf" srcId="{AEAAC497-982E-4288-B55D-D9CB08E8A1A2}" destId="{174483F3-521D-456F-9393-24965CDEC63F}" srcOrd="0" destOrd="0" presId="urn:microsoft.com/office/officeart/2005/8/layout/lProcess3"/>
    <dgm:cxn modelId="{3944A1AB-7654-44D8-A9C3-027E9C7CC4D7}" type="presParOf" srcId="{174483F3-521D-456F-9393-24965CDEC63F}" destId="{02DF64E2-7887-4C75-9AFC-DDEF6E290B10}" srcOrd="0" destOrd="0" presId="urn:microsoft.com/office/officeart/2005/8/layout/lProcess3"/>
    <dgm:cxn modelId="{EF8BF69C-3EC8-4F35-881C-B6BD023057FB}" type="presParOf" srcId="{AEAAC497-982E-4288-B55D-D9CB08E8A1A2}" destId="{DB7F2370-6DC3-4C33-9F59-A5A46DC3CDEA}" srcOrd="1" destOrd="0" presId="urn:microsoft.com/office/officeart/2005/8/layout/lProcess3"/>
    <dgm:cxn modelId="{A8E20D06-CB83-4FDB-884D-B99CE1F11C3C}" type="presParOf" srcId="{AEAAC497-982E-4288-B55D-D9CB08E8A1A2}" destId="{AE271E2F-B2D4-456E-9A34-BF47E80978C2}" srcOrd="2" destOrd="0" presId="urn:microsoft.com/office/officeart/2005/8/layout/lProcess3"/>
    <dgm:cxn modelId="{E19B8E62-02AD-41F5-9A0D-AAF857015A96}" type="presParOf" srcId="{AE271E2F-B2D4-456E-9A34-BF47E80978C2}" destId="{49971915-8BC1-462C-8559-1A86CA9363E7}" srcOrd="0" destOrd="0" presId="urn:microsoft.com/office/officeart/2005/8/layout/lProcess3"/>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SR v tis. Kč</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4 675</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FB587A40-1508-4D97-8343-8C28E6FBB468}">
      <dgm:prSet phldrT="[Text]" custT="1"/>
      <dgm:spPr>
        <a:xfrm>
          <a:off x="39171" y="913502"/>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EU v tis. Kč</a:t>
          </a:r>
        </a:p>
      </dgm:t>
    </dgm:pt>
    <dgm:pt modelId="{5A4B4849-C2A4-45C8-8168-A75B29D32ADB}" type="parTrans" cxnId="{4416F82F-40A8-4740-AE37-435C6B87493B}">
      <dgm:prSet/>
      <dgm:spPr/>
      <dgm:t>
        <a:bodyPr/>
        <a:lstStyle/>
        <a:p>
          <a:endParaRPr lang="cs-CZ"/>
        </a:p>
      </dgm:t>
    </dgm:pt>
    <dgm:pt modelId="{D50D9CFF-A1EA-4080-A317-AF76E6FFF851}" type="sibTrans" cxnId="{4416F82F-40A8-4740-AE37-435C6B87493B}">
      <dgm:prSet/>
      <dgm:spPr/>
      <dgm:t>
        <a:bodyPr/>
        <a:lstStyle/>
        <a:p>
          <a:endParaRPr lang="cs-CZ"/>
        </a:p>
      </dgm:t>
    </dgm:pt>
    <dgm:pt modelId="{F23C8976-2127-4278-997D-2CDED8DEB7F2}">
      <dgm:prSet phldrT="[Text]" custT="1"/>
      <dgm:spPr>
        <a:xfrm>
          <a:off x="3768406"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1 028</a:t>
          </a:r>
        </a:p>
      </dgm:t>
    </dgm:pt>
    <dgm:pt modelId="{C60EC84A-D43D-46D2-8A83-88B32AFBC884}" type="parTrans" cxnId="{67ACB215-C547-49CC-87ED-8EE43AA7DA4F}">
      <dgm:prSet/>
      <dgm:spPr/>
      <dgm:t>
        <a:bodyPr/>
        <a:lstStyle/>
        <a:p>
          <a:endParaRPr lang="cs-CZ"/>
        </a:p>
      </dgm:t>
    </dgm:pt>
    <dgm:pt modelId="{7A52D734-6024-4494-86F2-45892853953A}" type="sibTrans" cxnId="{67ACB215-C547-49CC-87ED-8EE43AA7DA4F}">
      <dgm:prSet/>
      <dgm:spPr/>
      <dgm:t>
        <a:bodyPr/>
        <a:lstStyle/>
        <a:p>
          <a:endParaRPr lang="cs-CZ"/>
        </a:p>
      </dgm:t>
    </dgm:pt>
    <dgm:pt modelId="{A27EEBCB-6984-4C15-B6F0-27B735F2B4E0}">
      <dgm:prSet phldrT="[Text]" custT="1"/>
      <dgm:spPr>
        <a:xfrm>
          <a:off x="4482979"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429 315</a:t>
          </a:r>
        </a:p>
      </dgm:t>
    </dgm:pt>
    <dgm:pt modelId="{E2E6D716-159D-40AE-A33B-539431203709}" type="parTrans" cxnId="{6583D4FF-13F4-4B7E-BB4B-A9938DD6AED1}">
      <dgm:prSet/>
      <dgm:spPr/>
      <dgm:t>
        <a:bodyPr/>
        <a:lstStyle/>
        <a:p>
          <a:endParaRPr lang="cs-CZ"/>
        </a:p>
      </dgm:t>
    </dgm:pt>
    <dgm:pt modelId="{282F0C65-4156-4839-9CD8-F5A3B3C83326}" type="sibTrans" cxnId="{6583D4FF-13F4-4B7E-BB4B-A9938DD6AED1}">
      <dgm:prSet/>
      <dgm:spPr/>
      <dgm:t>
        <a:bodyPr/>
        <a:lstStyle/>
        <a:p>
          <a:endParaRPr lang="cs-CZ"/>
        </a:p>
      </dgm:t>
    </dgm:pt>
    <dgm:pt modelId="{F3DB0DA9-CF9F-48FB-8A4E-B16B996859CC}">
      <dgm:prSet custT="1"/>
      <dgm:spPr>
        <a:xfrm>
          <a:off x="305383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3 959</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6CAE84A3-5291-4F09-9834-F24060A9F0B1}">
      <dgm:prSet custT="1"/>
      <dgm:spPr>
        <a:xfrm>
          <a:off x="91011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139 642</a:t>
          </a:r>
        </a:p>
      </dgm:t>
    </dgm:pt>
    <dgm:pt modelId="{B95147BD-D846-4A8C-92DB-73A084F65B44}" type="parTrans" cxnId="{8640D906-6D90-46F5-A549-4F071EDC525B}">
      <dgm:prSet/>
      <dgm:spPr/>
      <dgm:t>
        <a:bodyPr/>
        <a:lstStyle/>
        <a:p>
          <a:endParaRPr lang="cs-CZ"/>
        </a:p>
      </dgm:t>
    </dgm:pt>
    <dgm:pt modelId="{45948C87-89E7-4E8B-9743-54102AC6245B}" type="sibTrans" cxnId="{8640D906-6D90-46F5-A549-4F071EDC525B}">
      <dgm:prSet/>
      <dgm:spPr/>
      <dgm:t>
        <a:bodyPr/>
        <a:lstStyle/>
        <a:p>
          <a:endParaRPr lang="cs-CZ"/>
        </a:p>
      </dgm:t>
    </dgm:pt>
    <dgm:pt modelId="{3D26C7C6-8483-443E-A4D0-39EB2E9F1734}">
      <dgm:prSet custT="1"/>
      <dgm:spPr>
        <a:xfrm>
          <a:off x="2339260"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784EF831-4F13-4FD2-9A95-E0A2C4428672}" type="parTrans" cxnId="{64112C09-0440-4778-81F4-727FA9F9691C}">
      <dgm:prSet/>
      <dgm:spPr/>
      <dgm:t>
        <a:bodyPr/>
        <a:lstStyle/>
        <a:p>
          <a:endParaRPr lang="cs-CZ"/>
        </a:p>
      </dgm:t>
    </dgm:pt>
    <dgm:pt modelId="{01187B68-E2E8-4B94-97F8-2AC1B6A5D762}" type="sibTrans" cxnId="{64112C09-0440-4778-81F4-727FA9F9691C}">
      <dgm:prSet/>
      <dgm:spPr/>
      <dgm:t>
        <a:bodyPr/>
        <a:lstStyle/>
        <a:p>
          <a:endParaRPr lang="cs-CZ"/>
        </a:p>
      </dgm:t>
    </dgm:pt>
    <dgm:pt modelId="{C605948A-2FAA-4B2B-A55B-BAE904731737}">
      <dgm:prSet custT="1"/>
      <dgm:spPr>
        <a:xfrm>
          <a:off x="91011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před 2019</a:t>
          </a:r>
        </a:p>
      </dgm:t>
    </dgm:pt>
    <dgm:pt modelId="{4F5A3C1F-B0DE-477C-8A8C-330B6742F4A4}" type="parTrans" cxnId="{DA9B9B68-BE8F-4E0D-971E-10B1DE45F4EF}">
      <dgm:prSet/>
      <dgm:spPr/>
      <dgm:t>
        <a:bodyPr/>
        <a:lstStyle/>
        <a:p>
          <a:endParaRPr lang="cs-CZ"/>
        </a:p>
      </dgm:t>
    </dgm:pt>
    <dgm:pt modelId="{13EB3CF2-FEEB-4BAA-9725-6C1E3263EA03}" type="sibTrans" cxnId="{DA9B9B68-BE8F-4E0D-971E-10B1DE45F4EF}">
      <dgm:prSet/>
      <dgm:spPr/>
      <dgm:t>
        <a:bodyPr/>
        <a:lstStyle/>
        <a:p>
          <a:endParaRPr lang="cs-CZ"/>
        </a:p>
      </dgm:t>
    </dgm:pt>
    <dgm:pt modelId="{B7ECE7B1-DE09-4B35-B3EF-F552934AFCE8}">
      <dgm:prSet custT="1"/>
      <dgm:spPr>
        <a:xfrm>
          <a:off x="305383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2019</a:t>
          </a:r>
        </a:p>
      </dgm:t>
    </dgm:pt>
    <dgm:pt modelId="{DA6DDA27-2107-4270-A3BD-1C78B27962E5}" type="parTrans" cxnId="{7A54F410-46BF-4BC4-8EA6-774AA8D2CE63}">
      <dgm:prSet/>
      <dgm:spPr/>
      <dgm:t>
        <a:bodyPr/>
        <a:lstStyle/>
        <a:p>
          <a:endParaRPr lang="cs-CZ"/>
        </a:p>
      </dgm:t>
    </dgm:pt>
    <dgm:pt modelId="{86BFB788-3F63-4576-8E20-CC6A3656E461}" type="sibTrans" cxnId="{7A54F410-46BF-4BC4-8EA6-774AA8D2CE63}">
      <dgm:prSet/>
      <dgm:spPr/>
      <dgm:t>
        <a:bodyPr/>
        <a:lstStyle/>
        <a:p>
          <a:endParaRPr lang="cs-CZ"/>
        </a:p>
      </dgm:t>
    </dgm:pt>
    <dgm:pt modelId="{A60C9FE3-6133-4657-A514-55217A1AA855}">
      <dgm:prSet custT="1"/>
      <dgm:spPr>
        <a:xfrm>
          <a:off x="305383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555</a:t>
          </a:r>
        </a:p>
      </dgm:t>
    </dgm:pt>
    <dgm:pt modelId="{48E7F69E-D617-43E7-B65A-766B6597C104}" type="parTrans" cxnId="{B4C5D7C9-3B70-451E-921F-5A507669669C}">
      <dgm:prSet/>
      <dgm:spPr/>
      <dgm:t>
        <a:bodyPr/>
        <a:lstStyle/>
        <a:p>
          <a:endParaRPr lang="cs-CZ"/>
        </a:p>
      </dgm:t>
    </dgm:pt>
    <dgm:pt modelId="{E86F0626-7479-4219-874A-CE1165407EEC}" type="sibTrans" cxnId="{B4C5D7C9-3B70-451E-921F-5A507669669C}">
      <dgm:prSet/>
      <dgm:spPr/>
      <dgm:t>
        <a:bodyPr/>
        <a:lstStyle/>
        <a:p>
          <a:endParaRPr lang="cs-CZ"/>
        </a:p>
      </dgm:t>
    </dgm:pt>
    <dgm:pt modelId="{27FFE990-B0C4-4FE6-A871-AE135DB78369}">
      <dgm:prSet custT="1"/>
      <dgm:spPr>
        <a:xfrm>
          <a:off x="91011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5 510</a:t>
          </a:r>
        </a:p>
      </dgm:t>
    </dgm:pt>
    <dgm:pt modelId="{6FF203A5-4BE7-4F36-987F-345CD6206E3E}" type="parTrans" cxnId="{ACF7FCFB-5C7E-4ED9-9E67-B9F4B0554989}">
      <dgm:prSet/>
      <dgm:spPr/>
      <dgm:t>
        <a:bodyPr/>
        <a:lstStyle/>
        <a:p>
          <a:endParaRPr lang="cs-CZ"/>
        </a:p>
      </dgm:t>
    </dgm:pt>
    <dgm:pt modelId="{9B4A0989-1E62-46C2-BC62-491B074543C4}" type="sibTrans" cxnId="{ACF7FCFB-5C7E-4ED9-9E67-B9F4B0554989}">
      <dgm:prSet/>
      <dgm:spPr/>
      <dgm:t>
        <a:bodyPr/>
        <a:lstStyle/>
        <a:p>
          <a:endParaRPr lang="cs-CZ"/>
        </a:p>
      </dgm:t>
    </dgm:pt>
    <dgm:pt modelId="{77485BA1-1EFD-426B-BD17-453AAD7439CB}">
      <dgm:prSet custT="1"/>
      <dgm:spPr>
        <a:xfrm>
          <a:off x="2339260"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1 024</a:t>
          </a:r>
        </a:p>
      </dgm:t>
    </dgm:pt>
    <dgm:pt modelId="{5F05A5CF-31E6-4A74-87AB-A1DB8C53F68F}" type="parTrans" cxnId="{A25D73CF-D3FE-4A59-90D9-D522A8290BF9}">
      <dgm:prSet/>
      <dgm:spPr/>
      <dgm:t>
        <a:bodyPr/>
        <a:lstStyle/>
        <a:p>
          <a:endParaRPr lang="cs-CZ"/>
        </a:p>
      </dgm:t>
    </dgm:pt>
    <dgm:pt modelId="{6EB90918-DFF2-4E86-ABD3-6281C2267DD5}" type="sibTrans" cxnId="{A25D73CF-D3FE-4A59-90D9-D522A8290BF9}">
      <dgm:prSet/>
      <dgm:spPr/>
      <dgm:t>
        <a:bodyPr/>
        <a:lstStyle/>
        <a:p>
          <a:endParaRPr lang="cs-CZ"/>
        </a:p>
      </dgm:t>
    </dgm:pt>
    <dgm:pt modelId="{7D95A44A-ECB8-4607-AF49-B15DF5A2602D}">
      <dgm:prSet custT="1"/>
      <dgm:spPr>
        <a:xfrm>
          <a:off x="1624687"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2 660</a:t>
          </a:r>
        </a:p>
      </dgm:t>
    </dgm:pt>
    <dgm:pt modelId="{1A0087B4-A96A-4FB7-B06E-A5D36C6523EF}" type="parTrans" cxnId="{31794D17-765C-417D-B10F-34A1C578BC82}">
      <dgm:prSet/>
      <dgm:spPr/>
      <dgm:t>
        <a:bodyPr/>
        <a:lstStyle/>
        <a:p>
          <a:endParaRPr lang="cs-CZ"/>
        </a:p>
      </dgm:t>
    </dgm:pt>
    <dgm:pt modelId="{98FD26B5-E98B-4D74-B590-8A1D7F8EA02B}" type="sibTrans" cxnId="{31794D17-765C-417D-B10F-34A1C578BC82}">
      <dgm:prSet/>
      <dgm:spPr/>
      <dgm:t>
        <a:bodyPr/>
        <a:lstStyle/>
        <a:p>
          <a:endParaRPr lang="cs-CZ"/>
        </a:p>
      </dgm:t>
    </dgm:pt>
    <dgm:pt modelId="{CAF6F21B-3906-41F8-B2AB-B7FFFE3FD598}">
      <dgm:prSet phldrT="[Text]" custT="1"/>
      <dgm:spPr>
        <a:xfrm>
          <a:off x="4482979"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4 727</a:t>
          </a:r>
        </a:p>
      </dgm:t>
    </dgm:pt>
    <dgm:pt modelId="{530A1608-B48A-4847-B17E-FBE47F647A54}" type="sibTrans" cxnId="{59B2BD99-0B9A-41B0-84CA-C90F5FF949FB}">
      <dgm:prSet/>
      <dgm:spPr/>
      <dgm:t>
        <a:bodyPr/>
        <a:lstStyle/>
        <a:p>
          <a:endParaRPr lang="cs-CZ"/>
        </a:p>
      </dgm:t>
    </dgm:pt>
    <dgm:pt modelId="{209BC680-4E03-4850-8AA8-C4A94E922D15}" type="parTrans" cxnId="{59B2BD99-0B9A-41B0-84CA-C90F5FF949FB}">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3"/>
      <dgm:spPr/>
    </dgm:pt>
    <dgm:pt modelId="{D708EA36-7A62-4200-AA2D-F87AB641D79B}" type="pres">
      <dgm:prSet presAssocID="{4F5A3C1F-B0DE-477C-8A8C-330B6742F4A4}" presName="parTrans" presStyleCnt="0"/>
      <dgm:spPr/>
    </dgm:pt>
    <dgm:pt modelId="{030F83A3-E98C-4486-A756-7B7DEC40A7DD}" type="pres">
      <dgm:prSet presAssocID="{C605948A-2FAA-4B2B-A55B-BAE904731737}" presName="node" presStyleLbl="alignAccFollowNode1" presStyleIdx="0" presStyleCnt="18">
        <dgm:presLayoutVars>
          <dgm:bulletEnabled val="1"/>
        </dgm:presLayoutVars>
      </dgm:prSet>
      <dgm:spPr/>
    </dgm:pt>
    <dgm:pt modelId="{72EC78BA-7662-4A22-A807-ED0657C37165}" type="pres">
      <dgm:prSet presAssocID="{13EB3CF2-FEEB-4BAA-9725-6C1E3263EA03}" presName="sibTrans" presStyleCnt="0"/>
      <dgm:spPr/>
    </dgm:pt>
    <dgm:pt modelId="{9CF25B67-FA31-41AE-B4EF-CCD2718072B3}" type="pres">
      <dgm:prSet presAssocID="{B62A07CB-3EFA-46D4-B983-264441964367}" presName="node" presStyleLbl="alignAccFollowNode1" presStyleIdx="1" presStyleCnt="18">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2" presStyleCnt="18">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3" presStyleCnt="18">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4" presStyleCnt="18">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5" presStyleCnt="18">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3"/>
      <dgm:spPr/>
    </dgm:pt>
    <dgm:pt modelId="{7F584C56-36FB-49EB-9E33-580FE0F9D74F}" type="pres">
      <dgm:prSet presAssocID="{B95147BD-D846-4A8C-92DB-73A084F65B44}" presName="parTrans" presStyleCnt="0"/>
      <dgm:spPr/>
    </dgm:pt>
    <dgm:pt modelId="{92DB449A-781D-438A-A28D-42D189DED613}" type="pres">
      <dgm:prSet presAssocID="{6CAE84A3-5291-4F09-9834-F24060A9F0B1}" presName="node" presStyleLbl="alignAccFollowNode1" presStyleIdx="6" presStyleCnt="18">
        <dgm:presLayoutVars>
          <dgm:bulletEnabled val="1"/>
        </dgm:presLayoutVars>
      </dgm:prSet>
      <dgm:spPr/>
    </dgm:pt>
    <dgm:pt modelId="{0F7C95B5-E5B1-4E7D-B972-6B77B705C56A}" type="pres">
      <dgm:prSet presAssocID="{45948C87-89E7-4E8B-9743-54102AC6245B}" presName="sibTrans" presStyleCnt="0"/>
      <dgm:spPr/>
    </dgm:pt>
    <dgm:pt modelId="{58F31D09-ADCD-4DC9-8221-D1D9CF855BAD}" type="pres">
      <dgm:prSet presAssocID="{8745A055-D09D-4C9C-BC6F-FA2A4CB4E11F}" presName="node" presStyleLbl="alignAccFollowNode1" presStyleIdx="7" presStyleCnt="18">
        <dgm:presLayoutVars>
          <dgm:bulletEnabled val="1"/>
        </dgm:presLayoutVars>
      </dgm:prSet>
      <dgm:spPr/>
    </dgm:pt>
    <dgm:pt modelId="{F926AF39-E7BE-4E11-9D22-C62449B0D6F5}" type="pres">
      <dgm:prSet presAssocID="{E1A6CB3E-3E8F-47BA-95FF-025EA5275374}" presName="sibTrans" presStyleCnt="0"/>
      <dgm:spPr/>
    </dgm:pt>
    <dgm:pt modelId="{A0DBC11E-E766-4152-BC15-BC0009251B6A}" type="pres">
      <dgm:prSet presAssocID="{3D26C7C6-8483-443E-A4D0-39EB2E9F1734}" presName="node" presStyleLbl="alignAccFollowNode1" presStyleIdx="8" presStyleCnt="18">
        <dgm:presLayoutVars>
          <dgm:bulletEnabled val="1"/>
        </dgm:presLayoutVars>
      </dgm:prSet>
      <dgm:spPr/>
    </dgm:pt>
    <dgm:pt modelId="{D053A473-5939-4ED2-A2EB-08F6EA663B63}" type="pres">
      <dgm:prSet presAssocID="{01187B68-E2E8-4B94-97F8-2AC1B6A5D762}" presName="sibTrans" presStyleCnt="0"/>
      <dgm:spPr/>
    </dgm:pt>
    <dgm:pt modelId="{1D04C8CC-6EFD-46D0-BB1C-70E60B93513A}" type="pres">
      <dgm:prSet presAssocID="{F3DB0DA9-CF9F-48FB-8A4E-B16B996859CC}" presName="node" presStyleLbl="alignAccFollowNode1" presStyleIdx="9" presStyleCnt="18">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10" presStyleCnt="18">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11" presStyleCnt="18">
        <dgm:presLayoutVars>
          <dgm:bulletEnabled val="1"/>
        </dgm:presLayoutVars>
      </dgm:prSet>
      <dgm:spPr/>
    </dgm:pt>
    <dgm:pt modelId="{BD4AB627-12C3-4C14-A36D-18F53B40C0C2}" type="pres">
      <dgm:prSet presAssocID="{60CC8BA2-67B8-4B5C-8F83-24E2D147DDF5}" presName="vSp" presStyleCnt="0"/>
      <dgm:spPr/>
    </dgm:pt>
    <dgm:pt modelId="{74599312-6AB4-4211-AF7A-02BC49294BED}" type="pres">
      <dgm:prSet presAssocID="{FB587A40-1508-4D97-8343-8C28E6FBB468}" presName="horFlow" presStyleCnt="0"/>
      <dgm:spPr/>
    </dgm:pt>
    <dgm:pt modelId="{F97D4733-33FE-440A-9F4A-E88411DCDC07}" type="pres">
      <dgm:prSet presAssocID="{FB587A40-1508-4D97-8343-8C28E6FBB468}" presName="bigChev" presStyleLbl="node1" presStyleIdx="2" presStyleCnt="3"/>
      <dgm:spPr/>
    </dgm:pt>
    <dgm:pt modelId="{D1ACCDF2-9E7F-476A-9D20-0DAF44D09DEF}" type="pres">
      <dgm:prSet presAssocID="{6FF203A5-4BE7-4F36-987F-345CD6206E3E}" presName="parTrans" presStyleCnt="0"/>
      <dgm:spPr/>
    </dgm:pt>
    <dgm:pt modelId="{16516B57-4DCC-425D-9CC5-42A917385C3E}" type="pres">
      <dgm:prSet presAssocID="{27FFE990-B0C4-4FE6-A871-AE135DB78369}" presName="node" presStyleLbl="alignAccFollowNode1" presStyleIdx="12" presStyleCnt="18">
        <dgm:presLayoutVars>
          <dgm:bulletEnabled val="1"/>
        </dgm:presLayoutVars>
      </dgm:prSet>
      <dgm:spPr/>
    </dgm:pt>
    <dgm:pt modelId="{FA023B04-684B-4501-97AF-9EDA18AA5790}" type="pres">
      <dgm:prSet presAssocID="{9B4A0989-1E62-46C2-BC62-491B074543C4}" presName="sibTrans" presStyleCnt="0"/>
      <dgm:spPr/>
    </dgm:pt>
    <dgm:pt modelId="{8F0EEA60-B1DB-420F-91B7-F24A16C0E9F6}" type="pres">
      <dgm:prSet presAssocID="{7D95A44A-ECB8-4607-AF49-B15DF5A2602D}" presName="node" presStyleLbl="alignAccFollowNode1" presStyleIdx="13" presStyleCnt="18">
        <dgm:presLayoutVars>
          <dgm:bulletEnabled val="1"/>
        </dgm:presLayoutVars>
      </dgm:prSet>
      <dgm:spPr/>
    </dgm:pt>
    <dgm:pt modelId="{FA44E0AB-6FD0-49BB-B31B-83A7AF9B57C9}" type="pres">
      <dgm:prSet presAssocID="{98FD26B5-E98B-4D74-B590-8A1D7F8EA02B}" presName="sibTrans" presStyleCnt="0"/>
      <dgm:spPr/>
    </dgm:pt>
    <dgm:pt modelId="{364DD1D5-65B5-427D-8048-69F9B123D620}" type="pres">
      <dgm:prSet presAssocID="{77485BA1-1EFD-426B-BD17-453AAD7439CB}" presName="node" presStyleLbl="alignAccFollowNode1" presStyleIdx="14" presStyleCnt="18">
        <dgm:presLayoutVars>
          <dgm:bulletEnabled val="1"/>
        </dgm:presLayoutVars>
      </dgm:prSet>
      <dgm:spPr/>
    </dgm:pt>
    <dgm:pt modelId="{0389FC13-632C-46F0-8605-F8B130B01B47}" type="pres">
      <dgm:prSet presAssocID="{6EB90918-DFF2-4E86-ABD3-6281C2267DD5}" presName="sibTrans" presStyleCnt="0"/>
      <dgm:spPr/>
    </dgm:pt>
    <dgm:pt modelId="{7249E8C8-FABD-4CA5-BBFA-E45908887436}" type="pres">
      <dgm:prSet presAssocID="{A60C9FE3-6133-4657-A514-55217A1AA855}" presName="node" presStyleLbl="alignAccFollowNode1" presStyleIdx="15" presStyleCnt="18">
        <dgm:presLayoutVars>
          <dgm:bulletEnabled val="1"/>
        </dgm:presLayoutVars>
      </dgm:prSet>
      <dgm:spPr/>
    </dgm:pt>
    <dgm:pt modelId="{00F72B38-8AC4-4DF1-AA7B-BB2A489ECE83}" type="pres">
      <dgm:prSet presAssocID="{E86F0626-7479-4219-874A-CE1165407EEC}" presName="sibTrans" presStyleCnt="0"/>
      <dgm:spPr/>
    </dgm:pt>
    <dgm:pt modelId="{1F7E2D3B-1C75-4E88-87A3-5E98A54B5AC6}" type="pres">
      <dgm:prSet presAssocID="{F23C8976-2127-4278-997D-2CDED8DEB7F2}" presName="node" presStyleLbl="alignAccFollowNode1" presStyleIdx="16" presStyleCnt="18">
        <dgm:presLayoutVars>
          <dgm:bulletEnabled val="1"/>
        </dgm:presLayoutVars>
      </dgm:prSet>
      <dgm:spPr/>
    </dgm:pt>
    <dgm:pt modelId="{53E9F6E5-248F-45F1-A9AB-C47D75EC7068}" type="pres">
      <dgm:prSet presAssocID="{7A52D734-6024-4494-86F2-45892853953A}" presName="sibTrans" presStyleCnt="0"/>
      <dgm:spPr/>
    </dgm:pt>
    <dgm:pt modelId="{2BB8A638-90F3-4041-95E0-6576F32D89E3}" type="pres">
      <dgm:prSet presAssocID="{A27EEBCB-6984-4C15-B6F0-27B735F2B4E0}" presName="node" presStyleLbl="alignAccFollowNode1" presStyleIdx="17" presStyleCnt="18">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8640D906-6D90-46F5-A549-4F071EDC525B}" srcId="{60CC8BA2-67B8-4B5C-8F83-24E2D147DDF5}" destId="{6CAE84A3-5291-4F09-9834-F24060A9F0B1}" srcOrd="0" destOrd="0" parTransId="{B95147BD-D846-4A8C-92DB-73A084F65B44}" sibTransId="{45948C87-89E7-4E8B-9743-54102AC6245B}"/>
    <dgm:cxn modelId="{64112C09-0440-4778-81F4-727FA9F9691C}" srcId="{60CC8BA2-67B8-4B5C-8F83-24E2D147DDF5}" destId="{3D26C7C6-8483-443E-A4D0-39EB2E9F1734}" srcOrd="2" destOrd="0" parTransId="{784EF831-4F13-4FD2-9A95-E0A2C4428672}" sibTransId="{01187B68-E2E8-4B94-97F8-2AC1B6A5D762}"/>
    <dgm:cxn modelId="{A49A260C-AA3B-425C-A528-9DA30D7BC691}" type="presOf" srcId="{3D26C7C6-8483-443E-A4D0-39EB2E9F1734}" destId="{A0DBC11E-E766-4152-BC15-BC0009251B6A}" srcOrd="0" destOrd="0" presId="urn:microsoft.com/office/officeart/2005/8/layout/lProcess3"/>
    <dgm:cxn modelId="{7A54F410-46BF-4BC4-8EA6-774AA8D2CE63}" srcId="{A026A503-5385-48CD-9960-7890BC01BF17}" destId="{B62A07CB-3EFA-46D4-B983-264441964367}" srcOrd="1" destOrd="0" parTransId="{DA6DDA27-2107-4270-A3BD-1C78B27962E5}" sibTransId="{86BFB788-3F63-4576-8E20-CC6A3656E461}"/>
    <dgm:cxn modelId="{67ACB215-C547-49CC-87ED-8EE43AA7DA4F}" srcId="{FB587A40-1508-4D97-8343-8C28E6FBB468}" destId="{F23C8976-2127-4278-997D-2CDED8DEB7F2}" srcOrd="4" destOrd="0" parTransId="{C60EC84A-D43D-46D2-8A83-88B32AFBC884}" sibTransId="{7A52D734-6024-4494-86F2-45892853953A}"/>
    <dgm:cxn modelId="{78521717-9E71-41A7-B2C1-90D5FAE5A1CB}" type="presOf" srcId="{77485BA1-1EFD-426B-BD17-453AAD7439CB}" destId="{364DD1D5-65B5-427D-8048-69F9B123D620}" srcOrd="0" destOrd="0" presId="urn:microsoft.com/office/officeart/2005/8/layout/lProcess3"/>
    <dgm:cxn modelId="{31794D17-765C-417D-B10F-34A1C578BC82}" srcId="{FB587A40-1508-4D97-8343-8C28E6FBB468}" destId="{7D95A44A-ECB8-4607-AF49-B15DF5A2602D}" srcOrd="1" destOrd="0" parTransId="{1A0087B4-A96A-4FB7-B06E-A5D36C6523EF}" sibTransId="{98FD26B5-E98B-4D74-B590-8A1D7F8EA02B}"/>
    <dgm:cxn modelId="{50C4D418-E3EE-43BA-8DBE-EA09E0166175}" srcId="{60CC8BA2-67B8-4B5C-8F83-24E2D147DDF5}" destId="{C00F4E8D-2D97-4332-8A25-D515248152D2}" srcOrd="4" destOrd="0" parTransId="{8CE3F335-ECDE-4FE1-95C9-782C64482161}" sibTransId="{C3D59508-ADB3-4433-BEA0-51BEB0A8B6D4}"/>
    <dgm:cxn modelId="{9A777627-4B28-4942-99C1-64653CDB170F}" type="presOf" srcId="{27FFE990-B0C4-4FE6-A871-AE135DB78369}" destId="{16516B57-4DCC-425D-9CC5-42A917385C3E}" srcOrd="0" destOrd="0" presId="urn:microsoft.com/office/officeart/2005/8/layout/lProcess3"/>
    <dgm:cxn modelId="{47B6CD29-356F-43A1-99A4-931E915C2950}" type="presOf" srcId="{66B9B487-B0DE-49D5-B890-8F4F7B485182}" destId="{E8FE0132-567C-48E3-8786-55757C8F10C4}" srcOrd="0" destOrd="0" presId="urn:microsoft.com/office/officeart/2005/8/layout/lProcess3"/>
    <dgm:cxn modelId="{4416F82F-40A8-4740-AE37-435C6B87493B}" srcId="{E6F261A4-C73A-49D8-96F2-76C8A05FBA61}" destId="{FB587A40-1508-4D97-8343-8C28E6FBB468}" srcOrd="2" destOrd="0" parTransId="{5A4B4849-C2A4-45C8-8168-A75B29D32ADB}" sibTransId="{D50D9CFF-A1EA-4080-A317-AF76E6FFF851}"/>
    <dgm:cxn modelId="{81368935-D9C8-4FD2-94D9-578AF782F3C7}" srcId="{A026A503-5385-48CD-9960-7890BC01BF17}" destId="{B7ECE7B1-DE09-4B35-B3EF-F552934AFCE8}" srcOrd="3" destOrd="0" parTransId="{A9C9CEC0-A762-4343-9FD1-C949E5188B85}" sibTransId="{10B5F909-84D1-4EDB-9013-6CD0F76DFEA1}"/>
    <dgm:cxn modelId="{F8BA8E3A-2853-464E-89AE-903440A0A8AA}" srcId="{A026A503-5385-48CD-9960-7890BC01BF17}" destId="{66B9B487-B0DE-49D5-B890-8F4F7B485182}" srcOrd="5"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1" destOrd="0" parTransId="{987134DD-5B78-4BCA-9259-DE628B8E685E}" sibTransId="{E1A6CB3E-3E8F-47BA-95FF-025EA5275374}"/>
    <dgm:cxn modelId="{DA9B9B68-BE8F-4E0D-971E-10B1DE45F4EF}" srcId="{A026A503-5385-48CD-9960-7890BC01BF17}" destId="{C605948A-2FAA-4B2B-A55B-BAE904731737}" srcOrd="0" destOrd="0" parTransId="{4F5A3C1F-B0DE-477C-8A8C-330B6742F4A4}" sibTransId="{13EB3CF2-FEEB-4BAA-9725-6C1E3263EA03}"/>
    <dgm:cxn modelId="{E643F668-812E-447F-8ABE-B32AE9D3D453}" type="presOf" srcId="{6CAE84A3-5291-4F09-9834-F24060A9F0B1}" destId="{92DB449A-781D-438A-A28D-42D189DED613}" srcOrd="0" destOrd="0" presId="urn:microsoft.com/office/officeart/2005/8/layout/lProcess3"/>
    <dgm:cxn modelId="{6B393870-ED54-405E-974D-A62CC7C580CD}" type="presOf" srcId="{A60C9FE3-6133-4657-A514-55217A1AA855}" destId="{7249E8C8-FABD-4CA5-BBFA-E45908887436}" srcOrd="0" destOrd="0" presId="urn:microsoft.com/office/officeart/2005/8/layout/lProcess3"/>
    <dgm:cxn modelId="{2D587D55-1155-4743-A2E6-D8BB3EE53FFA}" type="presOf" srcId="{7D95A44A-ECB8-4607-AF49-B15DF5A2602D}" destId="{8F0EEA60-B1DB-420F-91B7-F24A16C0E9F6}" srcOrd="0" destOrd="0" presId="urn:microsoft.com/office/officeart/2005/8/layout/lProcess3"/>
    <dgm:cxn modelId="{9AAF8E5A-DC3B-4AFE-BF2B-0CA982D4A873}" srcId="{A026A503-5385-48CD-9960-7890BC01BF17}" destId="{81B96AF2-AF7C-4C6D-BF8F-26DA405E6181}" srcOrd="4"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5" destOrd="0" parTransId="{209BC680-4E03-4850-8AA8-C4A94E922D15}" sibTransId="{530A1608-B48A-4847-B17E-FBE47F647A54}"/>
    <dgm:cxn modelId="{12DF8CA0-2202-48D3-BFED-52239A8BF490}" srcId="{60CC8BA2-67B8-4B5C-8F83-24E2D147DDF5}" destId="{F3DB0DA9-CF9F-48FB-8A4E-B16B996859CC}" srcOrd="3"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B4C5D7C9-3B70-451E-921F-5A507669669C}" srcId="{FB587A40-1508-4D97-8343-8C28E6FBB468}" destId="{A60C9FE3-6133-4657-A514-55217A1AA855}" srcOrd="3" destOrd="0" parTransId="{48E7F69E-D617-43E7-B65A-766B6597C104}" sibTransId="{E86F0626-7479-4219-874A-CE1165407EEC}"/>
    <dgm:cxn modelId="{48EC4FCA-D306-41BD-B626-13E5643BC8EE}" type="presOf" srcId="{C605948A-2FAA-4B2B-A55B-BAE904731737}" destId="{030F83A3-E98C-4486-A756-7B7DEC40A7DD}"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A25D73CF-D3FE-4A59-90D9-D522A8290BF9}" srcId="{FB587A40-1508-4D97-8343-8C28E6FBB468}" destId="{77485BA1-1EFD-426B-BD17-453AAD7439CB}" srcOrd="2" destOrd="0" parTransId="{5F05A5CF-31E6-4A74-87AB-A1DB8C53F68F}" sibTransId="{6EB90918-DFF2-4E86-ABD3-6281C2267DD5}"/>
    <dgm:cxn modelId="{C40972D2-A95A-4B4B-BBE9-36A113D44C99}" type="presOf" srcId="{FB587A40-1508-4D97-8343-8C28E6FBB468}" destId="{F97D4733-33FE-440A-9F4A-E88411DCDC07}" srcOrd="0" destOrd="0" presId="urn:microsoft.com/office/officeart/2005/8/layout/lProcess3"/>
    <dgm:cxn modelId="{0DC9CAD7-C976-4E61-934E-63A3AC917476}" type="presOf" srcId="{F23C8976-2127-4278-997D-2CDED8DEB7F2}" destId="{1F7E2D3B-1C75-4E88-87A3-5E98A54B5AC6}" srcOrd="0" destOrd="0" presId="urn:microsoft.com/office/officeart/2005/8/layout/lProcess3"/>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2"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8AE17EF8-C7A0-4637-AF61-6768CACB5AFB}" type="presOf" srcId="{A27EEBCB-6984-4C15-B6F0-27B735F2B4E0}" destId="{2BB8A638-90F3-4041-95E0-6576F32D89E3}" srcOrd="0" destOrd="0" presId="urn:microsoft.com/office/officeart/2005/8/layout/lProcess3"/>
    <dgm:cxn modelId="{ACF7FCFB-5C7E-4ED9-9E67-B9F4B0554989}" srcId="{FB587A40-1508-4D97-8343-8C28E6FBB468}" destId="{27FFE990-B0C4-4FE6-A871-AE135DB78369}" srcOrd="0" destOrd="0" parTransId="{6FF203A5-4BE7-4F36-987F-345CD6206E3E}" sibTransId="{9B4A0989-1E62-46C2-BC62-491B074543C4}"/>
    <dgm:cxn modelId="{9F384BFF-2582-42FB-AA89-C1DF4BFA2F8A}" type="presOf" srcId="{F3DB0DA9-CF9F-48FB-8A4E-B16B996859CC}" destId="{1D04C8CC-6EFD-46D0-BB1C-70E60B93513A}" srcOrd="0" destOrd="0" presId="urn:microsoft.com/office/officeart/2005/8/layout/lProcess3"/>
    <dgm:cxn modelId="{6583D4FF-13F4-4B7E-BB4B-A9938DD6AED1}" srcId="{FB587A40-1508-4D97-8343-8C28E6FBB468}" destId="{A27EEBCB-6984-4C15-B6F0-27B735F2B4E0}" srcOrd="5" destOrd="0" parTransId="{E2E6D716-159D-40AE-A33B-539431203709}" sibTransId="{282F0C65-4156-4839-9CD8-F5A3B3C83326}"/>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CEBA6DA9-4893-4B48-BA41-699721241277}" type="presParOf" srcId="{7AFA005C-24EB-425D-AA59-994D2BCA7851}" destId="{D708EA36-7A62-4200-AA2D-F87AB641D79B}" srcOrd="1" destOrd="0" presId="urn:microsoft.com/office/officeart/2005/8/layout/lProcess3"/>
    <dgm:cxn modelId="{897E52B9-769B-411C-8153-CAB01EFCF4A8}" type="presParOf" srcId="{7AFA005C-24EB-425D-AA59-994D2BCA7851}" destId="{030F83A3-E98C-4486-A756-7B7DEC40A7DD}" srcOrd="2" destOrd="0" presId="urn:microsoft.com/office/officeart/2005/8/layout/lProcess3"/>
    <dgm:cxn modelId="{0102FA0A-21ED-43C1-8F5D-1F46E440CC9E}" type="presParOf" srcId="{7AFA005C-24EB-425D-AA59-994D2BCA7851}" destId="{72EC78BA-7662-4A22-A807-ED0657C37165}" srcOrd="3" destOrd="0" presId="urn:microsoft.com/office/officeart/2005/8/layout/lProcess3"/>
    <dgm:cxn modelId="{E2308CAE-70E6-43D3-8275-F70F4D1B821B}" type="presParOf" srcId="{7AFA005C-24EB-425D-AA59-994D2BCA7851}" destId="{9CF25B67-FA31-41AE-B4EF-CCD2718072B3}" srcOrd="4" destOrd="0" presId="urn:microsoft.com/office/officeart/2005/8/layout/lProcess3"/>
    <dgm:cxn modelId="{5C1B932C-235D-4F1A-9AE4-FBE0C0741DCC}" type="presParOf" srcId="{7AFA005C-24EB-425D-AA59-994D2BCA7851}" destId="{CF2A569A-A5DD-47B4-A8A4-2F55658E3B6D}" srcOrd="5" destOrd="0" presId="urn:microsoft.com/office/officeart/2005/8/layout/lProcess3"/>
    <dgm:cxn modelId="{5299EB9E-9611-4C80-9C7F-367781513D99}" type="presParOf" srcId="{7AFA005C-24EB-425D-AA59-994D2BCA7851}" destId="{ED3FB9E6-0BAA-4702-B8CA-920A66AFC02F}" srcOrd="6" destOrd="0" presId="urn:microsoft.com/office/officeart/2005/8/layout/lProcess3"/>
    <dgm:cxn modelId="{0EF39BA9-C529-41BC-BE86-013E7B281E2A}" type="presParOf" srcId="{7AFA005C-24EB-425D-AA59-994D2BCA7851}" destId="{3121E4B7-F3A0-42BA-AD82-8FDFE22D4AC6}" srcOrd="7" destOrd="0" presId="urn:microsoft.com/office/officeart/2005/8/layout/lProcess3"/>
    <dgm:cxn modelId="{817DB98E-76EC-43EC-A793-E225BB82EC22}" type="presParOf" srcId="{7AFA005C-24EB-425D-AA59-994D2BCA7851}" destId="{9783D7DD-9297-4972-8B5A-E2BE8A6720CA}" srcOrd="8" destOrd="0" presId="urn:microsoft.com/office/officeart/2005/8/layout/lProcess3"/>
    <dgm:cxn modelId="{75D27544-63C6-4DC2-A041-AA8A2E6ECBCE}" type="presParOf" srcId="{7AFA005C-24EB-425D-AA59-994D2BCA7851}" destId="{595C3FF3-1CE2-4857-857D-24F27C9A7A01}" srcOrd="9" destOrd="0" presId="urn:microsoft.com/office/officeart/2005/8/layout/lProcess3"/>
    <dgm:cxn modelId="{D24CC84D-6544-41E1-BD00-53D4E9FEA428}" type="presParOf" srcId="{7AFA005C-24EB-425D-AA59-994D2BCA7851}" destId="{1A805A11-34B2-4547-9AC3-D38054F91140}" srcOrd="10" destOrd="0" presId="urn:microsoft.com/office/officeart/2005/8/layout/lProcess3"/>
    <dgm:cxn modelId="{E11EDD92-E80E-4A97-B356-E8B1E0B92849}" type="presParOf" srcId="{7AFA005C-24EB-425D-AA59-994D2BCA7851}" destId="{170943A2-07FD-4ED6-B58F-4E78324785DA}" srcOrd="11" destOrd="0" presId="urn:microsoft.com/office/officeart/2005/8/layout/lProcess3"/>
    <dgm:cxn modelId="{6B8782E3-72D3-4D4A-B59B-56F04F4C3BBE}" type="presParOf" srcId="{7AFA005C-24EB-425D-AA59-994D2BCA7851}" destId="{E8FE0132-567C-48E3-8786-55757C8F10C4}" srcOrd="12"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78A4DFE0-3E3D-412F-91B7-397372F67513}" type="presParOf" srcId="{46382AFD-95FC-4564-A1AD-95C56098B8F7}" destId="{7F584C56-36FB-49EB-9E33-580FE0F9D74F}" srcOrd="1" destOrd="0" presId="urn:microsoft.com/office/officeart/2005/8/layout/lProcess3"/>
    <dgm:cxn modelId="{E6D22A62-91AC-41A2-A4F3-C95CF47ED007}" type="presParOf" srcId="{46382AFD-95FC-4564-A1AD-95C56098B8F7}" destId="{92DB449A-781D-438A-A28D-42D189DED613}" srcOrd="2" destOrd="0" presId="urn:microsoft.com/office/officeart/2005/8/layout/lProcess3"/>
    <dgm:cxn modelId="{587AE5F1-06B4-4C24-8317-F9F11E51EE01}" type="presParOf" srcId="{46382AFD-95FC-4564-A1AD-95C56098B8F7}" destId="{0F7C95B5-E5B1-4E7D-B972-6B77B705C56A}" srcOrd="3" destOrd="0" presId="urn:microsoft.com/office/officeart/2005/8/layout/lProcess3"/>
    <dgm:cxn modelId="{057BC54A-0FEE-4424-895F-E36957DC6163}" type="presParOf" srcId="{46382AFD-95FC-4564-A1AD-95C56098B8F7}" destId="{58F31D09-ADCD-4DC9-8221-D1D9CF855BAD}" srcOrd="4" destOrd="0" presId="urn:microsoft.com/office/officeart/2005/8/layout/lProcess3"/>
    <dgm:cxn modelId="{0782C071-60FB-4447-91C9-27630AD1C5CA}" type="presParOf" srcId="{46382AFD-95FC-4564-A1AD-95C56098B8F7}" destId="{F926AF39-E7BE-4E11-9D22-C62449B0D6F5}" srcOrd="5" destOrd="0" presId="urn:microsoft.com/office/officeart/2005/8/layout/lProcess3"/>
    <dgm:cxn modelId="{6C78DA26-2E38-40AA-B8D7-2022B2D87269}" type="presParOf" srcId="{46382AFD-95FC-4564-A1AD-95C56098B8F7}" destId="{A0DBC11E-E766-4152-BC15-BC0009251B6A}" srcOrd="6" destOrd="0" presId="urn:microsoft.com/office/officeart/2005/8/layout/lProcess3"/>
    <dgm:cxn modelId="{B5BDE1A4-09E6-4ADF-A8E6-4434CD92E6A8}" type="presParOf" srcId="{46382AFD-95FC-4564-A1AD-95C56098B8F7}" destId="{D053A473-5939-4ED2-A2EB-08F6EA663B63}" srcOrd="7" destOrd="0" presId="urn:microsoft.com/office/officeart/2005/8/layout/lProcess3"/>
    <dgm:cxn modelId="{12E0D335-A7F9-4071-A638-35E7FC2D0473}" type="presParOf" srcId="{46382AFD-95FC-4564-A1AD-95C56098B8F7}" destId="{1D04C8CC-6EFD-46D0-BB1C-70E60B93513A}" srcOrd="8" destOrd="0" presId="urn:microsoft.com/office/officeart/2005/8/layout/lProcess3"/>
    <dgm:cxn modelId="{65D41940-96AE-4BB8-8400-1448CC4346E4}" type="presParOf" srcId="{46382AFD-95FC-4564-A1AD-95C56098B8F7}" destId="{ACF4825D-F322-47DC-8BCE-FA35DB4619D6}" srcOrd="9" destOrd="0" presId="urn:microsoft.com/office/officeart/2005/8/layout/lProcess3"/>
    <dgm:cxn modelId="{FE60B3C6-AADC-4DA9-B0A5-9F1EBF1B9B06}" type="presParOf" srcId="{46382AFD-95FC-4564-A1AD-95C56098B8F7}" destId="{13C9CD02-249A-42BA-89EA-061EDDC086D7}" srcOrd="10" destOrd="0" presId="urn:microsoft.com/office/officeart/2005/8/layout/lProcess3"/>
    <dgm:cxn modelId="{F48B0157-5ACA-40C7-B996-536DB78C2FEA}" type="presParOf" srcId="{46382AFD-95FC-4564-A1AD-95C56098B8F7}" destId="{412FD5E1-6105-4277-8502-29E6E714906A}" srcOrd="11" destOrd="0" presId="urn:microsoft.com/office/officeart/2005/8/layout/lProcess3"/>
    <dgm:cxn modelId="{45DA59A1-0878-4066-8783-79CD9368F04F}" type="presParOf" srcId="{46382AFD-95FC-4564-A1AD-95C56098B8F7}" destId="{10D62D9A-AAE0-458C-9095-B2BB7F451ACB}" srcOrd="12" destOrd="0" presId="urn:microsoft.com/office/officeart/2005/8/layout/lProcess3"/>
    <dgm:cxn modelId="{03749785-A0FE-4031-8EF3-B97CCF7144EA}" type="presParOf" srcId="{AABEC067-B163-4BF4-8A60-BD081BE42642}" destId="{BD4AB627-12C3-4C14-A36D-18F53B40C0C2}" srcOrd="3" destOrd="0" presId="urn:microsoft.com/office/officeart/2005/8/layout/lProcess3"/>
    <dgm:cxn modelId="{FA29E224-8962-446E-9E6F-766B5E85182A}" type="presParOf" srcId="{AABEC067-B163-4BF4-8A60-BD081BE42642}" destId="{74599312-6AB4-4211-AF7A-02BC49294BED}" srcOrd="4" destOrd="0" presId="urn:microsoft.com/office/officeart/2005/8/layout/lProcess3"/>
    <dgm:cxn modelId="{8CB96936-1F9C-4925-8D87-7127EAFB9D99}" type="presParOf" srcId="{74599312-6AB4-4211-AF7A-02BC49294BED}" destId="{F97D4733-33FE-440A-9F4A-E88411DCDC07}" srcOrd="0" destOrd="0" presId="urn:microsoft.com/office/officeart/2005/8/layout/lProcess3"/>
    <dgm:cxn modelId="{10D50D15-0BDE-4468-B2B4-D890B00A91C8}" type="presParOf" srcId="{74599312-6AB4-4211-AF7A-02BC49294BED}" destId="{D1ACCDF2-9E7F-476A-9D20-0DAF44D09DEF}" srcOrd="1" destOrd="0" presId="urn:microsoft.com/office/officeart/2005/8/layout/lProcess3"/>
    <dgm:cxn modelId="{90FDC069-A7BE-4BB6-8F71-92B1A88D762E}" type="presParOf" srcId="{74599312-6AB4-4211-AF7A-02BC49294BED}" destId="{16516B57-4DCC-425D-9CC5-42A917385C3E}" srcOrd="2" destOrd="0" presId="urn:microsoft.com/office/officeart/2005/8/layout/lProcess3"/>
    <dgm:cxn modelId="{78FC66FF-2C9A-4373-90F6-1940EB779A60}" type="presParOf" srcId="{74599312-6AB4-4211-AF7A-02BC49294BED}" destId="{FA023B04-684B-4501-97AF-9EDA18AA5790}" srcOrd="3" destOrd="0" presId="urn:microsoft.com/office/officeart/2005/8/layout/lProcess3"/>
    <dgm:cxn modelId="{59094907-C405-4557-889C-18FAAC6943E9}" type="presParOf" srcId="{74599312-6AB4-4211-AF7A-02BC49294BED}" destId="{8F0EEA60-B1DB-420F-91B7-F24A16C0E9F6}" srcOrd="4" destOrd="0" presId="urn:microsoft.com/office/officeart/2005/8/layout/lProcess3"/>
    <dgm:cxn modelId="{472FFE65-2DB7-4664-9EE2-C563E94B388E}" type="presParOf" srcId="{74599312-6AB4-4211-AF7A-02BC49294BED}" destId="{FA44E0AB-6FD0-49BB-B31B-83A7AF9B57C9}" srcOrd="5" destOrd="0" presId="urn:microsoft.com/office/officeart/2005/8/layout/lProcess3"/>
    <dgm:cxn modelId="{8C3ACE92-A6CB-4C11-BAEE-2EE1DB633B21}" type="presParOf" srcId="{74599312-6AB4-4211-AF7A-02BC49294BED}" destId="{364DD1D5-65B5-427D-8048-69F9B123D620}" srcOrd="6" destOrd="0" presId="urn:microsoft.com/office/officeart/2005/8/layout/lProcess3"/>
    <dgm:cxn modelId="{0227F734-30B6-4632-BBBD-1AC104D8FF95}" type="presParOf" srcId="{74599312-6AB4-4211-AF7A-02BC49294BED}" destId="{0389FC13-632C-46F0-8605-F8B130B01B47}" srcOrd="7" destOrd="0" presId="urn:microsoft.com/office/officeart/2005/8/layout/lProcess3"/>
    <dgm:cxn modelId="{9073BBF4-C443-4536-A257-F735FE271A5F}" type="presParOf" srcId="{74599312-6AB4-4211-AF7A-02BC49294BED}" destId="{7249E8C8-FABD-4CA5-BBFA-E45908887436}" srcOrd="8" destOrd="0" presId="urn:microsoft.com/office/officeart/2005/8/layout/lProcess3"/>
    <dgm:cxn modelId="{0FFC18E3-BF01-45C5-86D4-6F59C4679AE7}" type="presParOf" srcId="{74599312-6AB4-4211-AF7A-02BC49294BED}" destId="{00F72B38-8AC4-4DF1-AA7B-BB2A489ECE83}" srcOrd="9" destOrd="0" presId="urn:microsoft.com/office/officeart/2005/8/layout/lProcess3"/>
    <dgm:cxn modelId="{86F4ABCE-B7B3-452A-88BF-FE4450850404}" type="presParOf" srcId="{74599312-6AB4-4211-AF7A-02BC49294BED}" destId="{1F7E2D3B-1C75-4E88-87A3-5E98A54B5AC6}" srcOrd="10" destOrd="0" presId="urn:microsoft.com/office/officeart/2005/8/layout/lProcess3"/>
    <dgm:cxn modelId="{D20C2889-0321-40C4-AF06-B1AC77256BBD}" type="presParOf" srcId="{74599312-6AB4-4211-AF7A-02BC49294BED}" destId="{53E9F6E5-248F-45F1-A9AB-C47D75EC7068}" srcOrd="11" destOrd="0" presId="urn:microsoft.com/office/officeart/2005/8/layout/lProcess3"/>
    <dgm:cxn modelId="{87337C10-D6DE-4D55-8878-CDC5F37BA04F}" type="presParOf" srcId="{74599312-6AB4-4211-AF7A-02BC49294BED}" destId="{2BB8A638-90F3-4041-95E0-6576F32D89E3}" srcOrd="12" destOrd="0" presId="urn:microsoft.com/office/officeart/2005/8/layout/lProcess3"/>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D674DB68-C40A-4650-9236-EB4C2EA1A0A0}"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F3284D9-050B-4EF3-9AFE-CFF32691E21B}">
      <dgm:prSet phldrT="[Text]" custT="1"/>
      <dgm: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gm:spPr>
      <dgm:t>
        <a:bodyPr/>
        <a:lstStyle/>
        <a:p>
          <a:r>
            <a:rPr lang="cs-CZ" sz="1100" baseline="0">
              <a:solidFill>
                <a:sysClr val="windowText" lastClr="000000"/>
              </a:solidFill>
              <a:latin typeface="Calibri" panose="020F0502020204030204"/>
              <a:ea typeface="+mn-ea"/>
              <a:cs typeface="+mn-cs"/>
            </a:rPr>
            <a:t>Celkové schválené výdaje programu hrazené ze státního rozpočtu včetně EU</a:t>
          </a:r>
        </a:p>
        <a:p>
          <a:r>
            <a:rPr lang="cs-CZ" sz="1100" baseline="0">
              <a:solidFill>
                <a:sysClr val="windowText" lastClr="000000"/>
              </a:solidFill>
              <a:latin typeface="Calibri" panose="020F0502020204030204"/>
              <a:ea typeface="+mn-ea"/>
              <a:cs typeface="+mn-cs"/>
            </a:rPr>
            <a:t> činí </a:t>
          </a:r>
          <a:r>
            <a:rPr lang="cs-CZ" sz="1100" b="1" baseline="0">
              <a:solidFill>
                <a:sysClr val="windowText" lastClr="000000"/>
              </a:solidFill>
              <a:latin typeface="Calibri" panose="020F0502020204030204"/>
              <a:ea typeface="+mn-ea"/>
              <a:cs typeface="+mn-cs"/>
            </a:rPr>
            <a:t>1 486 445  tis. Kč</a:t>
          </a:r>
        </a:p>
      </dgm:t>
    </dgm:pt>
    <dgm:pt modelId="{B1C7ED98-A319-4B73-8667-A9BC9F6D8328}" type="parTrans" cxnId="{6A00B773-E43C-4AB5-B9E3-0344D4A05F45}">
      <dgm:prSet/>
      <dgm:spPr/>
      <dgm:t>
        <a:bodyPr/>
        <a:lstStyle/>
        <a:p>
          <a:endParaRPr lang="cs-CZ"/>
        </a:p>
      </dgm:t>
    </dgm:pt>
    <dgm:pt modelId="{69029C21-5BE1-497A-A793-F9A74341301B}" type="sibTrans" cxnId="{6A00B773-E43C-4AB5-B9E3-0344D4A05F45}">
      <dgm:prSet/>
      <dgm:spPr/>
      <dgm:t>
        <a:bodyPr/>
        <a:lstStyle/>
        <a:p>
          <a:endParaRPr lang="cs-CZ"/>
        </a:p>
      </dgm:t>
    </dgm:pt>
    <dgm:pt modelId="{C3F872C0-9A7E-4486-9085-68D028B70349}">
      <dgm:prSet phldrT="[Text]" custT="1"/>
      <dgm: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nSpc>
              <a:spcPct val="100000"/>
            </a:lnSpc>
            <a:spcAft>
              <a:spcPts val="0"/>
            </a:spcAft>
          </a:pPr>
          <a:r>
            <a:rPr lang="cs-CZ" sz="1100" b="1">
              <a:solidFill>
                <a:srgbClr val="5B9BD5">
                  <a:lumMod val="75000"/>
                </a:srgbClr>
              </a:solidFill>
              <a:latin typeface="Calibri" panose="020F0502020204030204"/>
              <a:ea typeface="+mn-ea"/>
              <a:cs typeface="+mn-cs"/>
            </a:rPr>
            <a:t>Celkové skutečně čerpané prostředky státního rozpočtu včetně EU k 31.12.2023 činí               162 399 tis. Kč</a:t>
          </a:r>
        </a:p>
      </dgm:t>
    </dgm:pt>
    <dgm:pt modelId="{4E6638AA-ED1E-42BE-9714-F54837DB1B36}" type="parTrans" cxnId="{9DBE886C-31C6-4173-ACDD-D2D998B475DC}">
      <dgm:prSet/>
      <dgm:spPr/>
      <dgm:t>
        <a:bodyPr/>
        <a:lstStyle/>
        <a:p>
          <a:endParaRPr lang="cs-CZ"/>
        </a:p>
      </dgm:t>
    </dgm:pt>
    <dgm:pt modelId="{1BF85506-A730-4145-BBA5-282500B4621F}" type="sibTrans" cxnId="{9DBE886C-31C6-4173-ACDD-D2D998B475DC}">
      <dgm:prSet/>
      <dgm:spPr/>
      <dgm:t>
        <a:bodyPr/>
        <a:lstStyle/>
        <a:p>
          <a:endParaRPr lang="cs-CZ"/>
        </a:p>
      </dgm:t>
    </dgm:pt>
    <dgm:pt modelId="{AEAAC497-982E-4288-B55D-D9CB08E8A1A2}" type="pres">
      <dgm:prSet presAssocID="{D674DB68-C40A-4650-9236-EB4C2EA1A0A0}" presName="Name0" presStyleCnt="0">
        <dgm:presLayoutVars>
          <dgm:chPref val="3"/>
          <dgm:dir/>
          <dgm:animLvl val="lvl"/>
          <dgm:resizeHandles/>
        </dgm:presLayoutVars>
      </dgm:prSet>
      <dgm:spPr/>
    </dgm:pt>
    <dgm:pt modelId="{174483F3-521D-456F-9393-24965CDEC63F}" type="pres">
      <dgm:prSet presAssocID="{8F3284D9-050B-4EF3-9AFE-CFF32691E21B}" presName="horFlow" presStyleCnt="0"/>
      <dgm:spPr/>
    </dgm:pt>
    <dgm:pt modelId="{02DF64E2-7887-4C75-9AFC-DDEF6E290B10}" type="pres">
      <dgm:prSet presAssocID="{8F3284D9-050B-4EF3-9AFE-CFF32691E21B}" presName="bigChev" presStyleLbl="node1" presStyleIdx="0" presStyleCnt="2" custScaleX="717338" custScaleY="143925" custLinFactNeighborX="-6048" custLinFactNeighborY="-294"/>
      <dgm:spPr/>
    </dgm:pt>
    <dgm:pt modelId="{DB7F2370-6DC3-4C33-9F59-A5A46DC3CDEA}" type="pres">
      <dgm:prSet presAssocID="{8F3284D9-050B-4EF3-9AFE-CFF32691E21B}" presName="vSp" presStyleCnt="0"/>
      <dgm:spPr/>
    </dgm:pt>
    <dgm:pt modelId="{AE271E2F-B2D4-456E-9A34-BF47E80978C2}" type="pres">
      <dgm:prSet presAssocID="{C3F872C0-9A7E-4486-9085-68D028B70349}" presName="horFlow" presStyleCnt="0"/>
      <dgm:spPr/>
    </dgm:pt>
    <dgm:pt modelId="{49971915-8BC1-462C-8559-1A86CA9363E7}" type="pres">
      <dgm:prSet presAssocID="{C3F872C0-9A7E-4486-9085-68D028B70349}" presName="bigChev" presStyleLbl="node1" presStyleIdx="1" presStyleCnt="2" custScaleX="717338" custScaleY="153947"/>
      <dgm:spPr/>
    </dgm:pt>
  </dgm:ptLst>
  <dgm:cxnLst>
    <dgm:cxn modelId="{56ADB41B-D9DC-4FF6-9255-222CDC91D36D}" type="presOf" srcId="{D674DB68-C40A-4650-9236-EB4C2EA1A0A0}" destId="{AEAAC497-982E-4288-B55D-D9CB08E8A1A2}" srcOrd="0" destOrd="0" presId="urn:microsoft.com/office/officeart/2005/8/layout/lProcess3"/>
    <dgm:cxn modelId="{9DBE886C-31C6-4173-ACDD-D2D998B475DC}" srcId="{D674DB68-C40A-4650-9236-EB4C2EA1A0A0}" destId="{C3F872C0-9A7E-4486-9085-68D028B70349}" srcOrd="1" destOrd="0" parTransId="{4E6638AA-ED1E-42BE-9714-F54837DB1B36}" sibTransId="{1BF85506-A730-4145-BBA5-282500B4621F}"/>
    <dgm:cxn modelId="{6A00B773-E43C-4AB5-B9E3-0344D4A05F45}" srcId="{D674DB68-C40A-4650-9236-EB4C2EA1A0A0}" destId="{8F3284D9-050B-4EF3-9AFE-CFF32691E21B}" srcOrd="0" destOrd="0" parTransId="{B1C7ED98-A319-4B73-8667-A9BC9F6D8328}" sibTransId="{69029C21-5BE1-497A-A793-F9A74341301B}"/>
    <dgm:cxn modelId="{70DBBC57-29AB-4A5E-B6CE-B0151CA96CFF}" type="presOf" srcId="{8F3284D9-050B-4EF3-9AFE-CFF32691E21B}" destId="{02DF64E2-7887-4C75-9AFC-DDEF6E290B10}" srcOrd="0" destOrd="0" presId="urn:microsoft.com/office/officeart/2005/8/layout/lProcess3"/>
    <dgm:cxn modelId="{86028AD3-C279-47DD-BDB7-76D5CAA00895}" type="presOf" srcId="{C3F872C0-9A7E-4486-9085-68D028B70349}" destId="{49971915-8BC1-462C-8559-1A86CA9363E7}" srcOrd="0" destOrd="0" presId="urn:microsoft.com/office/officeart/2005/8/layout/lProcess3"/>
    <dgm:cxn modelId="{31451605-9197-4165-BB36-55E96C769D24}" type="presParOf" srcId="{AEAAC497-982E-4288-B55D-D9CB08E8A1A2}" destId="{174483F3-521D-456F-9393-24965CDEC63F}" srcOrd="0" destOrd="0" presId="urn:microsoft.com/office/officeart/2005/8/layout/lProcess3"/>
    <dgm:cxn modelId="{3944A1AB-7654-44D8-A9C3-027E9C7CC4D7}" type="presParOf" srcId="{174483F3-521D-456F-9393-24965CDEC63F}" destId="{02DF64E2-7887-4C75-9AFC-DDEF6E290B10}" srcOrd="0" destOrd="0" presId="urn:microsoft.com/office/officeart/2005/8/layout/lProcess3"/>
    <dgm:cxn modelId="{EF8BF69C-3EC8-4F35-881C-B6BD023057FB}" type="presParOf" srcId="{AEAAC497-982E-4288-B55D-D9CB08E8A1A2}" destId="{DB7F2370-6DC3-4C33-9F59-A5A46DC3CDEA}" srcOrd="1" destOrd="0" presId="urn:microsoft.com/office/officeart/2005/8/layout/lProcess3"/>
    <dgm:cxn modelId="{A8E20D06-CB83-4FDB-884D-B99CE1F11C3C}" type="presParOf" srcId="{AEAAC497-982E-4288-B55D-D9CB08E8A1A2}" destId="{AE271E2F-B2D4-456E-9A34-BF47E80978C2}" srcOrd="2" destOrd="0" presId="urn:microsoft.com/office/officeart/2005/8/layout/lProcess3"/>
    <dgm:cxn modelId="{E19B8E62-02AD-41F5-9A0D-AAF857015A96}" type="presParOf" srcId="{AE271E2F-B2D4-456E-9A34-BF47E80978C2}" destId="{49971915-8BC1-462C-8559-1A86CA9363E7}" srcOrd="0" destOrd="0" presId="urn:microsoft.com/office/officeart/2005/8/layout/lProcess3"/>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000">
              <a:solidFill>
                <a:sysClr val="windowText" lastClr="000000"/>
              </a:solidFill>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50">
              <a:solidFill>
                <a:sysClr val="windowText" lastClr="000000">
                  <a:hueOff val="0"/>
                  <a:satOff val="0"/>
                  <a:lumOff val="0"/>
                  <a:alphaOff val="0"/>
                </a:sysClr>
              </a:solidFill>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000">
              <a:solidFill>
                <a:sysClr val="windowText" lastClr="000000"/>
              </a:solidFill>
              <a:latin typeface="Calibri" panose="020F0502020204030204"/>
              <a:ea typeface="+mn-ea"/>
              <a:cs typeface="+mn-cs"/>
            </a:rPr>
            <a:t>Skutečnost SR v tis. Kč</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29 889</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FB587A40-1508-4D97-8343-8C28E6FBB468}">
      <dgm:prSet phldrT="[Text]" custT="1"/>
      <dgm:spPr>
        <a:xfrm>
          <a:off x="39171" y="913502"/>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000">
              <a:solidFill>
                <a:sysClr val="windowText" lastClr="000000"/>
              </a:solidFill>
              <a:latin typeface="Calibri" panose="020F0502020204030204"/>
              <a:ea typeface="+mn-ea"/>
              <a:cs typeface="+mn-cs"/>
            </a:rPr>
            <a:t>Skutečnost EU v tis. Kč</a:t>
          </a:r>
        </a:p>
      </dgm:t>
    </dgm:pt>
    <dgm:pt modelId="{5A4B4849-C2A4-45C8-8168-A75B29D32ADB}" type="parTrans" cxnId="{4416F82F-40A8-4740-AE37-435C6B87493B}">
      <dgm:prSet/>
      <dgm:spPr/>
      <dgm:t>
        <a:bodyPr/>
        <a:lstStyle/>
        <a:p>
          <a:endParaRPr lang="cs-CZ"/>
        </a:p>
      </dgm:t>
    </dgm:pt>
    <dgm:pt modelId="{D50D9CFF-A1EA-4080-A317-AF76E6FFF851}" type="sibTrans" cxnId="{4416F82F-40A8-4740-AE37-435C6B87493B}">
      <dgm:prSet/>
      <dgm:spPr/>
      <dgm:t>
        <a:bodyPr/>
        <a:lstStyle/>
        <a:p>
          <a:endParaRPr lang="cs-CZ"/>
        </a:p>
      </dgm:t>
    </dgm:pt>
    <dgm:pt modelId="{F23C8976-2127-4278-997D-2CDED8DEB7F2}">
      <dgm:prSet phldrT="[Text]" custT="1"/>
      <dgm:spPr>
        <a:xfrm>
          <a:off x="3768406"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C60EC84A-D43D-46D2-8A83-88B32AFBC884}" type="parTrans" cxnId="{67ACB215-C547-49CC-87ED-8EE43AA7DA4F}">
      <dgm:prSet/>
      <dgm:spPr/>
      <dgm:t>
        <a:bodyPr/>
        <a:lstStyle/>
        <a:p>
          <a:endParaRPr lang="cs-CZ"/>
        </a:p>
      </dgm:t>
    </dgm:pt>
    <dgm:pt modelId="{7A52D734-6024-4494-86F2-45892853953A}" type="sibTrans" cxnId="{67ACB215-C547-49CC-87ED-8EE43AA7DA4F}">
      <dgm:prSet/>
      <dgm:spPr/>
      <dgm:t>
        <a:bodyPr/>
        <a:lstStyle/>
        <a:p>
          <a:endParaRPr lang="cs-CZ"/>
        </a:p>
      </dgm:t>
    </dgm:pt>
    <dgm:pt modelId="{F3DB0DA9-CF9F-48FB-8A4E-B16B996859CC}">
      <dgm:prSet custT="1"/>
      <dgm:spPr>
        <a:xfrm>
          <a:off x="305383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6CAE84A3-5291-4F09-9834-F24060A9F0B1}">
      <dgm:prSet custT="1"/>
      <dgm:spPr>
        <a:xfrm>
          <a:off x="91011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B95147BD-D846-4A8C-92DB-73A084F65B44}" type="parTrans" cxnId="{8640D906-6D90-46F5-A549-4F071EDC525B}">
      <dgm:prSet/>
      <dgm:spPr/>
      <dgm:t>
        <a:bodyPr/>
        <a:lstStyle/>
        <a:p>
          <a:endParaRPr lang="cs-CZ"/>
        </a:p>
      </dgm:t>
    </dgm:pt>
    <dgm:pt modelId="{45948C87-89E7-4E8B-9743-54102AC6245B}" type="sibTrans" cxnId="{8640D906-6D90-46F5-A549-4F071EDC525B}">
      <dgm:prSet/>
      <dgm:spPr/>
      <dgm:t>
        <a:bodyPr/>
        <a:lstStyle/>
        <a:p>
          <a:endParaRPr lang="cs-CZ"/>
        </a:p>
      </dgm:t>
    </dgm:pt>
    <dgm:pt modelId="{3D26C7C6-8483-443E-A4D0-39EB2E9F1734}">
      <dgm:prSet custT="1"/>
      <dgm:spPr>
        <a:xfrm>
          <a:off x="2339260"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784EF831-4F13-4FD2-9A95-E0A2C4428672}" type="parTrans" cxnId="{64112C09-0440-4778-81F4-727FA9F9691C}">
      <dgm:prSet/>
      <dgm:spPr/>
      <dgm:t>
        <a:bodyPr/>
        <a:lstStyle/>
        <a:p>
          <a:endParaRPr lang="cs-CZ"/>
        </a:p>
      </dgm:t>
    </dgm:pt>
    <dgm:pt modelId="{01187B68-E2E8-4B94-97F8-2AC1B6A5D762}" type="sibTrans" cxnId="{64112C09-0440-4778-81F4-727FA9F9691C}">
      <dgm:prSet/>
      <dgm:spPr/>
      <dgm:t>
        <a:bodyPr/>
        <a:lstStyle/>
        <a:p>
          <a:endParaRPr lang="cs-CZ"/>
        </a:p>
      </dgm:t>
    </dgm:pt>
    <dgm:pt modelId="{C605948A-2FAA-4B2B-A55B-BAE904731737}">
      <dgm:prSet custT="1"/>
      <dgm:spPr>
        <a:xfrm>
          <a:off x="91011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před 2019</a:t>
          </a:r>
        </a:p>
      </dgm:t>
    </dgm:pt>
    <dgm:pt modelId="{4F5A3C1F-B0DE-477C-8A8C-330B6742F4A4}" type="parTrans" cxnId="{DA9B9B68-BE8F-4E0D-971E-10B1DE45F4EF}">
      <dgm:prSet/>
      <dgm:spPr/>
      <dgm:t>
        <a:bodyPr/>
        <a:lstStyle/>
        <a:p>
          <a:endParaRPr lang="cs-CZ"/>
        </a:p>
      </dgm:t>
    </dgm:pt>
    <dgm:pt modelId="{13EB3CF2-FEEB-4BAA-9725-6C1E3263EA03}" type="sibTrans" cxnId="{DA9B9B68-BE8F-4E0D-971E-10B1DE45F4EF}">
      <dgm:prSet/>
      <dgm:spPr/>
      <dgm:t>
        <a:bodyPr/>
        <a:lstStyle/>
        <a:p>
          <a:endParaRPr lang="cs-CZ"/>
        </a:p>
      </dgm:t>
    </dgm:pt>
    <dgm:pt modelId="{B7ECE7B1-DE09-4B35-B3EF-F552934AFCE8}">
      <dgm:prSet custT="1"/>
      <dgm:spPr>
        <a:xfrm>
          <a:off x="305383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50">
              <a:solidFill>
                <a:sysClr val="windowText" lastClr="000000">
                  <a:hueOff val="0"/>
                  <a:satOff val="0"/>
                  <a:lumOff val="0"/>
                  <a:alphaOff val="0"/>
                </a:sysClr>
              </a:solidFill>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2019</a:t>
          </a:r>
        </a:p>
      </dgm:t>
    </dgm:pt>
    <dgm:pt modelId="{DA6DDA27-2107-4270-A3BD-1C78B27962E5}" type="parTrans" cxnId="{7A54F410-46BF-4BC4-8EA6-774AA8D2CE63}">
      <dgm:prSet/>
      <dgm:spPr/>
      <dgm:t>
        <a:bodyPr/>
        <a:lstStyle/>
        <a:p>
          <a:endParaRPr lang="cs-CZ"/>
        </a:p>
      </dgm:t>
    </dgm:pt>
    <dgm:pt modelId="{86BFB788-3F63-4576-8E20-CC6A3656E461}" type="sibTrans" cxnId="{7A54F410-46BF-4BC4-8EA6-774AA8D2CE63}">
      <dgm:prSet/>
      <dgm:spPr/>
      <dgm:t>
        <a:bodyPr/>
        <a:lstStyle/>
        <a:p>
          <a:endParaRPr lang="cs-CZ"/>
        </a:p>
      </dgm:t>
    </dgm:pt>
    <dgm:pt modelId="{A60C9FE3-6133-4657-A514-55217A1AA855}">
      <dgm:prSet custT="1"/>
      <dgm:spPr>
        <a:xfrm>
          <a:off x="305383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48E7F69E-D617-43E7-B65A-766B6597C104}" type="parTrans" cxnId="{B4C5D7C9-3B70-451E-921F-5A507669669C}">
      <dgm:prSet/>
      <dgm:spPr/>
      <dgm:t>
        <a:bodyPr/>
        <a:lstStyle/>
        <a:p>
          <a:endParaRPr lang="cs-CZ"/>
        </a:p>
      </dgm:t>
    </dgm:pt>
    <dgm:pt modelId="{E86F0626-7479-4219-874A-CE1165407EEC}" type="sibTrans" cxnId="{B4C5D7C9-3B70-451E-921F-5A507669669C}">
      <dgm:prSet/>
      <dgm:spPr/>
      <dgm:t>
        <a:bodyPr/>
        <a:lstStyle/>
        <a:p>
          <a:endParaRPr lang="cs-CZ"/>
        </a:p>
      </dgm:t>
    </dgm:pt>
    <dgm:pt modelId="{77485BA1-1EFD-426B-BD17-453AAD7439CB}">
      <dgm:prSet custT="1"/>
      <dgm:spPr>
        <a:xfrm>
          <a:off x="2339260"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5F05A5CF-31E6-4A74-87AB-A1DB8C53F68F}" type="parTrans" cxnId="{A25D73CF-D3FE-4A59-90D9-D522A8290BF9}">
      <dgm:prSet/>
      <dgm:spPr/>
      <dgm:t>
        <a:bodyPr/>
        <a:lstStyle/>
        <a:p>
          <a:endParaRPr lang="cs-CZ"/>
        </a:p>
      </dgm:t>
    </dgm:pt>
    <dgm:pt modelId="{6EB90918-DFF2-4E86-ABD3-6281C2267DD5}" type="sibTrans" cxnId="{A25D73CF-D3FE-4A59-90D9-D522A8290BF9}">
      <dgm:prSet/>
      <dgm:spPr/>
      <dgm:t>
        <a:bodyPr/>
        <a:lstStyle/>
        <a:p>
          <a:endParaRPr lang="cs-CZ"/>
        </a:p>
      </dgm:t>
    </dgm:pt>
    <dgm:pt modelId="{7D95A44A-ECB8-4607-AF49-B15DF5A2602D}">
      <dgm:prSet custT="1"/>
      <dgm:spPr>
        <a:xfrm>
          <a:off x="1624687"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1A0087B4-A96A-4FB7-B06E-A5D36C6523EF}" type="parTrans" cxnId="{31794D17-765C-417D-B10F-34A1C578BC82}">
      <dgm:prSet/>
      <dgm:spPr/>
      <dgm:t>
        <a:bodyPr/>
        <a:lstStyle/>
        <a:p>
          <a:endParaRPr lang="cs-CZ"/>
        </a:p>
      </dgm:t>
    </dgm:pt>
    <dgm:pt modelId="{98FD26B5-E98B-4D74-B590-8A1D7F8EA02B}" type="sibTrans" cxnId="{31794D17-765C-417D-B10F-34A1C578BC82}">
      <dgm:prSet/>
      <dgm:spPr/>
      <dgm:t>
        <a:bodyPr/>
        <a:lstStyle/>
        <a:p>
          <a:endParaRPr lang="cs-CZ"/>
        </a:p>
      </dgm:t>
    </dgm:pt>
    <dgm:pt modelId="{27FFE990-B0C4-4FE6-A871-AE135DB78369}">
      <dgm:prSet custT="1"/>
      <dgm:spPr>
        <a:xfrm>
          <a:off x="91011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0</a:t>
          </a:r>
        </a:p>
      </dgm:t>
    </dgm:pt>
    <dgm:pt modelId="{9B4A0989-1E62-46C2-BC62-491B074543C4}" type="sibTrans" cxnId="{ACF7FCFB-5C7E-4ED9-9E67-B9F4B0554989}">
      <dgm:prSet/>
      <dgm:spPr/>
      <dgm:t>
        <a:bodyPr/>
        <a:lstStyle/>
        <a:p>
          <a:endParaRPr lang="cs-CZ"/>
        </a:p>
      </dgm:t>
    </dgm:pt>
    <dgm:pt modelId="{6FF203A5-4BE7-4F36-987F-345CD6206E3E}" type="parTrans" cxnId="{ACF7FCFB-5C7E-4ED9-9E67-B9F4B0554989}">
      <dgm:prSet/>
      <dgm:spPr/>
      <dgm:t>
        <a:bodyPr/>
        <a:lstStyle/>
        <a:p>
          <a:endParaRPr lang="cs-CZ"/>
        </a:p>
      </dgm:t>
    </dgm:pt>
    <dgm:pt modelId="{4E3490CF-279D-4FFD-95DB-DA170A636ACF}">
      <dgm:prSet custT="1"/>
      <dgm:spPr/>
      <dgm:t>
        <a:bodyPr/>
        <a:lstStyle/>
        <a:p>
          <a:r>
            <a:rPr lang="cs-CZ" sz="1000"/>
            <a:t>125 569</a:t>
          </a:r>
        </a:p>
      </dgm:t>
    </dgm:pt>
    <dgm:pt modelId="{20693818-144C-4472-94BB-1677936EF083}" type="parTrans" cxnId="{2AD060EB-CE41-4AEC-B5BD-64B52F0976ED}">
      <dgm:prSet/>
      <dgm:spPr/>
    </dgm:pt>
    <dgm:pt modelId="{19F4C7CA-2F2F-4844-AB5F-B24FFD7AC41F}" type="sibTrans" cxnId="{2AD060EB-CE41-4AEC-B5BD-64B52F0976ED}">
      <dgm:prSet/>
      <dgm:spPr/>
    </dgm:pt>
    <dgm:pt modelId="{A27EEBCB-6984-4C15-B6F0-27B735F2B4E0}">
      <dgm:prSet phldrT="[Text]" custT="1"/>
      <dgm:spPr>
        <a:xfrm>
          <a:off x="4482979"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000">
              <a:solidFill>
                <a:sysClr val="windowText" lastClr="000000">
                  <a:hueOff val="0"/>
                  <a:satOff val="0"/>
                  <a:lumOff val="0"/>
                  <a:alphaOff val="0"/>
                </a:sysClr>
              </a:solidFill>
              <a:latin typeface="Calibri" panose="020F0502020204030204"/>
              <a:ea typeface="+mn-ea"/>
              <a:cs typeface="+mn-cs"/>
            </a:rPr>
            <a:t>6 941 </a:t>
          </a:r>
        </a:p>
      </dgm:t>
    </dgm:pt>
    <dgm:pt modelId="{282F0C65-4156-4839-9CD8-F5A3B3C83326}" type="sibTrans" cxnId="{6583D4FF-13F4-4B7E-BB4B-A9938DD6AED1}">
      <dgm:prSet/>
      <dgm:spPr/>
      <dgm:t>
        <a:bodyPr/>
        <a:lstStyle/>
        <a:p>
          <a:endParaRPr lang="cs-CZ"/>
        </a:p>
      </dgm:t>
    </dgm:pt>
    <dgm:pt modelId="{E2E6D716-159D-40AE-A33B-539431203709}" type="parTrans" cxnId="{6583D4FF-13F4-4B7E-BB4B-A9938DD6AED1}">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3"/>
      <dgm:spPr/>
    </dgm:pt>
    <dgm:pt modelId="{D708EA36-7A62-4200-AA2D-F87AB641D79B}" type="pres">
      <dgm:prSet presAssocID="{4F5A3C1F-B0DE-477C-8A8C-330B6742F4A4}" presName="parTrans" presStyleCnt="0"/>
      <dgm:spPr/>
    </dgm:pt>
    <dgm:pt modelId="{030F83A3-E98C-4486-A756-7B7DEC40A7DD}" type="pres">
      <dgm:prSet presAssocID="{C605948A-2FAA-4B2B-A55B-BAE904731737}" presName="node" presStyleLbl="alignAccFollowNode1" presStyleIdx="0" presStyleCnt="18">
        <dgm:presLayoutVars>
          <dgm:bulletEnabled val="1"/>
        </dgm:presLayoutVars>
      </dgm:prSet>
      <dgm:spPr/>
    </dgm:pt>
    <dgm:pt modelId="{72EC78BA-7662-4A22-A807-ED0657C37165}" type="pres">
      <dgm:prSet presAssocID="{13EB3CF2-FEEB-4BAA-9725-6C1E3263EA03}" presName="sibTrans" presStyleCnt="0"/>
      <dgm:spPr/>
    </dgm:pt>
    <dgm:pt modelId="{9CF25B67-FA31-41AE-B4EF-CCD2718072B3}" type="pres">
      <dgm:prSet presAssocID="{B62A07CB-3EFA-46D4-B983-264441964367}" presName="node" presStyleLbl="alignAccFollowNode1" presStyleIdx="1" presStyleCnt="18">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2" presStyleCnt="18">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3" presStyleCnt="18">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4" presStyleCnt="18">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5" presStyleCnt="18">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3"/>
      <dgm:spPr/>
    </dgm:pt>
    <dgm:pt modelId="{7F584C56-36FB-49EB-9E33-580FE0F9D74F}" type="pres">
      <dgm:prSet presAssocID="{B95147BD-D846-4A8C-92DB-73A084F65B44}" presName="parTrans" presStyleCnt="0"/>
      <dgm:spPr/>
    </dgm:pt>
    <dgm:pt modelId="{92DB449A-781D-438A-A28D-42D189DED613}" type="pres">
      <dgm:prSet presAssocID="{6CAE84A3-5291-4F09-9834-F24060A9F0B1}" presName="node" presStyleLbl="alignAccFollowNode1" presStyleIdx="6" presStyleCnt="18">
        <dgm:presLayoutVars>
          <dgm:bulletEnabled val="1"/>
        </dgm:presLayoutVars>
      </dgm:prSet>
      <dgm:spPr/>
    </dgm:pt>
    <dgm:pt modelId="{0F7C95B5-E5B1-4E7D-B972-6B77B705C56A}" type="pres">
      <dgm:prSet presAssocID="{45948C87-89E7-4E8B-9743-54102AC6245B}" presName="sibTrans" presStyleCnt="0"/>
      <dgm:spPr/>
    </dgm:pt>
    <dgm:pt modelId="{58F31D09-ADCD-4DC9-8221-D1D9CF855BAD}" type="pres">
      <dgm:prSet presAssocID="{8745A055-D09D-4C9C-BC6F-FA2A4CB4E11F}" presName="node" presStyleLbl="alignAccFollowNode1" presStyleIdx="7" presStyleCnt="18">
        <dgm:presLayoutVars>
          <dgm:bulletEnabled val="1"/>
        </dgm:presLayoutVars>
      </dgm:prSet>
      <dgm:spPr/>
    </dgm:pt>
    <dgm:pt modelId="{F926AF39-E7BE-4E11-9D22-C62449B0D6F5}" type="pres">
      <dgm:prSet presAssocID="{E1A6CB3E-3E8F-47BA-95FF-025EA5275374}" presName="sibTrans" presStyleCnt="0"/>
      <dgm:spPr/>
    </dgm:pt>
    <dgm:pt modelId="{A0DBC11E-E766-4152-BC15-BC0009251B6A}" type="pres">
      <dgm:prSet presAssocID="{3D26C7C6-8483-443E-A4D0-39EB2E9F1734}" presName="node" presStyleLbl="alignAccFollowNode1" presStyleIdx="8" presStyleCnt="18">
        <dgm:presLayoutVars>
          <dgm:bulletEnabled val="1"/>
        </dgm:presLayoutVars>
      </dgm:prSet>
      <dgm:spPr/>
    </dgm:pt>
    <dgm:pt modelId="{D053A473-5939-4ED2-A2EB-08F6EA663B63}" type="pres">
      <dgm:prSet presAssocID="{01187B68-E2E8-4B94-97F8-2AC1B6A5D762}" presName="sibTrans" presStyleCnt="0"/>
      <dgm:spPr/>
    </dgm:pt>
    <dgm:pt modelId="{1D04C8CC-6EFD-46D0-BB1C-70E60B93513A}" type="pres">
      <dgm:prSet presAssocID="{F3DB0DA9-CF9F-48FB-8A4E-B16B996859CC}" presName="node" presStyleLbl="alignAccFollowNode1" presStyleIdx="9" presStyleCnt="18">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10" presStyleCnt="18">
        <dgm:presLayoutVars>
          <dgm:bulletEnabled val="1"/>
        </dgm:presLayoutVars>
      </dgm:prSet>
      <dgm:spPr/>
    </dgm:pt>
    <dgm:pt modelId="{B9C86CFD-4148-4323-9542-0B447FFA0B1B}" type="pres">
      <dgm:prSet presAssocID="{C3D59508-ADB3-4433-BEA0-51BEB0A8B6D4}" presName="sibTrans" presStyleCnt="0"/>
      <dgm:spPr/>
    </dgm:pt>
    <dgm:pt modelId="{B9CFE38E-C4C4-45AA-B352-74DE535247B5}" type="pres">
      <dgm:prSet presAssocID="{4E3490CF-279D-4FFD-95DB-DA170A636ACF}" presName="node" presStyleLbl="alignAccFollowNode1" presStyleIdx="11" presStyleCnt="18">
        <dgm:presLayoutVars>
          <dgm:bulletEnabled val="1"/>
        </dgm:presLayoutVars>
      </dgm:prSet>
      <dgm:spPr/>
    </dgm:pt>
    <dgm:pt modelId="{BD4AB627-12C3-4C14-A36D-18F53B40C0C2}" type="pres">
      <dgm:prSet presAssocID="{60CC8BA2-67B8-4B5C-8F83-24E2D147DDF5}" presName="vSp" presStyleCnt="0"/>
      <dgm:spPr/>
    </dgm:pt>
    <dgm:pt modelId="{74599312-6AB4-4211-AF7A-02BC49294BED}" type="pres">
      <dgm:prSet presAssocID="{FB587A40-1508-4D97-8343-8C28E6FBB468}" presName="horFlow" presStyleCnt="0"/>
      <dgm:spPr/>
    </dgm:pt>
    <dgm:pt modelId="{F97D4733-33FE-440A-9F4A-E88411DCDC07}" type="pres">
      <dgm:prSet presAssocID="{FB587A40-1508-4D97-8343-8C28E6FBB468}" presName="bigChev" presStyleLbl="node1" presStyleIdx="2" presStyleCnt="3"/>
      <dgm:spPr/>
    </dgm:pt>
    <dgm:pt modelId="{D1ACCDF2-9E7F-476A-9D20-0DAF44D09DEF}" type="pres">
      <dgm:prSet presAssocID="{6FF203A5-4BE7-4F36-987F-345CD6206E3E}" presName="parTrans" presStyleCnt="0"/>
      <dgm:spPr/>
    </dgm:pt>
    <dgm:pt modelId="{16516B57-4DCC-425D-9CC5-42A917385C3E}" type="pres">
      <dgm:prSet presAssocID="{27FFE990-B0C4-4FE6-A871-AE135DB78369}" presName="node" presStyleLbl="alignAccFollowNode1" presStyleIdx="12" presStyleCnt="18">
        <dgm:presLayoutVars>
          <dgm:bulletEnabled val="1"/>
        </dgm:presLayoutVars>
      </dgm:prSet>
      <dgm:spPr/>
    </dgm:pt>
    <dgm:pt modelId="{FA023B04-684B-4501-97AF-9EDA18AA5790}" type="pres">
      <dgm:prSet presAssocID="{9B4A0989-1E62-46C2-BC62-491B074543C4}" presName="sibTrans" presStyleCnt="0"/>
      <dgm:spPr/>
    </dgm:pt>
    <dgm:pt modelId="{8F0EEA60-B1DB-420F-91B7-F24A16C0E9F6}" type="pres">
      <dgm:prSet presAssocID="{7D95A44A-ECB8-4607-AF49-B15DF5A2602D}" presName="node" presStyleLbl="alignAccFollowNode1" presStyleIdx="13" presStyleCnt="18">
        <dgm:presLayoutVars>
          <dgm:bulletEnabled val="1"/>
        </dgm:presLayoutVars>
      </dgm:prSet>
      <dgm:spPr/>
    </dgm:pt>
    <dgm:pt modelId="{FA44E0AB-6FD0-49BB-B31B-83A7AF9B57C9}" type="pres">
      <dgm:prSet presAssocID="{98FD26B5-E98B-4D74-B590-8A1D7F8EA02B}" presName="sibTrans" presStyleCnt="0"/>
      <dgm:spPr/>
    </dgm:pt>
    <dgm:pt modelId="{364DD1D5-65B5-427D-8048-69F9B123D620}" type="pres">
      <dgm:prSet presAssocID="{77485BA1-1EFD-426B-BD17-453AAD7439CB}" presName="node" presStyleLbl="alignAccFollowNode1" presStyleIdx="14" presStyleCnt="18">
        <dgm:presLayoutVars>
          <dgm:bulletEnabled val="1"/>
        </dgm:presLayoutVars>
      </dgm:prSet>
      <dgm:spPr/>
    </dgm:pt>
    <dgm:pt modelId="{0389FC13-632C-46F0-8605-F8B130B01B47}" type="pres">
      <dgm:prSet presAssocID="{6EB90918-DFF2-4E86-ABD3-6281C2267DD5}" presName="sibTrans" presStyleCnt="0"/>
      <dgm:spPr/>
    </dgm:pt>
    <dgm:pt modelId="{7249E8C8-FABD-4CA5-BBFA-E45908887436}" type="pres">
      <dgm:prSet presAssocID="{A60C9FE3-6133-4657-A514-55217A1AA855}" presName="node" presStyleLbl="alignAccFollowNode1" presStyleIdx="15" presStyleCnt="18">
        <dgm:presLayoutVars>
          <dgm:bulletEnabled val="1"/>
        </dgm:presLayoutVars>
      </dgm:prSet>
      <dgm:spPr/>
    </dgm:pt>
    <dgm:pt modelId="{00F72B38-8AC4-4DF1-AA7B-BB2A489ECE83}" type="pres">
      <dgm:prSet presAssocID="{E86F0626-7479-4219-874A-CE1165407EEC}" presName="sibTrans" presStyleCnt="0"/>
      <dgm:spPr/>
    </dgm:pt>
    <dgm:pt modelId="{1F7E2D3B-1C75-4E88-87A3-5E98A54B5AC6}" type="pres">
      <dgm:prSet presAssocID="{F23C8976-2127-4278-997D-2CDED8DEB7F2}" presName="node" presStyleLbl="alignAccFollowNode1" presStyleIdx="16" presStyleCnt="18">
        <dgm:presLayoutVars>
          <dgm:bulletEnabled val="1"/>
        </dgm:presLayoutVars>
      </dgm:prSet>
      <dgm:spPr/>
    </dgm:pt>
    <dgm:pt modelId="{53E9F6E5-248F-45F1-A9AB-C47D75EC7068}" type="pres">
      <dgm:prSet presAssocID="{7A52D734-6024-4494-86F2-45892853953A}" presName="sibTrans" presStyleCnt="0"/>
      <dgm:spPr/>
    </dgm:pt>
    <dgm:pt modelId="{2BB8A638-90F3-4041-95E0-6576F32D89E3}" type="pres">
      <dgm:prSet presAssocID="{A27EEBCB-6984-4C15-B6F0-27B735F2B4E0}" presName="node" presStyleLbl="alignAccFollowNode1" presStyleIdx="17" presStyleCnt="18">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8640D906-6D90-46F5-A549-4F071EDC525B}" srcId="{60CC8BA2-67B8-4B5C-8F83-24E2D147DDF5}" destId="{6CAE84A3-5291-4F09-9834-F24060A9F0B1}" srcOrd="0" destOrd="0" parTransId="{B95147BD-D846-4A8C-92DB-73A084F65B44}" sibTransId="{45948C87-89E7-4E8B-9743-54102AC6245B}"/>
    <dgm:cxn modelId="{64112C09-0440-4778-81F4-727FA9F9691C}" srcId="{60CC8BA2-67B8-4B5C-8F83-24E2D147DDF5}" destId="{3D26C7C6-8483-443E-A4D0-39EB2E9F1734}" srcOrd="2" destOrd="0" parTransId="{784EF831-4F13-4FD2-9A95-E0A2C4428672}" sibTransId="{01187B68-E2E8-4B94-97F8-2AC1B6A5D762}"/>
    <dgm:cxn modelId="{A49A260C-AA3B-425C-A528-9DA30D7BC691}" type="presOf" srcId="{3D26C7C6-8483-443E-A4D0-39EB2E9F1734}" destId="{A0DBC11E-E766-4152-BC15-BC0009251B6A}" srcOrd="0" destOrd="0" presId="urn:microsoft.com/office/officeart/2005/8/layout/lProcess3"/>
    <dgm:cxn modelId="{7A54F410-46BF-4BC4-8EA6-774AA8D2CE63}" srcId="{A026A503-5385-48CD-9960-7890BC01BF17}" destId="{B62A07CB-3EFA-46D4-B983-264441964367}" srcOrd="1" destOrd="0" parTransId="{DA6DDA27-2107-4270-A3BD-1C78B27962E5}" sibTransId="{86BFB788-3F63-4576-8E20-CC6A3656E461}"/>
    <dgm:cxn modelId="{67ACB215-C547-49CC-87ED-8EE43AA7DA4F}" srcId="{FB587A40-1508-4D97-8343-8C28E6FBB468}" destId="{F23C8976-2127-4278-997D-2CDED8DEB7F2}" srcOrd="4" destOrd="0" parTransId="{C60EC84A-D43D-46D2-8A83-88B32AFBC884}" sibTransId="{7A52D734-6024-4494-86F2-45892853953A}"/>
    <dgm:cxn modelId="{78521717-9E71-41A7-B2C1-90D5FAE5A1CB}" type="presOf" srcId="{77485BA1-1EFD-426B-BD17-453AAD7439CB}" destId="{364DD1D5-65B5-427D-8048-69F9B123D620}" srcOrd="0" destOrd="0" presId="urn:microsoft.com/office/officeart/2005/8/layout/lProcess3"/>
    <dgm:cxn modelId="{31794D17-765C-417D-B10F-34A1C578BC82}" srcId="{FB587A40-1508-4D97-8343-8C28E6FBB468}" destId="{7D95A44A-ECB8-4607-AF49-B15DF5A2602D}" srcOrd="1" destOrd="0" parTransId="{1A0087B4-A96A-4FB7-B06E-A5D36C6523EF}" sibTransId="{98FD26B5-E98B-4D74-B590-8A1D7F8EA02B}"/>
    <dgm:cxn modelId="{50C4D418-E3EE-43BA-8DBE-EA09E0166175}" srcId="{60CC8BA2-67B8-4B5C-8F83-24E2D147DDF5}" destId="{C00F4E8D-2D97-4332-8A25-D515248152D2}" srcOrd="4" destOrd="0" parTransId="{8CE3F335-ECDE-4FE1-95C9-782C64482161}" sibTransId="{C3D59508-ADB3-4433-BEA0-51BEB0A8B6D4}"/>
    <dgm:cxn modelId="{9A777627-4B28-4942-99C1-64653CDB170F}" type="presOf" srcId="{27FFE990-B0C4-4FE6-A871-AE135DB78369}" destId="{16516B57-4DCC-425D-9CC5-42A917385C3E}" srcOrd="0" destOrd="0" presId="urn:microsoft.com/office/officeart/2005/8/layout/lProcess3"/>
    <dgm:cxn modelId="{47B6CD29-356F-43A1-99A4-931E915C2950}" type="presOf" srcId="{66B9B487-B0DE-49D5-B890-8F4F7B485182}" destId="{E8FE0132-567C-48E3-8786-55757C8F10C4}" srcOrd="0" destOrd="0" presId="urn:microsoft.com/office/officeart/2005/8/layout/lProcess3"/>
    <dgm:cxn modelId="{4416F82F-40A8-4740-AE37-435C6B87493B}" srcId="{E6F261A4-C73A-49D8-96F2-76C8A05FBA61}" destId="{FB587A40-1508-4D97-8343-8C28E6FBB468}" srcOrd="2" destOrd="0" parTransId="{5A4B4849-C2A4-45C8-8168-A75B29D32ADB}" sibTransId="{D50D9CFF-A1EA-4080-A317-AF76E6FFF851}"/>
    <dgm:cxn modelId="{81368935-D9C8-4FD2-94D9-578AF782F3C7}" srcId="{A026A503-5385-48CD-9960-7890BC01BF17}" destId="{B7ECE7B1-DE09-4B35-B3EF-F552934AFCE8}" srcOrd="3" destOrd="0" parTransId="{A9C9CEC0-A762-4343-9FD1-C949E5188B85}" sibTransId="{10B5F909-84D1-4EDB-9013-6CD0F76DFEA1}"/>
    <dgm:cxn modelId="{F8BA8E3A-2853-464E-89AE-903440A0A8AA}" srcId="{A026A503-5385-48CD-9960-7890BC01BF17}" destId="{66B9B487-B0DE-49D5-B890-8F4F7B485182}" srcOrd="5"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1" destOrd="0" parTransId="{987134DD-5B78-4BCA-9259-DE628B8E685E}" sibTransId="{E1A6CB3E-3E8F-47BA-95FF-025EA5275374}"/>
    <dgm:cxn modelId="{DA9B9B68-BE8F-4E0D-971E-10B1DE45F4EF}" srcId="{A026A503-5385-48CD-9960-7890BC01BF17}" destId="{C605948A-2FAA-4B2B-A55B-BAE904731737}" srcOrd="0" destOrd="0" parTransId="{4F5A3C1F-B0DE-477C-8A8C-330B6742F4A4}" sibTransId="{13EB3CF2-FEEB-4BAA-9725-6C1E3263EA03}"/>
    <dgm:cxn modelId="{E643F668-812E-447F-8ABE-B32AE9D3D453}" type="presOf" srcId="{6CAE84A3-5291-4F09-9834-F24060A9F0B1}" destId="{92DB449A-781D-438A-A28D-42D189DED613}" srcOrd="0" destOrd="0" presId="urn:microsoft.com/office/officeart/2005/8/layout/lProcess3"/>
    <dgm:cxn modelId="{6B393870-ED54-405E-974D-A62CC7C580CD}" type="presOf" srcId="{A60C9FE3-6133-4657-A514-55217A1AA855}" destId="{7249E8C8-FABD-4CA5-BBFA-E45908887436}" srcOrd="0" destOrd="0" presId="urn:microsoft.com/office/officeart/2005/8/layout/lProcess3"/>
    <dgm:cxn modelId="{2D587D55-1155-4743-A2E6-D8BB3EE53FFA}" type="presOf" srcId="{7D95A44A-ECB8-4607-AF49-B15DF5A2602D}" destId="{8F0EEA60-B1DB-420F-91B7-F24A16C0E9F6}" srcOrd="0" destOrd="0" presId="urn:microsoft.com/office/officeart/2005/8/layout/lProcess3"/>
    <dgm:cxn modelId="{9AAF8E5A-DC3B-4AFE-BF2B-0CA982D4A873}" srcId="{A026A503-5385-48CD-9960-7890BC01BF17}" destId="{81B96AF2-AF7C-4C6D-BF8F-26DA405E6181}" srcOrd="4"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12DF8CA0-2202-48D3-BFED-52239A8BF490}" srcId="{60CC8BA2-67B8-4B5C-8F83-24E2D147DDF5}" destId="{F3DB0DA9-CF9F-48FB-8A4E-B16B996859CC}" srcOrd="3"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B4C5D7C9-3B70-451E-921F-5A507669669C}" srcId="{FB587A40-1508-4D97-8343-8C28E6FBB468}" destId="{A60C9FE3-6133-4657-A514-55217A1AA855}" srcOrd="3" destOrd="0" parTransId="{48E7F69E-D617-43E7-B65A-766B6597C104}" sibTransId="{E86F0626-7479-4219-874A-CE1165407EEC}"/>
    <dgm:cxn modelId="{48EC4FCA-D306-41BD-B626-13E5643BC8EE}" type="presOf" srcId="{C605948A-2FAA-4B2B-A55B-BAE904731737}" destId="{030F83A3-E98C-4486-A756-7B7DEC40A7DD}"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A25D73CF-D3FE-4A59-90D9-D522A8290BF9}" srcId="{FB587A40-1508-4D97-8343-8C28E6FBB468}" destId="{77485BA1-1EFD-426B-BD17-453AAD7439CB}" srcOrd="2" destOrd="0" parTransId="{5F05A5CF-31E6-4A74-87AB-A1DB8C53F68F}" sibTransId="{6EB90918-DFF2-4E86-ABD3-6281C2267DD5}"/>
    <dgm:cxn modelId="{C40972D2-A95A-4B4B-BBE9-36A113D44C99}" type="presOf" srcId="{FB587A40-1508-4D97-8343-8C28E6FBB468}" destId="{F97D4733-33FE-440A-9F4A-E88411DCDC07}" srcOrd="0" destOrd="0" presId="urn:microsoft.com/office/officeart/2005/8/layout/lProcess3"/>
    <dgm:cxn modelId="{0DC9CAD7-C976-4E61-934E-63A3AC917476}" type="presOf" srcId="{F23C8976-2127-4278-997D-2CDED8DEB7F2}" destId="{1F7E2D3B-1C75-4E88-87A3-5E98A54B5AC6}" srcOrd="0" destOrd="0" presId="urn:microsoft.com/office/officeart/2005/8/layout/lProcess3"/>
    <dgm:cxn modelId="{0C0B6AE1-4E82-41EF-AFF1-C68A2BFA9385}" type="presOf" srcId="{4E3490CF-279D-4FFD-95DB-DA170A636ACF}" destId="{B9CFE38E-C4C4-45AA-B352-74DE535247B5}"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2AD060EB-CE41-4AEC-B5BD-64B52F0976ED}" srcId="{60CC8BA2-67B8-4B5C-8F83-24E2D147DDF5}" destId="{4E3490CF-279D-4FFD-95DB-DA170A636ACF}" srcOrd="5" destOrd="0" parTransId="{20693818-144C-4472-94BB-1677936EF083}" sibTransId="{19F4C7CA-2F2F-4844-AB5F-B24FFD7AC41F}"/>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2"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8AE17EF8-C7A0-4637-AF61-6768CACB5AFB}" type="presOf" srcId="{A27EEBCB-6984-4C15-B6F0-27B735F2B4E0}" destId="{2BB8A638-90F3-4041-95E0-6576F32D89E3}" srcOrd="0" destOrd="0" presId="urn:microsoft.com/office/officeart/2005/8/layout/lProcess3"/>
    <dgm:cxn modelId="{ACF7FCFB-5C7E-4ED9-9E67-B9F4B0554989}" srcId="{FB587A40-1508-4D97-8343-8C28E6FBB468}" destId="{27FFE990-B0C4-4FE6-A871-AE135DB78369}" srcOrd="0" destOrd="0" parTransId="{6FF203A5-4BE7-4F36-987F-345CD6206E3E}" sibTransId="{9B4A0989-1E62-46C2-BC62-491B074543C4}"/>
    <dgm:cxn modelId="{9F384BFF-2582-42FB-AA89-C1DF4BFA2F8A}" type="presOf" srcId="{F3DB0DA9-CF9F-48FB-8A4E-B16B996859CC}" destId="{1D04C8CC-6EFD-46D0-BB1C-70E60B93513A}" srcOrd="0" destOrd="0" presId="urn:microsoft.com/office/officeart/2005/8/layout/lProcess3"/>
    <dgm:cxn modelId="{6583D4FF-13F4-4B7E-BB4B-A9938DD6AED1}" srcId="{FB587A40-1508-4D97-8343-8C28E6FBB468}" destId="{A27EEBCB-6984-4C15-B6F0-27B735F2B4E0}" srcOrd="5" destOrd="0" parTransId="{E2E6D716-159D-40AE-A33B-539431203709}" sibTransId="{282F0C65-4156-4839-9CD8-F5A3B3C83326}"/>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CEBA6DA9-4893-4B48-BA41-699721241277}" type="presParOf" srcId="{7AFA005C-24EB-425D-AA59-994D2BCA7851}" destId="{D708EA36-7A62-4200-AA2D-F87AB641D79B}" srcOrd="1" destOrd="0" presId="urn:microsoft.com/office/officeart/2005/8/layout/lProcess3"/>
    <dgm:cxn modelId="{897E52B9-769B-411C-8153-CAB01EFCF4A8}" type="presParOf" srcId="{7AFA005C-24EB-425D-AA59-994D2BCA7851}" destId="{030F83A3-E98C-4486-A756-7B7DEC40A7DD}" srcOrd="2" destOrd="0" presId="urn:microsoft.com/office/officeart/2005/8/layout/lProcess3"/>
    <dgm:cxn modelId="{0102FA0A-21ED-43C1-8F5D-1F46E440CC9E}" type="presParOf" srcId="{7AFA005C-24EB-425D-AA59-994D2BCA7851}" destId="{72EC78BA-7662-4A22-A807-ED0657C37165}" srcOrd="3" destOrd="0" presId="urn:microsoft.com/office/officeart/2005/8/layout/lProcess3"/>
    <dgm:cxn modelId="{E2308CAE-70E6-43D3-8275-F70F4D1B821B}" type="presParOf" srcId="{7AFA005C-24EB-425D-AA59-994D2BCA7851}" destId="{9CF25B67-FA31-41AE-B4EF-CCD2718072B3}" srcOrd="4" destOrd="0" presId="urn:microsoft.com/office/officeart/2005/8/layout/lProcess3"/>
    <dgm:cxn modelId="{5C1B932C-235D-4F1A-9AE4-FBE0C0741DCC}" type="presParOf" srcId="{7AFA005C-24EB-425D-AA59-994D2BCA7851}" destId="{CF2A569A-A5DD-47B4-A8A4-2F55658E3B6D}" srcOrd="5" destOrd="0" presId="urn:microsoft.com/office/officeart/2005/8/layout/lProcess3"/>
    <dgm:cxn modelId="{5299EB9E-9611-4C80-9C7F-367781513D99}" type="presParOf" srcId="{7AFA005C-24EB-425D-AA59-994D2BCA7851}" destId="{ED3FB9E6-0BAA-4702-B8CA-920A66AFC02F}" srcOrd="6" destOrd="0" presId="urn:microsoft.com/office/officeart/2005/8/layout/lProcess3"/>
    <dgm:cxn modelId="{0EF39BA9-C529-41BC-BE86-013E7B281E2A}" type="presParOf" srcId="{7AFA005C-24EB-425D-AA59-994D2BCA7851}" destId="{3121E4B7-F3A0-42BA-AD82-8FDFE22D4AC6}" srcOrd="7" destOrd="0" presId="urn:microsoft.com/office/officeart/2005/8/layout/lProcess3"/>
    <dgm:cxn modelId="{817DB98E-76EC-43EC-A793-E225BB82EC22}" type="presParOf" srcId="{7AFA005C-24EB-425D-AA59-994D2BCA7851}" destId="{9783D7DD-9297-4972-8B5A-E2BE8A6720CA}" srcOrd="8" destOrd="0" presId="urn:microsoft.com/office/officeart/2005/8/layout/lProcess3"/>
    <dgm:cxn modelId="{75D27544-63C6-4DC2-A041-AA8A2E6ECBCE}" type="presParOf" srcId="{7AFA005C-24EB-425D-AA59-994D2BCA7851}" destId="{595C3FF3-1CE2-4857-857D-24F27C9A7A01}" srcOrd="9" destOrd="0" presId="urn:microsoft.com/office/officeart/2005/8/layout/lProcess3"/>
    <dgm:cxn modelId="{D24CC84D-6544-41E1-BD00-53D4E9FEA428}" type="presParOf" srcId="{7AFA005C-24EB-425D-AA59-994D2BCA7851}" destId="{1A805A11-34B2-4547-9AC3-D38054F91140}" srcOrd="10" destOrd="0" presId="urn:microsoft.com/office/officeart/2005/8/layout/lProcess3"/>
    <dgm:cxn modelId="{E11EDD92-E80E-4A97-B356-E8B1E0B92849}" type="presParOf" srcId="{7AFA005C-24EB-425D-AA59-994D2BCA7851}" destId="{170943A2-07FD-4ED6-B58F-4E78324785DA}" srcOrd="11" destOrd="0" presId="urn:microsoft.com/office/officeart/2005/8/layout/lProcess3"/>
    <dgm:cxn modelId="{6B8782E3-72D3-4D4A-B59B-56F04F4C3BBE}" type="presParOf" srcId="{7AFA005C-24EB-425D-AA59-994D2BCA7851}" destId="{E8FE0132-567C-48E3-8786-55757C8F10C4}" srcOrd="12"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78A4DFE0-3E3D-412F-91B7-397372F67513}" type="presParOf" srcId="{46382AFD-95FC-4564-A1AD-95C56098B8F7}" destId="{7F584C56-36FB-49EB-9E33-580FE0F9D74F}" srcOrd="1" destOrd="0" presId="urn:microsoft.com/office/officeart/2005/8/layout/lProcess3"/>
    <dgm:cxn modelId="{E6D22A62-91AC-41A2-A4F3-C95CF47ED007}" type="presParOf" srcId="{46382AFD-95FC-4564-A1AD-95C56098B8F7}" destId="{92DB449A-781D-438A-A28D-42D189DED613}" srcOrd="2" destOrd="0" presId="urn:microsoft.com/office/officeart/2005/8/layout/lProcess3"/>
    <dgm:cxn modelId="{587AE5F1-06B4-4C24-8317-F9F11E51EE01}" type="presParOf" srcId="{46382AFD-95FC-4564-A1AD-95C56098B8F7}" destId="{0F7C95B5-E5B1-4E7D-B972-6B77B705C56A}" srcOrd="3" destOrd="0" presId="urn:microsoft.com/office/officeart/2005/8/layout/lProcess3"/>
    <dgm:cxn modelId="{057BC54A-0FEE-4424-895F-E36957DC6163}" type="presParOf" srcId="{46382AFD-95FC-4564-A1AD-95C56098B8F7}" destId="{58F31D09-ADCD-4DC9-8221-D1D9CF855BAD}" srcOrd="4" destOrd="0" presId="urn:microsoft.com/office/officeart/2005/8/layout/lProcess3"/>
    <dgm:cxn modelId="{0782C071-60FB-4447-91C9-27630AD1C5CA}" type="presParOf" srcId="{46382AFD-95FC-4564-A1AD-95C56098B8F7}" destId="{F926AF39-E7BE-4E11-9D22-C62449B0D6F5}" srcOrd="5" destOrd="0" presId="urn:microsoft.com/office/officeart/2005/8/layout/lProcess3"/>
    <dgm:cxn modelId="{6C78DA26-2E38-40AA-B8D7-2022B2D87269}" type="presParOf" srcId="{46382AFD-95FC-4564-A1AD-95C56098B8F7}" destId="{A0DBC11E-E766-4152-BC15-BC0009251B6A}" srcOrd="6" destOrd="0" presId="urn:microsoft.com/office/officeart/2005/8/layout/lProcess3"/>
    <dgm:cxn modelId="{B5BDE1A4-09E6-4ADF-A8E6-4434CD92E6A8}" type="presParOf" srcId="{46382AFD-95FC-4564-A1AD-95C56098B8F7}" destId="{D053A473-5939-4ED2-A2EB-08F6EA663B63}" srcOrd="7" destOrd="0" presId="urn:microsoft.com/office/officeart/2005/8/layout/lProcess3"/>
    <dgm:cxn modelId="{12E0D335-A7F9-4071-A638-35E7FC2D0473}" type="presParOf" srcId="{46382AFD-95FC-4564-A1AD-95C56098B8F7}" destId="{1D04C8CC-6EFD-46D0-BB1C-70E60B93513A}" srcOrd="8" destOrd="0" presId="urn:microsoft.com/office/officeart/2005/8/layout/lProcess3"/>
    <dgm:cxn modelId="{65D41940-96AE-4BB8-8400-1448CC4346E4}" type="presParOf" srcId="{46382AFD-95FC-4564-A1AD-95C56098B8F7}" destId="{ACF4825D-F322-47DC-8BCE-FA35DB4619D6}" srcOrd="9" destOrd="0" presId="urn:microsoft.com/office/officeart/2005/8/layout/lProcess3"/>
    <dgm:cxn modelId="{FE60B3C6-AADC-4DA9-B0A5-9F1EBF1B9B06}" type="presParOf" srcId="{46382AFD-95FC-4564-A1AD-95C56098B8F7}" destId="{13C9CD02-249A-42BA-89EA-061EDDC086D7}" srcOrd="10" destOrd="0" presId="urn:microsoft.com/office/officeart/2005/8/layout/lProcess3"/>
    <dgm:cxn modelId="{D350919B-ECD1-4918-86FB-9F004686A2A1}" type="presParOf" srcId="{46382AFD-95FC-4564-A1AD-95C56098B8F7}" destId="{B9C86CFD-4148-4323-9542-0B447FFA0B1B}" srcOrd="11" destOrd="0" presId="urn:microsoft.com/office/officeart/2005/8/layout/lProcess3"/>
    <dgm:cxn modelId="{5B784890-4823-40FD-92C7-321BDE6F5594}" type="presParOf" srcId="{46382AFD-95FC-4564-A1AD-95C56098B8F7}" destId="{B9CFE38E-C4C4-45AA-B352-74DE535247B5}" srcOrd="12" destOrd="0" presId="urn:microsoft.com/office/officeart/2005/8/layout/lProcess3"/>
    <dgm:cxn modelId="{03749785-A0FE-4031-8EF3-B97CCF7144EA}" type="presParOf" srcId="{AABEC067-B163-4BF4-8A60-BD081BE42642}" destId="{BD4AB627-12C3-4C14-A36D-18F53B40C0C2}" srcOrd="3" destOrd="0" presId="urn:microsoft.com/office/officeart/2005/8/layout/lProcess3"/>
    <dgm:cxn modelId="{FA29E224-8962-446E-9E6F-766B5E85182A}" type="presParOf" srcId="{AABEC067-B163-4BF4-8A60-BD081BE42642}" destId="{74599312-6AB4-4211-AF7A-02BC49294BED}" srcOrd="4" destOrd="0" presId="urn:microsoft.com/office/officeart/2005/8/layout/lProcess3"/>
    <dgm:cxn modelId="{8CB96936-1F9C-4925-8D87-7127EAFB9D99}" type="presParOf" srcId="{74599312-6AB4-4211-AF7A-02BC49294BED}" destId="{F97D4733-33FE-440A-9F4A-E88411DCDC07}" srcOrd="0" destOrd="0" presId="urn:microsoft.com/office/officeart/2005/8/layout/lProcess3"/>
    <dgm:cxn modelId="{10D50D15-0BDE-4468-B2B4-D890B00A91C8}" type="presParOf" srcId="{74599312-6AB4-4211-AF7A-02BC49294BED}" destId="{D1ACCDF2-9E7F-476A-9D20-0DAF44D09DEF}" srcOrd="1" destOrd="0" presId="urn:microsoft.com/office/officeart/2005/8/layout/lProcess3"/>
    <dgm:cxn modelId="{90FDC069-A7BE-4BB6-8F71-92B1A88D762E}" type="presParOf" srcId="{74599312-6AB4-4211-AF7A-02BC49294BED}" destId="{16516B57-4DCC-425D-9CC5-42A917385C3E}" srcOrd="2" destOrd="0" presId="urn:microsoft.com/office/officeart/2005/8/layout/lProcess3"/>
    <dgm:cxn modelId="{78FC66FF-2C9A-4373-90F6-1940EB779A60}" type="presParOf" srcId="{74599312-6AB4-4211-AF7A-02BC49294BED}" destId="{FA023B04-684B-4501-97AF-9EDA18AA5790}" srcOrd="3" destOrd="0" presId="urn:microsoft.com/office/officeart/2005/8/layout/lProcess3"/>
    <dgm:cxn modelId="{59094907-C405-4557-889C-18FAAC6943E9}" type="presParOf" srcId="{74599312-6AB4-4211-AF7A-02BC49294BED}" destId="{8F0EEA60-B1DB-420F-91B7-F24A16C0E9F6}" srcOrd="4" destOrd="0" presId="urn:microsoft.com/office/officeart/2005/8/layout/lProcess3"/>
    <dgm:cxn modelId="{472FFE65-2DB7-4664-9EE2-C563E94B388E}" type="presParOf" srcId="{74599312-6AB4-4211-AF7A-02BC49294BED}" destId="{FA44E0AB-6FD0-49BB-B31B-83A7AF9B57C9}" srcOrd="5" destOrd="0" presId="urn:microsoft.com/office/officeart/2005/8/layout/lProcess3"/>
    <dgm:cxn modelId="{8C3ACE92-A6CB-4C11-BAEE-2EE1DB633B21}" type="presParOf" srcId="{74599312-6AB4-4211-AF7A-02BC49294BED}" destId="{364DD1D5-65B5-427D-8048-69F9B123D620}" srcOrd="6" destOrd="0" presId="urn:microsoft.com/office/officeart/2005/8/layout/lProcess3"/>
    <dgm:cxn modelId="{0227F734-30B6-4632-BBBD-1AC104D8FF95}" type="presParOf" srcId="{74599312-6AB4-4211-AF7A-02BC49294BED}" destId="{0389FC13-632C-46F0-8605-F8B130B01B47}" srcOrd="7" destOrd="0" presId="urn:microsoft.com/office/officeart/2005/8/layout/lProcess3"/>
    <dgm:cxn modelId="{9073BBF4-C443-4536-A257-F735FE271A5F}" type="presParOf" srcId="{74599312-6AB4-4211-AF7A-02BC49294BED}" destId="{7249E8C8-FABD-4CA5-BBFA-E45908887436}" srcOrd="8" destOrd="0" presId="urn:microsoft.com/office/officeart/2005/8/layout/lProcess3"/>
    <dgm:cxn modelId="{0FFC18E3-BF01-45C5-86D4-6F59C4679AE7}" type="presParOf" srcId="{74599312-6AB4-4211-AF7A-02BC49294BED}" destId="{00F72B38-8AC4-4DF1-AA7B-BB2A489ECE83}" srcOrd="9" destOrd="0" presId="urn:microsoft.com/office/officeart/2005/8/layout/lProcess3"/>
    <dgm:cxn modelId="{86F4ABCE-B7B3-452A-88BF-FE4450850404}" type="presParOf" srcId="{74599312-6AB4-4211-AF7A-02BC49294BED}" destId="{1F7E2D3B-1C75-4E88-87A3-5E98A54B5AC6}" srcOrd="10" destOrd="0" presId="urn:microsoft.com/office/officeart/2005/8/layout/lProcess3"/>
    <dgm:cxn modelId="{D20C2889-0321-40C4-AF06-B1AC77256BBD}" type="presParOf" srcId="{74599312-6AB4-4211-AF7A-02BC49294BED}" destId="{53E9F6E5-248F-45F1-A9AB-C47D75EC7068}" srcOrd="11" destOrd="0" presId="urn:microsoft.com/office/officeart/2005/8/layout/lProcess3"/>
    <dgm:cxn modelId="{87337C10-D6DE-4D55-8878-CDC5F37BA04F}" type="presParOf" srcId="{74599312-6AB4-4211-AF7A-02BC49294BED}" destId="{2BB8A638-90F3-4041-95E0-6576F32D89E3}" srcOrd="12" destOrd="0" presId="urn:microsoft.com/office/officeart/2005/8/layout/lProcess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D674DB68-C40A-4650-9236-EB4C2EA1A0A0}"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F3284D9-050B-4EF3-9AFE-CFF32691E21B}">
      <dgm:prSet phldrT="[Text]" custT="1"/>
      <dgm: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100" baseline="0">
              <a:solidFill>
                <a:sysClr val="windowText" lastClr="000000"/>
              </a:solidFill>
              <a:latin typeface="Calibri" panose="020F0502020204030204"/>
              <a:ea typeface="+mn-ea"/>
              <a:cs typeface="+mn-cs"/>
            </a:rPr>
            <a:t>Celkové schválené výdaje programu hrazené ze státního rozpočtu včetně EU</a:t>
          </a:r>
        </a:p>
        <a:p>
          <a:pPr>
            <a:buNone/>
          </a:pPr>
          <a:r>
            <a:rPr lang="cs-CZ" sz="1100" baseline="0">
              <a:solidFill>
                <a:sysClr val="windowText" lastClr="000000"/>
              </a:solidFill>
              <a:latin typeface="Calibri" panose="020F0502020204030204"/>
              <a:ea typeface="+mn-ea"/>
              <a:cs typeface="+mn-cs"/>
            </a:rPr>
            <a:t> činí </a:t>
          </a:r>
          <a:r>
            <a:rPr lang="cs-CZ" sz="1100" b="1" baseline="0">
              <a:solidFill>
                <a:sysClr val="windowText" lastClr="000000"/>
              </a:solidFill>
              <a:latin typeface="Calibri" panose="020F0502020204030204"/>
              <a:ea typeface="+mn-ea"/>
              <a:cs typeface="+mn-cs"/>
            </a:rPr>
            <a:t>8 930 000 tis. Kč</a:t>
          </a:r>
        </a:p>
      </dgm:t>
    </dgm:pt>
    <dgm:pt modelId="{B1C7ED98-A319-4B73-8667-A9BC9F6D8328}" type="parTrans" cxnId="{6A00B773-E43C-4AB5-B9E3-0344D4A05F45}">
      <dgm:prSet/>
      <dgm:spPr/>
      <dgm:t>
        <a:bodyPr/>
        <a:lstStyle/>
        <a:p>
          <a:endParaRPr lang="cs-CZ"/>
        </a:p>
      </dgm:t>
    </dgm:pt>
    <dgm:pt modelId="{69029C21-5BE1-497A-A793-F9A74341301B}" type="sibTrans" cxnId="{6A00B773-E43C-4AB5-B9E3-0344D4A05F45}">
      <dgm:prSet/>
      <dgm:spPr/>
      <dgm:t>
        <a:bodyPr/>
        <a:lstStyle/>
        <a:p>
          <a:endParaRPr lang="cs-CZ"/>
        </a:p>
      </dgm:t>
    </dgm:pt>
    <dgm:pt modelId="{C3F872C0-9A7E-4486-9085-68D028B70349}">
      <dgm:prSet phldrT="[Text]" custT="1"/>
      <dgm: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nSpc>
              <a:spcPct val="100000"/>
            </a:lnSpc>
            <a:spcAft>
              <a:spcPts val="0"/>
            </a:spcAft>
            <a:buNone/>
          </a:pPr>
          <a:r>
            <a:rPr lang="cs-CZ" sz="1100" b="1">
              <a:solidFill>
                <a:srgbClr val="5B9BD5">
                  <a:lumMod val="75000"/>
                </a:srgbClr>
              </a:solidFill>
              <a:latin typeface="Calibri" panose="020F0502020204030204"/>
              <a:ea typeface="+mn-ea"/>
              <a:cs typeface="+mn-cs"/>
            </a:rPr>
            <a:t>Celkové skutečně čerpané prostředky státního rozpočtu včetně EU k 31.12.2023 činí              8 041 826 tis. Kč</a:t>
          </a:r>
        </a:p>
      </dgm:t>
    </dgm:pt>
    <dgm:pt modelId="{4E6638AA-ED1E-42BE-9714-F54837DB1B36}" type="parTrans" cxnId="{9DBE886C-31C6-4173-ACDD-D2D998B475DC}">
      <dgm:prSet/>
      <dgm:spPr/>
      <dgm:t>
        <a:bodyPr/>
        <a:lstStyle/>
        <a:p>
          <a:endParaRPr lang="cs-CZ"/>
        </a:p>
      </dgm:t>
    </dgm:pt>
    <dgm:pt modelId="{1BF85506-A730-4145-BBA5-282500B4621F}" type="sibTrans" cxnId="{9DBE886C-31C6-4173-ACDD-D2D998B475DC}">
      <dgm:prSet/>
      <dgm:spPr/>
      <dgm:t>
        <a:bodyPr/>
        <a:lstStyle/>
        <a:p>
          <a:endParaRPr lang="cs-CZ"/>
        </a:p>
      </dgm:t>
    </dgm:pt>
    <dgm:pt modelId="{AEAAC497-982E-4288-B55D-D9CB08E8A1A2}" type="pres">
      <dgm:prSet presAssocID="{D674DB68-C40A-4650-9236-EB4C2EA1A0A0}" presName="Name0" presStyleCnt="0">
        <dgm:presLayoutVars>
          <dgm:chPref val="3"/>
          <dgm:dir/>
          <dgm:animLvl val="lvl"/>
          <dgm:resizeHandles/>
        </dgm:presLayoutVars>
      </dgm:prSet>
      <dgm:spPr/>
    </dgm:pt>
    <dgm:pt modelId="{174483F3-521D-456F-9393-24965CDEC63F}" type="pres">
      <dgm:prSet presAssocID="{8F3284D9-050B-4EF3-9AFE-CFF32691E21B}" presName="horFlow" presStyleCnt="0"/>
      <dgm:spPr/>
    </dgm:pt>
    <dgm:pt modelId="{02DF64E2-7887-4C75-9AFC-DDEF6E290B10}" type="pres">
      <dgm:prSet presAssocID="{8F3284D9-050B-4EF3-9AFE-CFF32691E21B}" presName="bigChev" presStyleLbl="node1" presStyleIdx="0" presStyleCnt="2" custScaleX="717338" custScaleY="143925" custLinFactNeighborX="-6048" custLinFactNeighborY="-294"/>
      <dgm:spPr/>
    </dgm:pt>
    <dgm:pt modelId="{DB7F2370-6DC3-4C33-9F59-A5A46DC3CDEA}" type="pres">
      <dgm:prSet presAssocID="{8F3284D9-050B-4EF3-9AFE-CFF32691E21B}" presName="vSp" presStyleCnt="0"/>
      <dgm:spPr/>
    </dgm:pt>
    <dgm:pt modelId="{AE271E2F-B2D4-456E-9A34-BF47E80978C2}" type="pres">
      <dgm:prSet presAssocID="{C3F872C0-9A7E-4486-9085-68D028B70349}" presName="horFlow" presStyleCnt="0"/>
      <dgm:spPr/>
    </dgm:pt>
    <dgm:pt modelId="{49971915-8BC1-462C-8559-1A86CA9363E7}" type="pres">
      <dgm:prSet presAssocID="{C3F872C0-9A7E-4486-9085-68D028B70349}" presName="bigChev" presStyleLbl="node1" presStyleIdx="1" presStyleCnt="2" custScaleX="717338" custScaleY="153947"/>
      <dgm:spPr/>
    </dgm:pt>
  </dgm:ptLst>
  <dgm:cxnLst>
    <dgm:cxn modelId="{56ADB41B-D9DC-4FF6-9255-222CDC91D36D}" type="presOf" srcId="{D674DB68-C40A-4650-9236-EB4C2EA1A0A0}" destId="{AEAAC497-982E-4288-B55D-D9CB08E8A1A2}" srcOrd="0" destOrd="0" presId="urn:microsoft.com/office/officeart/2005/8/layout/lProcess3"/>
    <dgm:cxn modelId="{9DBE886C-31C6-4173-ACDD-D2D998B475DC}" srcId="{D674DB68-C40A-4650-9236-EB4C2EA1A0A0}" destId="{C3F872C0-9A7E-4486-9085-68D028B70349}" srcOrd="1" destOrd="0" parTransId="{4E6638AA-ED1E-42BE-9714-F54837DB1B36}" sibTransId="{1BF85506-A730-4145-BBA5-282500B4621F}"/>
    <dgm:cxn modelId="{6A00B773-E43C-4AB5-B9E3-0344D4A05F45}" srcId="{D674DB68-C40A-4650-9236-EB4C2EA1A0A0}" destId="{8F3284D9-050B-4EF3-9AFE-CFF32691E21B}" srcOrd="0" destOrd="0" parTransId="{B1C7ED98-A319-4B73-8667-A9BC9F6D8328}" sibTransId="{69029C21-5BE1-497A-A793-F9A74341301B}"/>
    <dgm:cxn modelId="{70DBBC57-29AB-4A5E-B6CE-B0151CA96CFF}" type="presOf" srcId="{8F3284D9-050B-4EF3-9AFE-CFF32691E21B}" destId="{02DF64E2-7887-4C75-9AFC-DDEF6E290B10}" srcOrd="0" destOrd="0" presId="urn:microsoft.com/office/officeart/2005/8/layout/lProcess3"/>
    <dgm:cxn modelId="{86028AD3-C279-47DD-BDB7-76D5CAA00895}" type="presOf" srcId="{C3F872C0-9A7E-4486-9085-68D028B70349}" destId="{49971915-8BC1-462C-8559-1A86CA9363E7}" srcOrd="0" destOrd="0" presId="urn:microsoft.com/office/officeart/2005/8/layout/lProcess3"/>
    <dgm:cxn modelId="{31451605-9197-4165-BB36-55E96C769D24}" type="presParOf" srcId="{AEAAC497-982E-4288-B55D-D9CB08E8A1A2}" destId="{174483F3-521D-456F-9393-24965CDEC63F}" srcOrd="0" destOrd="0" presId="urn:microsoft.com/office/officeart/2005/8/layout/lProcess3"/>
    <dgm:cxn modelId="{3944A1AB-7654-44D8-A9C3-027E9C7CC4D7}" type="presParOf" srcId="{174483F3-521D-456F-9393-24965CDEC63F}" destId="{02DF64E2-7887-4C75-9AFC-DDEF6E290B10}" srcOrd="0" destOrd="0" presId="urn:microsoft.com/office/officeart/2005/8/layout/lProcess3"/>
    <dgm:cxn modelId="{EF8BF69C-3EC8-4F35-881C-B6BD023057FB}" type="presParOf" srcId="{AEAAC497-982E-4288-B55D-D9CB08E8A1A2}" destId="{DB7F2370-6DC3-4C33-9F59-A5A46DC3CDEA}" srcOrd="1" destOrd="0" presId="urn:microsoft.com/office/officeart/2005/8/layout/lProcess3"/>
    <dgm:cxn modelId="{A8E20D06-CB83-4FDB-884D-B99CE1F11C3C}" type="presParOf" srcId="{AEAAC497-982E-4288-B55D-D9CB08E8A1A2}" destId="{AE271E2F-B2D4-456E-9A34-BF47E80978C2}" srcOrd="2" destOrd="0" presId="urn:microsoft.com/office/officeart/2005/8/layout/lProcess3"/>
    <dgm:cxn modelId="{E19B8E62-02AD-41F5-9A0D-AAF857015A96}" type="presParOf" srcId="{AE271E2F-B2D4-456E-9A34-BF47E80978C2}" destId="{49971915-8BC1-462C-8559-1A86CA9363E7}" srcOrd="0" destOrd="0" presId="urn:microsoft.com/office/officeart/2005/8/layout/lProcess3"/>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453" y="4767"/>
          <a:ext cx="994599" cy="397839"/>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866020" y="38583"/>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575965" y="38583"/>
          <a:ext cx="1140130"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50">
              <a:solidFill>
                <a:sysClr val="windowText" lastClr="000000">
                  <a:hueOff val="0"/>
                  <a:satOff val="0"/>
                  <a:lumOff val="0"/>
                  <a:alphaOff val="0"/>
                </a:sysClr>
              </a:solidFill>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453" y="458305"/>
          <a:ext cx="994599" cy="397839"/>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SR v tis. Kč</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926547" y="492121"/>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636492" y="492121"/>
          <a:ext cx="1095280"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B587A40-1508-4D97-8343-8C28E6FBB468}">
      <dgm:prSet phldrT="[Text]" custT="1"/>
      <dgm:spPr>
        <a:xfrm>
          <a:off x="3453" y="911842"/>
          <a:ext cx="994599" cy="397839"/>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EU v tis. Kč</a:t>
          </a:r>
        </a:p>
      </dgm:t>
    </dgm:pt>
    <dgm:pt modelId="{5A4B4849-C2A4-45C8-8168-A75B29D32ADB}" type="parTrans" cxnId="{4416F82F-40A8-4740-AE37-435C6B87493B}">
      <dgm:prSet/>
      <dgm:spPr/>
      <dgm:t>
        <a:bodyPr/>
        <a:lstStyle/>
        <a:p>
          <a:endParaRPr lang="cs-CZ"/>
        </a:p>
      </dgm:t>
    </dgm:pt>
    <dgm:pt modelId="{D50D9CFF-A1EA-4080-A317-AF76E6FFF851}" type="sibTrans" cxnId="{4416F82F-40A8-4740-AE37-435C6B87493B}">
      <dgm:prSet/>
      <dgm:spPr/>
      <dgm:t>
        <a:bodyPr/>
        <a:lstStyle/>
        <a:p>
          <a:endParaRPr lang="cs-CZ"/>
        </a:p>
      </dgm:t>
    </dgm:pt>
    <dgm:pt modelId="{F23C8976-2127-4278-997D-2CDED8DEB7F2}">
      <dgm:prSet phldrT="[Text]" custT="1"/>
      <dgm:spPr>
        <a:xfrm>
          <a:off x="3926547" y="945658"/>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397 800</a:t>
          </a:r>
        </a:p>
      </dgm:t>
    </dgm:pt>
    <dgm:pt modelId="{C60EC84A-D43D-46D2-8A83-88B32AFBC884}" type="parTrans" cxnId="{67ACB215-C547-49CC-87ED-8EE43AA7DA4F}">
      <dgm:prSet/>
      <dgm:spPr/>
      <dgm:t>
        <a:bodyPr/>
        <a:lstStyle/>
        <a:p>
          <a:endParaRPr lang="cs-CZ"/>
        </a:p>
      </dgm:t>
    </dgm:pt>
    <dgm:pt modelId="{7A52D734-6024-4494-86F2-45892853953A}" type="sibTrans" cxnId="{67ACB215-C547-49CC-87ED-8EE43AA7DA4F}">
      <dgm:prSet/>
      <dgm:spPr/>
      <dgm:t>
        <a:bodyPr/>
        <a:lstStyle/>
        <a:p>
          <a:endParaRPr lang="cs-CZ"/>
        </a:p>
      </dgm:t>
    </dgm:pt>
    <dgm:pt modelId="{A27EEBCB-6984-4C15-B6F0-27B735F2B4E0}">
      <dgm:prSet phldrT="[Text]" custT="1"/>
      <dgm:spPr>
        <a:xfrm>
          <a:off x="4636492" y="945658"/>
          <a:ext cx="1097913"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3 698 082</a:t>
          </a:r>
        </a:p>
      </dgm:t>
    </dgm:pt>
    <dgm:pt modelId="{E2E6D716-159D-40AE-A33B-539431203709}" type="parTrans" cxnId="{6583D4FF-13F4-4B7E-BB4B-A9938DD6AED1}">
      <dgm:prSet/>
      <dgm:spPr/>
      <dgm:t>
        <a:bodyPr/>
        <a:lstStyle/>
        <a:p>
          <a:endParaRPr lang="cs-CZ"/>
        </a:p>
      </dgm:t>
    </dgm:pt>
    <dgm:pt modelId="{282F0C65-4156-4839-9CD8-F5A3B3C83326}" type="sibTrans" cxnId="{6583D4FF-13F4-4B7E-BB4B-A9938DD6AED1}">
      <dgm:prSet/>
      <dgm:spPr/>
      <dgm:t>
        <a:bodyPr/>
        <a:lstStyle/>
        <a:p>
          <a:endParaRPr lang="cs-CZ"/>
        </a:p>
      </dgm:t>
    </dgm:pt>
    <dgm:pt modelId="{F3DB0DA9-CF9F-48FB-8A4E-B16B996859CC}">
      <dgm:prSet custT="1"/>
      <dgm:spPr>
        <a:xfrm>
          <a:off x="3097644" y="492121"/>
          <a:ext cx="944474"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578700" y="492121"/>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6CAE84A3-5291-4F09-9834-F24060A9F0B1}">
      <dgm:prSet custT="1"/>
      <dgm:spPr>
        <a:xfrm>
          <a:off x="868755" y="492121"/>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166 471</a:t>
          </a:r>
        </a:p>
      </dgm:t>
    </dgm:pt>
    <dgm:pt modelId="{B95147BD-D846-4A8C-92DB-73A084F65B44}" type="parTrans" cxnId="{8640D906-6D90-46F5-A549-4F071EDC525B}">
      <dgm:prSet/>
      <dgm:spPr/>
      <dgm:t>
        <a:bodyPr/>
        <a:lstStyle/>
        <a:p>
          <a:endParaRPr lang="cs-CZ"/>
        </a:p>
      </dgm:t>
    </dgm:pt>
    <dgm:pt modelId="{45948C87-89E7-4E8B-9743-54102AC6245B}" type="sibTrans" cxnId="{8640D906-6D90-46F5-A549-4F071EDC525B}">
      <dgm:prSet/>
      <dgm:spPr/>
      <dgm:t>
        <a:bodyPr/>
        <a:lstStyle/>
        <a:p>
          <a:endParaRPr lang="cs-CZ"/>
        </a:p>
      </dgm:t>
    </dgm:pt>
    <dgm:pt modelId="{3D26C7C6-8483-443E-A4D0-39EB2E9F1734}">
      <dgm:prSet custT="1"/>
      <dgm:spPr>
        <a:xfrm>
          <a:off x="2288645" y="492121"/>
          <a:ext cx="924571"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784EF831-4F13-4FD2-9A95-E0A2C4428672}" type="parTrans" cxnId="{64112C09-0440-4778-81F4-727FA9F9691C}">
      <dgm:prSet/>
      <dgm:spPr/>
      <dgm:t>
        <a:bodyPr/>
        <a:lstStyle/>
        <a:p>
          <a:endParaRPr lang="cs-CZ"/>
        </a:p>
      </dgm:t>
    </dgm:pt>
    <dgm:pt modelId="{01187B68-E2E8-4B94-97F8-2AC1B6A5D762}" type="sibTrans" cxnId="{64112C09-0440-4778-81F4-727FA9F9691C}">
      <dgm:prSet/>
      <dgm:spPr/>
      <dgm:t>
        <a:bodyPr/>
        <a:lstStyle/>
        <a:p>
          <a:endParaRPr lang="cs-CZ"/>
        </a:p>
      </dgm:t>
    </dgm:pt>
    <dgm:pt modelId="{C605948A-2FAA-4B2B-A55B-BAE904731737}">
      <dgm:prSet custT="1"/>
      <dgm:spPr>
        <a:xfrm>
          <a:off x="868755" y="38583"/>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před 2019</a:t>
          </a:r>
        </a:p>
      </dgm:t>
    </dgm:pt>
    <dgm:pt modelId="{4F5A3C1F-B0DE-477C-8A8C-330B6742F4A4}" type="parTrans" cxnId="{DA9B9B68-BE8F-4E0D-971E-10B1DE45F4EF}">
      <dgm:prSet/>
      <dgm:spPr/>
      <dgm:t>
        <a:bodyPr/>
        <a:lstStyle/>
        <a:p>
          <a:endParaRPr lang="cs-CZ"/>
        </a:p>
      </dgm:t>
    </dgm:pt>
    <dgm:pt modelId="{13EB3CF2-FEEB-4BAA-9725-6C1E3263EA03}" type="sibTrans" cxnId="{DA9B9B68-BE8F-4E0D-971E-10B1DE45F4EF}">
      <dgm:prSet/>
      <dgm:spPr/>
      <dgm:t>
        <a:bodyPr/>
        <a:lstStyle/>
        <a:p>
          <a:endParaRPr lang="cs-CZ"/>
        </a:p>
      </dgm:t>
    </dgm:pt>
    <dgm:pt modelId="{B7ECE7B1-DE09-4B35-B3EF-F552934AFCE8}">
      <dgm:prSet custT="1"/>
      <dgm:spPr>
        <a:xfrm>
          <a:off x="3067381" y="38583"/>
          <a:ext cx="914211"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50">
              <a:solidFill>
                <a:sysClr val="windowText" lastClr="000000">
                  <a:hueOff val="0"/>
                  <a:satOff val="0"/>
                  <a:lumOff val="0"/>
                  <a:alphaOff val="0"/>
                </a:sysClr>
              </a:solidFill>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288645" y="38583"/>
          <a:ext cx="894308"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578700" y="38583"/>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2019</a:t>
          </a:r>
        </a:p>
      </dgm:t>
    </dgm:pt>
    <dgm:pt modelId="{DA6DDA27-2107-4270-A3BD-1C78B27962E5}" type="parTrans" cxnId="{7A54F410-46BF-4BC4-8EA6-774AA8D2CE63}">
      <dgm:prSet/>
      <dgm:spPr/>
      <dgm:t>
        <a:bodyPr/>
        <a:lstStyle/>
        <a:p>
          <a:endParaRPr lang="cs-CZ"/>
        </a:p>
      </dgm:t>
    </dgm:pt>
    <dgm:pt modelId="{86BFB788-3F63-4576-8E20-CC6A3656E461}" type="sibTrans" cxnId="{7A54F410-46BF-4BC4-8EA6-774AA8D2CE63}">
      <dgm:prSet/>
      <dgm:spPr/>
      <dgm:t>
        <a:bodyPr/>
        <a:lstStyle/>
        <a:p>
          <a:endParaRPr lang="cs-CZ"/>
        </a:p>
      </dgm:t>
    </dgm:pt>
    <dgm:pt modelId="{A60C9FE3-6133-4657-A514-55217A1AA855}">
      <dgm:prSet custT="1"/>
      <dgm:spPr>
        <a:xfrm>
          <a:off x="3143048" y="945658"/>
          <a:ext cx="899071"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48E7F69E-D617-43E7-B65A-766B6597C104}" type="parTrans" cxnId="{B4C5D7C9-3B70-451E-921F-5A507669669C}">
      <dgm:prSet/>
      <dgm:spPr/>
      <dgm:t>
        <a:bodyPr/>
        <a:lstStyle/>
        <a:p>
          <a:endParaRPr lang="cs-CZ"/>
        </a:p>
      </dgm:t>
    </dgm:pt>
    <dgm:pt modelId="{E86F0626-7479-4219-874A-CE1165407EEC}" type="sibTrans" cxnId="{B4C5D7C9-3B70-451E-921F-5A507669669C}">
      <dgm:prSet/>
      <dgm:spPr/>
      <dgm:t>
        <a:bodyPr/>
        <a:lstStyle/>
        <a:p>
          <a:endParaRPr lang="cs-CZ"/>
        </a:p>
      </dgm:t>
    </dgm:pt>
    <dgm:pt modelId="{27FFE990-B0C4-4FE6-A871-AE135DB78369}">
      <dgm:prSet custT="1"/>
      <dgm:spPr>
        <a:xfrm>
          <a:off x="868755" y="945658"/>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943 336</a:t>
          </a:r>
        </a:p>
      </dgm:t>
    </dgm:pt>
    <dgm:pt modelId="{6FF203A5-4BE7-4F36-987F-345CD6206E3E}" type="parTrans" cxnId="{ACF7FCFB-5C7E-4ED9-9E67-B9F4B0554989}">
      <dgm:prSet/>
      <dgm:spPr/>
      <dgm:t>
        <a:bodyPr/>
        <a:lstStyle/>
        <a:p>
          <a:endParaRPr lang="cs-CZ"/>
        </a:p>
      </dgm:t>
    </dgm:pt>
    <dgm:pt modelId="{9B4A0989-1E62-46C2-BC62-491B074543C4}" type="sibTrans" cxnId="{ACF7FCFB-5C7E-4ED9-9E67-B9F4B0554989}">
      <dgm:prSet/>
      <dgm:spPr/>
      <dgm:t>
        <a:bodyPr/>
        <a:lstStyle/>
        <a:p>
          <a:endParaRPr lang="cs-CZ"/>
        </a:p>
      </dgm:t>
    </dgm:pt>
    <dgm:pt modelId="{77485BA1-1EFD-426B-BD17-453AAD7439CB}">
      <dgm:prSet custT="1"/>
      <dgm:spPr>
        <a:xfrm>
          <a:off x="2288645" y="945658"/>
          <a:ext cx="969975"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2 836 137</a:t>
          </a:r>
        </a:p>
      </dgm:t>
    </dgm:pt>
    <dgm:pt modelId="{5F05A5CF-31E6-4A74-87AB-A1DB8C53F68F}" type="parTrans" cxnId="{A25D73CF-D3FE-4A59-90D9-D522A8290BF9}">
      <dgm:prSet/>
      <dgm:spPr/>
      <dgm:t>
        <a:bodyPr/>
        <a:lstStyle/>
        <a:p>
          <a:endParaRPr lang="cs-CZ"/>
        </a:p>
      </dgm:t>
    </dgm:pt>
    <dgm:pt modelId="{6EB90918-DFF2-4E86-ABD3-6281C2267DD5}" type="sibTrans" cxnId="{A25D73CF-D3FE-4A59-90D9-D522A8290BF9}">
      <dgm:prSet/>
      <dgm:spPr/>
      <dgm:t>
        <a:bodyPr/>
        <a:lstStyle/>
        <a:p>
          <a:endParaRPr lang="cs-CZ"/>
        </a:p>
      </dgm:t>
    </dgm:pt>
    <dgm:pt modelId="{7D95A44A-ECB8-4607-AF49-B15DF5A2602D}">
      <dgm:prSet custT="1"/>
      <dgm:spPr>
        <a:xfrm>
          <a:off x="1578700" y="945658"/>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1A0087B4-A96A-4FB7-B06E-A5D36C6523EF}" type="parTrans" cxnId="{31794D17-765C-417D-B10F-34A1C578BC82}">
      <dgm:prSet/>
      <dgm:spPr/>
      <dgm:t>
        <a:bodyPr/>
        <a:lstStyle/>
        <a:p>
          <a:endParaRPr lang="cs-CZ"/>
        </a:p>
      </dgm:t>
    </dgm:pt>
    <dgm:pt modelId="{98FD26B5-E98B-4D74-B590-8A1D7F8EA02B}" type="sibTrans" cxnId="{31794D17-765C-417D-B10F-34A1C578BC82}">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3"/>
      <dgm:spPr/>
    </dgm:pt>
    <dgm:pt modelId="{D708EA36-7A62-4200-AA2D-F87AB641D79B}" type="pres">
      <dgm:prSet presAssocID="{4F5A3C1F-B0DE-477C-8A8C-330B6742F4A4}" presName="parTrans" presStyleCnt="0"/>
      <dgm:spPr/>
    </dgm:pt>
    <dgm:pt modelId="{030F83A3-E98C-4486-A756-7B7DEC40A7DD}" type="pres">
      <dgm:prSet presAssocID="{C605948A-2FAA-4B2B-A55B-BAE904731737}" presName="node" presStyleLbl="alignAccFollowNode1" presStyleIdx="0" presStyleCnt="18">
        <dgm:presLayoutVars>
          <dgm:bulletEnabled val="1"/>
        </dgm:presLayoutVars>
      </dgm:prSet>
      <dgm:spPr/>
    </dgm:pt>
    <dgm:pt modelId="{72EC78BA-7662-4A22-A807-ED0657C37165}" type="pres">
      <dgm:prSet presAssocID="{13EB3CF2-FEEB-4BAA-9725-6C1E3263EA03}" presName="sibTrans" presStyleCnt="0"/>
      <dgm:spPr/>
    </dgm:pt>
    <dgm:pt modelId="{9CF25B67-FA31-41AE-B4EF-CCD2718072B3}" type="pres">
      <dgm:prSet presAssocID="{B62A07CB-3EFA-46D4-B983-264441964367}" presName="node" presStyleLbl="alignAccFollowNode1" presStyleIdx="1" presStyleCnt="18">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2" presStyleCnt="18" custScaleX="108333">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3" presStyleCnt="18" custScaleX="110744">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4" presStyleCnt="18">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5" presStyleCnt="18" custScaleX="138111">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3"/>
      <dgm:spPr/>
    </dgm:pt>
    <dgm:pt modelId="{7F584C56-36FB-49EB-9E33-580FE0F9D74F}" type="pres">
      <dgm:prSet presAssocID="{B95147BD-D846-4A8C-92DB-73A084F65B44}" presName="parTrans" presStyleCnt="0"/>
      <dgm:spPr/>
    </dgm:pt>
    <dgm:pt modelId="{92DB449A-781D-438A-A28D-42D189DED613}" type="pres">
      <dgm:prSet presAssocID="{6CAE84A3-5291-4F09-9834-F24060A9F0B1}" presName="node" presStyleLbl="alignAccFollowNode1" presStyleIdx="6" presStyleCnt="18">
        <dgm:presLayoutVars>
          <dgm:bulletEnabled val="1"/>
        </dgm:presLayoutVars>
      </dgm:prSet>
      <dgm:spPr/>
    </dgm:pt>
    <dgm:pt modelId="{0F7C95B5-E5B1-4E7D-B972-6B77B705C56A}" type="pres">
      <dgm:prSet presAssocID="{45948C87-89E7-4E8B-9743-54102AC6245B}" presName="sibTrans" presStyleCnt="0"/>
      <dgm:spPr/>
    </dgm:pt>
    <dgm:pt modelId="{58F31D09-ADCD-4DC9-8221-D1D9CF855BAD}" type="pres">
      <dgm:prSet presAssocID="{8745A055-D09D-4C9C-BC6F-FA2A4CB4E11F}" presName="node" presStyleLbl="alignAccFollowNode1" presStyleIdx="7" presStyleCnt="18">
        <dgm:presLayoutVars>
          <dgm:bulletEnabled val="1"/>
        </dgm:presLayoutVars>
      </dgm:prSet>
      <dgm:spPr/>
    </dgm:pt>
    <dgm:pt modelId="{F926AF39-E7BE-4E11-9D22-C62449B0D6F5}" type="pres">
      <dgm:prSet presAssocID="{E1A6CB3E-3E8F-47BA-95FF-025EA5275374}" presName="sibTrans" presStyleCnt="0"/>
      <dgm:spPr/>
    </dgm:pt>
    <dgm:pt modelId="{A0DBC11E-E766-4152-BC15-BC0009251B6A}" type="pres">
      <dgm:prSet presAssocID="{3D26C7C6-8483-443E-A4D0-39EB2E9F1734}" presName="node" presStyleLbl="alignAccFollowNode1" presStyleIdx="8" presStyleCnt="18" custScaleX="111999">
        <dgm:presLayoutVars>
          <dgm:bulletEnabled val="1"/>
        </dgm:presLayoutVars>
      </dgm:prSet>
      <dgm:spPr/>
    </dgm:pt>
    <dgm:pt modelId="{D053A473-5939-4ED2-A2EB-08F6EA663B63}" type="pres">
      <dgm:prSet presAssocID="{01187B68-E2E8-4B94-97F8-2AC1B6A5D762}" presName="sibTrans" presStyleCnt="0"/>
      <dgm:spPr/>
    </dgm:pt>
    <dgm:pt modelId="{1D04C8CC-6EFD-46D0-BB1C-70E60B93513A}" type="pres">
      <dgm:prSet presAssocID="{F3DB0DA9-CF9F-48FB-8A4E-B16B996859CC}" presName="node" presStyleLbl="alignAccFollowNode1" presStyleIdx="9" presStyleCnt="18" custScaleX="114410">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10" presStyleCnt="18">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11" presStyleCnt="18" custScaleX="132678">
        <dgm:presLayoutVars>
          <dgm:bulletEnabled val="1"/>
        </dgm:presLayoutVars>
      </dgm:prSet>
      <dgm:spPr/>
    </dgm:pt>
    <dgm:pt modelId="{BD4AB627-12C3-4C14-A36D-18F53B40C0C2}" type="pres">
      <dgm:prSet presAssocID="{60CC8BA2-67B8-4B5C-8F83-24E2D147DDF5}" presName="vSp" presStyleCnt="0"/>
      <dgm:spPr/>
    </dgm:pt>
    <dgm:pt modelId="{74599312-6AB4-4211-AF7A-02BC49294BED}" type="pres">
      <dgm:prSet presAssocID="{FB587A40-1508-4D97-8343-8C28E6FBB468}" presName="horFlow" presStyleCnt="0"/>
      <dgm:spPr/>
    </dgm:pt>
    <dgm:pt modelId="{F97D4733-33FE-440A-9F4A-E88411DCDC07}" type="pres">
      <dgm:prSet presAssocID="{FB587A40-1508-4D97-8343-8C28E6FBB468}" presName="bigChev" presStyleLbl="node1" presStyleIdx="2" presStyleCnt="3"/>
      <dgm:spPr/>
    </dgm:pt>
    <dgm:pt modelId="{D1ACCDF2-9E7F-476A-9D20-0DAF44D09DEF}" type="pres">
      <dgm:prSet presAssocID="{6FF203A5-4BE7-4F36-987F-345CD6206E3E}" presName="parTrans" presStyleCnt="0"/>
      <dgm:spPr/>
    </dgm:pt>
    <dgm:pt modelId="{16516B57-4DCC-425D-9CC5-42A917385C3E}" type="pres">
      <dgm:prSet presAssocID="{27FFE990-B0C4-4FE6-A871-AE135DB78369}" presName="node" presStyleLbl="alignAccFollowNode1" presStyleIdx="12" presStyleCnt="18">
        <dgm:presLayoutVars>
          <dgm:bulletEnabled val="1"/>
        </dgm:presLayoutVars>
      </dgm:prSet>
      <dgm:spPr/>
    </dgm:pt>
    <dgm:pt modelId="{FA023B04-684B-4501-97AF-9EDA18AA5790}" type="pres">
      <dgm:prSet presAssocID="{9B4A0989-1E62-46C2-BC62-491B074543C4}" presName="sibTrans" presStyleCnt="0"/>
      <dgm:spPr/>
    </dgm:pt>
    <dgm:pt modelId="{8F0EEA60-B1DB-420F-91B7-F24A16C0E9F6}" type="pres">
      <dgm:prSet presAssocID="{7D95A44A-ECB8-4607-AF49-B15DF5A2602D}" presName="node" presStyleLbl="alignAccFollowNode1" presStyleIdx="13" presStyleCnt="18">
        <dgm:presLayoutVars>
          <dgm:bulletEnabled val="1"/>
        </dgm:presLayoutVars>
      </dgm:prSet>
      <dgm:spPr/>
    </dgm:pt>
    <dgm:pt modelId="{FA44E0AB-6FD0-49BB-B31B-83A7AF9B57C9}" type="pres">
      <dgm:prSet presAssocID="{98FD26B5-E98B-4D74-B590-8A1D7F8EA02B}" presName="sibTrans" presStyleCnt="0"/>
      <dgm:spPr/>
    </dgm:pt>
    <dgm:pt modelId="{364DD1D5-65B5-427D-8048-69F9B123D620}" type="pres">
      <dgm:prSet presAssocID="{77485BA1-1EFD-426B-BD17-453AAD7439CB}" presName="node" presStyleLbl="alignAccFollowNode1" presStyleIdx="14" presStyleCnt="18" custScaleX="117499">
        <dgm:presLayoutVars>
          <dgm:bulletEnabled val="1"/>
        </dgm:presLayoutVars>
      </dgm:prSet>
      <dgm:spPr/>
    </dgm:pt>
    <dgm:pt modelId="{0389FC13-632C-46F0-8605-F8B130B01B47}" type="pres">
      <dgm:prSet presAssocID="{6EB90918-DFF2-4E86-ABD3-6281C2267DD5}" presName="sibTrans" presStyleCnt="0"/>
      <dgm:spPr/>
    </dgm:pt>
    <dgm:pt modelId="{7249E8C8-FABD-4CA5-BBFA-E45908887436}" type="pres">
      <dgm:prSet presAssocID="{A60C9FE3-6133-4657-A514-55217A1AA855}" presName="node" presStyleLbl="alignAccFollowNode1" presStyleIdx="15" presStyleCnt="18" custScaleX="108910">
        <dgm:presLayoutVars>
          <dgm:bulletEnabled val="1"/>
        </dgm:presLayoutVars>
      </dgm:prSet>
      <dgm:spPr/>
    </dgm:pt>
    <dgm:pt modelId="{00F72B38-8AC4-4DF1-AA7B-BB2A489ECE83}" type="pres">
      <dgm:prSet presAssocID="{E86F0626-7479-4219-874A-CE1165407EEC}" presName="sibTrans" presStyleCnt="0"/>
      <dgm:spPr/>
    </dgm:pt>
    <dgm:pt modelId="{1F7E2D3B-1C75-4E88-87A3-5E98A54B5AC6}" type="pres">
      <dgm:prSet presAssocID="{F23C8976-2127-4278-997D-2CDED8DEB7F2}" presName="node" presStyleLbl="alignAccFollowNode1" presStyleIdx="16" presStyleCnt="18">
        <dgm:presLayoutVars>
          <dgm:bulletEnabled val="1"/>
        </dgm:presLayoutVars>
      </dgm:prSet>
      <dgm:spPr/>
    </dgm:pt>
    <dgm:pt modelId="{53E9F6E5-248F-45F1-A9AB-C47D75EC7068}" type="pres">
      <dgm:prSet presAssocID="{7A52D734-6024-4494-86F2-45892853953A}" presName="sibTrans" presStyleCnt="0"/>
      <dgm:spPr/>
    </dgm:pt>
    <dgm:pt modelId="{2BB8A638-90F3-4041-95E0-6576F32D89E3}" type="pres">
      <dgm:prSet presAssocID="{A27EEBCB-6984-4C15-B6F0-27B735F2B4E0}" presName="node" presStyleLbl="alignAccFollowNode1" presStyleIdx="17" presStyleCnt="18" custScaleX="132997">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8640D906-6D90-46F5-A549-4F071EDC525B}" srcId="{60CC8BA2-67B8-4B5C-8F83-24E2D147DDF5}" destId="{6CAE84A3-5291-4F09-9834-F24060A9F0B1}" srcOrd="0" destOrd="0" parTransId="{B95147BD-D846-4A8C-92DB-73A084F65B44}" sibTransId="{45948C87-89E7-4E8B-9743-54102AC6245B}"/>
    <dgm:cxn modelId="{64112C09-0440-4778-81F4-727FA9F9691C}" srcId="{60CC8BA2-67B8-4B5C-8F83-24E2D147DDF5}" destId="{3D26C7C6-8483-443E-A4D0-39EB2E9F1734}" srcOrd="2" destOrd="0" parTransId="{784EF831-4F13-4FD2-9A95-E0A2C4428672}" sibTransId="{01187B68-E2E8-4B94-97F8-2AC1B6A5D762}"/>
    <dgm:cxn modelId="{A49A260C-AA3B-425C-A528-9DA30D7BC691}" type="presOf" srcId="{3D26C7C6-8483-443E-A4D0-39EB2E9F1734}" destId="{A0DBC11E-E766-4152-BC15-BC0009251B6A}" srcOrd="0" destOrd="0" presId="urn:microsoft.com/office/officeart/2005/8/layout/lProcess3"/>
    <dgm:cxn modelId="{7A54F410-46BF-4BC4-8EA6-774AA8D2CE63}" srcId="{A026A503-5385-48CD-9960-7890BC01BF17}" destId="{B62A07CB-3EFA-46D4-B983-264441964367}" srcOrd="1" destOrd="0" parTransId="{DA6DDA27-2107-4270-A3BD-1C78B27962E5}" sibTransId="{86BFB788-3F63-4576-8E20-CC6A3656E461}"/>
    <dgm:cxn modelId="{67ACB215-C547-49CC-87ED-8EE43AA7DA4F}" srcId="{FB587A40-1508-4D97-8343-8C28E6FBB468}" destId="{F23C8976-2127-4278-997D-2CDED8DEB7F2}" srcOrd="4" destOrd="0" parTransId="{C60EC84A-D43D-46D2-8A83-88B32AFBC884}" sibTransId="{7A52D734-6024-4494-86F2-45892853953A}"/>
    <dgm:cxn modelId="{78521717-9E71-41A7-B2C1-90D5FAE5A1CB}" type="presOf" srcId="{77485BA1-1EFD-426B-BD17-453AAD7439CB}" destId="{364DD1D5-65B5-427D-8048-69F9B123D620}" srcOrd="0" destOrd="0" presId="urn:microsoft.com/office/officeart/2005/8/layout/lProcess3"/>
    <dgm:cxn modelId="{31794D17-765C-417D-B10F-34A1C578BC82}" srcId="{FB587A40-1508-4D97-8343-8C28E6FBB468}" destId="{7D95A44A-ECB8-4607-AF49-B15DF5A2602D}" srcOrd="1" destOrd="0" parTransId="{1A0087B4-A96A-4FB7-B06E-A5D36C6523EF}" sibTransId="{98FD26B5-E98B-4D74-B590-8A1D7F8EA02B}"/>
    <dgm:cxn modelId="{50C4D418-E3EE-43BA-8DBE-EA09E0166175}" srcId="{60CC8BA2-67B8-4B5C-8F83-24E2D147DDF5}" destId="{C00F4E8D-2D97-4332-8A25-D515248152D2}" srcOrd="4" destOrd="0" parTransId="{8CE3F335-ECDE-4FE1-95C9-782C64482161}" sibTransId="{C3D59508-ADB3-4433-BEA0-51BEB0A8B6D4}"/>
    <dgm:cxn modelId="{9A777627-4B28-4942-99C1-64653CDB170F}" type="presOf" srcId="{27FFE990-B0C4-4FE6-A871-AE135DB78369}" destId="{16516B57-4DCC-425D-9CC5-42A917385C3E}" srcOrd="0" destOrd="0" presId="urn:microsoft.com/office/officeart/2005/8/layout/lProcess3"/>
    <dgm:cxn modelId="{47B6CD29-356F-43A1-99A4-931E915C2950}" type="presOf" srcId="{66B9B487-B0DE-49D5-B890-8F4F7B485182}" destId="{E8FE0132-567C-48E3-8786-55757C8F10C4}" srcOrd="0" destOrd="0" presId="urn:microsoft.com/office/officeart/2005/8/layout/lProcess3"/>
    <dgm:cxn modelId="{4416F82F-40A8-4740-AE37-435C6B87493B}" srcId="{E6F261A4-C73A-49D8-96F2-76C8A05FBA61}" destId="{FB587A40-1508-4D97-8343-8C28E6FBB468}" srcOrd="2" destOrd="0" parTransId="{5A4B4849-C2A4-45C8-8168-A75B29D32ADB}" sibTransId="{D50D9CFF-A1EA-4080-A317-AF76E6FFF851}"/>
    <dgm:cxn modelId="{81368935-D9C8-4FD2-94D9-578AF782F3C7}" srcId="{A026A503-5385-48CD-9960-7890BC01BF17}" destId="{B7ECE7B1-DE09-4B35-B3EF-F552934AFCE8}" srcOrd="3" destOrd="0" parTransId="{A9C9CEC0-A762-4343-9FD1-C949E5188B85}" sibTransId="{10B5F909-84D1-4EDB-9013-6CD0F76DFEA1}"/>
    <dgm:cxn modelId="{F8BA8E3A-2853-464E-89AE-903440A0A8AA}" srcId="{A026A503-5385-48CD-9960-7890BC01BF17}" destId="{66B9B487-B0DE-49D5-B890-8F4F7B485182}" srcOrd="5"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1" destOrd="0" parTransId="{987134DD-5B78-4BCA-9259-DE628B8E685E}" sibTransId="{E1A6CB3E-3E8F-47BA-95FF-025EA5275374}"/>
    <dgm:cxn modelId="{DA9B9B68-BE8F-4E0D-971E-10B1DE45F4EF}" srcId="{A026A503-5385-48CD-9960-7890BC01BF17}" destId="{C605948A-2FAA-4B2B-A55B-BAE904731737}" srcOrd="0" destOrd="0" parTransId="{4F5A3C1F-B0DE-477C-8A8C-330B6742F4A4}" sibTransId="{13EB3CF2-FEEB-4BAA-9725-6C1E3263EA03}"/>
    <dgm:cxn modelId="{E643F668-812E-447F-8ABE-B32AE9D3D453}" type="presOf" srcId="{6CAE84A3-5291-4F09-9834-F24060A9F0B1}" destId="{92DB449A-781D-438A-A28D-42D189DED613}" srcOrd="0" destOrd="0" presId="urn:microsoft.com/office/officeart/2005/8/layout/lProcess3"/>
    <dgm:cxn modelId="{6B393870-ED54-405E-974D-A62CC7C580CD}" type="presOf" srcId="{A60C9FE3-6133-4657-A514-55217A1AA855}" destId="{7249E8C8-FABD-4CA5-BBFA-E45908887436}" srcOrd="0" destOrd="0" presId="urn:microsoft.com/office/officeart/2005/8/layout/lProcess3"/>
    <dgm:cxn modelId="{2D587D55-1155-4743-A2E6-D8BB3EE53FFA}" type="presOf" srcId="{7D95A44A-ECB8-4607-AF49-B15DF5A2602D}" destId="{8F0EEA60-B1DB-420F-91B7-F24A16C0E9F6}" srcOrd="0" destOrd="0" presId="urn:microsoft.com/office/officeart/2005/8/layout/lProcess3"/>
    <dgm:cxn modelId="{9AAF8E5A-DC3B-4AFE-BF2B-0CA982D4A873}" srcId="{A026A503-5385-48CD-9960-7890BC01BF17}" destId="{81B96AF2-AF7C-4C6D-BF8F-26DA405E6181}" srcOrd="4"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5" destOrd="0" parTransId="{209BC680-4E03-4850-8AA8-C4A94E922D15}" sibTransId="{530A1608-B48A-4847-B17E-FBE47F647A54}"/>
    <dgm:cxn modelId="{12DF8CA0-2202-48D3-BFED-52239A8BF490}" srcId="{60CC8BA2-67B8-4B5C-8F83-24E2D147DDF5}" destId="{F3DB0DA9-CF9F-48FB-8A4E-B16B996859CC}" srcOrd="3"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B4C5D7C9-3B70-451E-921F-5A507669669C}" srcId="{FB587A40-1508-4D97-8343-8C28E6FBB468}" destId="{A60C9FE3-6133-4657-A514-55217A1AA855}" srcOrd="3" destOrd="0" parTransId="{48E7F69E-D617-43E7-B65A-766B6597C104}" sibTransId="{E86F0626-7479-4219-874A-CE1165407EEC}"/>
    <dgm:cxn modelId="{48EC4FCA-D306-41BD-B626-13E5643BC8EE}" type="presOf" srcId="{C605948A-2FAA-4B2B-A55B-BAE904731737}" destId="{030F83A3-E98C-4486-A756-7B7DEC40A7DD}"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A25D73CF-D3FE-4A59-90D9-D522A8290BF9}" srcId="{FB587A40-1508-4D97-8343-8C28E6FBB468}" destId="{77485BA1-1EFD-426B-BD17-453AAD7439CB}" srcOrd="2" destOrd="0" parTransId="{5F05A5CF-31E6-4A74-87AB-A1DB8C53F68F}" sibTransId="{6EB90918-DFF2-4E86-ABD3-6281C2267DD5}"/>
    <dgm:cxn modelId="{C40972D2-A95A-4B4B-BBE9-36A113D44C99}" type="presOf" srcId="{FB587A40-1508-4D97-8343-8C28E6FBB468}" destId="{F97D4733-33FE-440A-9F4A-E88411DCDC07}" srcOrd="0" destOrd="0" presId="urn:microsoft.com/office/officeart/2005/8/layout/lProcess3"/>
    <dgm:cxn modelId="{0DC9CAD7-C976-4E61-934E-63A3AC917476}" type="presOf" srcId="{F23C8976-2127-4278-997D-2CDED8DEB7F2}" destId="{1F7E2D3B-1C75-4E88-87A3-5E98A54B5AC6}" srcOrd="0" destOrd="0" presId="urn:microsoft.com/office/officeart/2005/8/layout/lProcess3"/>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2"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8AE17EF8-C7A0-4637-AF61-6768CACB5AFB}" type="presOf" srcId="{A27EEBCB-6984-4C15-B6F0-27B735F2B4E0}" destId="{2BB8A638-90F3-4041-95E0-6576F32D89E3}" srcOrd="0" destOrd="0" presId="urn:microsoft.com/office/officeart/2005/8/layout/lProcess3"/>
    <dgm:cxn modelId="{ACF7FCFB-5C7E-4ED9-9E67-B9F4B0554989}" srcId="{FB587A40-1508-4D97-8343-8C28E6FBB468}" destId="{27FFE990-B0C4-4FE6-A871-AE135DB78369}" srcOrd="0" destOrd="0" parTransId="{6FF203A5-4BE7-4F36-987F-345CD6206E3E}" sibTransId="{9B4A0989-1E62-46C2-BC62-491B074543C4}"/>
    <dgm:cxn modelId="{9F384BFF-2582-42FB-AA89-C1DF4BFA2F8A}" type="presOf" srcId="{F3DB0DA9-CF9F-48FB-8A4E-B16B996859CC}" destId="{1D04C8CC-6EFD-46D0-BB1C-70E60B93513A}" srcOrd="0" destOrd="0" presId="urn:microsoft.com/office/officeart/2005/8/layout/lProcess3"/>
    <dgm:cxn modelId="{6583D4FF-13F4-4B7E-BB4B-A9938DD6AED1}" srcId="{FB587A40-1508-4D97-8343-8C28E6FBB468}" destId="{A27EEBCB-6984-4C15-B6F0-27B735F2B4E0}" srcOrd="5" destOrd="0" parTransId="{E2E6D716-159D-40AE-A33B-539431203709}" sibTransId="{282F0C65-4156-4839-9CD8-F5A3B3C83326}"/>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CEBA6DA9-4893-4B48-BA41-699721241277}" type="presParOf" srcId="{7AFA005C-24EB-425D-AA59-994D2BCA7851}" destId="{D708EA36-7A62-4200-AA2D-F87AB641D79B}" srcOrd="1" destOrd="0" presId="urn:microsoft.com/office/officeart/2005/8/layout/lProcess3"/>
    <dgm:cxn modelId="{897E52B9-769B-411C-8153-CAB01EFCF4A8}" type="presParOf" srcId="{7AFA005C-24EB-425D-AA59-994D2BCA7851}" destId="{030F83A3-E98C-4486-A756-7B7DEC40A7DD}" srcOrd="2" destOrd="0" presId="urn:microsoft.com/office/officeart/2005/8/layout/lProcess3"/>
    <dgm:cxn modelId="{0102FA0A-21ED-43C1-8F5D-1F46E440CC9E}" type="presParOf" srcId="{7AFA005C-24EB-425D-AA59-994D2BCA7851}" destId="{72EC78BA-7662-4A22-A807-ED0657C37165}" srcOrd="3" destOrd="0" presId="urn:microsoft.com/office/officeart/2005/8/layout/lProcess3"/>
    <dgm:cxn modelId="{E2308CAE-70E6-43D3-8275-F70F4D1B821B}" type="presParOf" srcId="{7AFA005C-24EB-425D-AA59-994D2BCA7851}" destId="{9CF25B67-FA31-41AE-B4EF-CCD2718072B3}" srcOrd="4" destOrd="0" presId="urn:microsoft.com/office/officeart/2005/8/layout/lProcess3"/>
    <dgm:cxn modelId="{5C1B932C-235D-4F1A-9AE4-FBE0C0741DCC}" type="presParOf" srcId="{7AFA005C-24EB-425D-AA59-994D2BCA7851}" destId="{CF2A569A-A5DD-47B4-A8A4-2F55658E3B6D}" srcOrd="5" destOrd="0" presId="urn:microsoft.com/office/officeart/2005/8/layout/lProcess3"/>
    <dgm:cxn modelId="{5299EB9E-9611-4C80-9C7F-367781513D99}" type="presParOf" srcId="{7AFA005C-24EB-425D-AA59-994D2BCA7851}" destId="{ED3FB9E6-0BAA-4702-B8CA-920A66AFC02F}" srcOrd="6" destOrd="0" presId="urn:microsoft.com/office/officeart/2005/8/layout/lProcess3"/>
    <dgm:cxn modelId="{0EF39BA9-C529-41BC-BE86-013E7B281E2A}" type="presParOf" srcId="{7AFA005C-24EB-425D-AA59-994D2BCA7851}" destId="{3121E4B7-F3A0-42BA-AD82-8FDFE22D4AC6}" srcOrd="7" destOrd="0" presId="urn:microsoft.com/office/officeart/2005/8/layout/lProcess3"/>
    <dgm:cxn modelId="{817DB98E-76EC-43EC-A793-E225BB82EC22}" type="presParOf" srcId="{7AFA005C-24EB-425D-AA59-994D2BCA7851}" destId="{9783D7DD-9297-4972-8B5A-E2BE8A6720CA}" srcOrd="8" destOrd="0" presId="urn:microsoft.com/office/officeart/2005/8/layout/lProcess3"/>
    <dgm:cxn modelId="{75D27544-63C6-4DC2-A041-AA8A2E6ECBCE}" type="presParOf" srcId="{7AFA005C-24EB-425D-AA59-994D2BCA7851}" destId="{595C3FF3-1CE2-4857-857D-24F27C9A7A01}" srcOrd="9" destOrd="0" presId="urn:microsoft.com/office/officeart/2005/8/layout/lProcess3"/>
    <dgm:cxn modelId="{D24CC84D-6544-41E1-BD00-53D4E9FEA428}" type="presParOf" srcId="{7AFA005C-24EB-425D-AA59-994D2BCA7851}" destId="{1A805A11-34B2-4547-9AC3-D38054F91140}" srcOrd="10" destOrd="0" presId="urn:microsoft.com/office/officeart/2005/8/layout/lProcess3"/>
    <dgm:cxn modelId="{E11EDD92-E80E-4A97-B356-E8B1E0B92849}" type="presParOf" srcId="{7AFA005C-24EB-425D-AA59-994D2BCA7851}" destId="{170943A2-07FD-4ED6-B58F-4E78324785DA}" srcOrd="11" destOrd="0" presId="urn:microsoft.com/office/officeart/2005/8/layout/lProcess3"/>
    <dgm:cxn modelId="{6B8782E3-72D3-4D4A-B59B-56F04F4C3BBE}" type="presParOf" srcId="{7AFA005C-24EB-425D-AA59-994D2BCA7851}" destId="{E8FE0132-567C-48E3-8786-55757C8F10C4}" srcOrd="12"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78A4DFE0-3E3D-412F-91B7-397372F67513}" type="presParOf" srcId="{46382AFD-95FC-4564-A1AD-95C56098B8F7}" destId="{7F584C56-36FB-49EB-9E33-580FE0F9D74F}" srcOrd="1" destOrd="0" presId="urn:microsoft.com/office/officeart/2005/8/layout/lProcess3"/>
    <dgm:cxn modelId="{E6D22A62-91AC-41A2-A4F3-C95CF47ED007}" type="presParOf" srcId="{46382AFD-95FC-4564-A1AD-95C56098B8F7}" destId="{92DB449A-781D-438A-A28D-42D189DED613}" srcOrd="2" destOrd="0" presId="urn:microsoft.com/office/officeart/2005/8/layout/lProcess3"/>
    <dgm:cxn modelId="{587AE5F1-06B4-4C24-8317-F9F11E51EE01}" type="presParOf" srcId="{46382AFD-95FC-4564-A1AD-95C56098B8F7}" destId="{0F7C95B5-E5B1-4E7D-B972-6B77B705C56A}" srcOrd="3" destOrd="0" presId="urn:microsoft.com/office/officeart/2005/8/layout/lProcess3"/>
    <dgm:cxn modelId="{057BC54A-0FEE-4424-895F-E36957DC6163}" type="presParOf" srcId="{46382AFD-95FC-4564-A1AD-95C56098B8F7}" destId="{58F31D09-ADCD-4DC9-8221-D1D9CF855BAD}" srcOrd="4" destOrd="0" presId="urn:microsoft.com/office/officeart/2005/8/layout/lProcess3"/>
    <dgm:cxn modelId="{0782C071-60FB-4447-91C9-27630AD1C5CA}" type="presParOf" srcId="{46382AFD-95FC-4564-A1AD-95C56098B8F7}" destId="{F926AF39-E7BE-4E11-9D22-C62449B0D6F5}" srcOrd="5" destOrd="0" presId="urn:microsoft.com/office/officeart/2005/8/layout/lProcess3"/>
    <dgm:cxn modelId="{6C78DA26-2E38-40AA-B8D7-2022B2D87269}" type="presParOf" srcId="{46382AFD-95FC-4564-A1AD-95C56098B8F7}" destId="{A0DBC11E-E766-4152-BC15-BC0009251B6A}" srcOrd="6" destOrd="0" presId="urn:microsoft.com/office/officeart/2005/8/layout/lProcess3"/>
    <dgm:cxn modelId="{B5BDE1A4-09E6-4ADF-A8E6-4434CD92E6A8}" type="presParOf" srcId="{46382AFD-95FC-4564-A1AD-95C56098B8F7}" destId="{D053A473-5939-4ED2-A2EB-08F6EA663B63}" srcOrd="7" destOrd="0" presId="urn:microsoft.com/office/officeart/2005/8/layout/lProcess3"/>
    <dgm:cxn modelId="{12E0D335-A7F9-4071-A638-35E7FC2D0473}" type="presParOf" srcId="{46382AFD-95FC-4564-A1AD-95C56098B8F7}" destId="{1D04C8CC-6EFD-46D0-BB1C-70E60B93513A}" srcOrd="8" destOrd="0" presId="urn:microsoft.com/office/officeart/2005/8/layout/lProcess3"/>
    <dgm:cxn modelId="{65D41940-96AE-4BB8-8400-1448CC4346E4}" type="presParOf" srcId="{46382AFD-95FC-4564-A1AD-95C56098B8F7}" destId="{ACF4825D-F322-47DC-8BCE-FA35DB4619D6}" srcOrd="9" destOrd="0" presId="urn:microsoft.com/office/officeart/2005/8/layout/lProcess3"/>
    <dgm:cxn modelId="{FE60B3C6-AADC-4DA9-B0A5-9F1EBF1B9B06}" type="presParOf" srcId="{46382AFD-95FC-4564-A1AD-95C56098B8F7}" destId="{13C9CD02-249A-42BA-89EA-061EDDC086D7}" srcOrd="10" destOrd="0" presId="urn:microsoft.com/office/officeart/2005/8/layout/lProcess3"/>
    <dgm:cxn modelId="{F48B0157-5ACA-40C7-B996-536DB78C2FEA}" type="presParOf" srcId="{46382AFD-95FC-4564-A1AD-95C56098B8F7}" destId="{412FD5E1-6105-4277-8502-29E6E714906A}" srcOrd="11" destOrd="0" presId="urn:microsoft.com/office/officeart/2005/8/layout/lProcess3"/>
    <dgm:cxn modelId="{45DA59A1-0878-4066-8783-79CD9368F04F}" type="presParOf" srcId="{46382AFD-95FC-4564-A1AD-95C56098B8F7}" destId="{10D62D9A-AAE0-458C-9095-B2BB7F451ACB}" srcOrd="12" destOrd="0" presId="urn:microsoft.com/office/officeart/2005/8/layout/lProcess3"/>
    <dgm:cxn modelId="{03749785-A0FE-4031-8EF3-B97CCF7144EA}" type="presParOf" srcId="{AABEC067-B163-4BF4-8A60-BD081BE42642}" destId="{BD4AB627-12C3-4C14-A36D-18F53B40C0C2}" srcOrd="3" destOrd="0" presId="urn:microsoft.com/office/officeart/2005/8/layout/lProcess3"/>
    <dgm:cxn modelId="{FA29E224-8962-446E-9E6F-766B5E85182A}" type="presParOf" srcId="{AABEC067-B163-4BF4-8A60-BD081BE42642}" destId="{74599312-6AB4-4211-AF7A-02BC49294BED}" srcOrd="4" destOrd="0" presId="urn:microsoft.com/office/officeart/2005/8/layout/lProcess3"/>
    <dgm:cxn modelId="{8CB96936-1F9C-4925-8D87-7127EAFB9D99}" type="presParOf" srcId="{74599312-6AB4-4211-AF7A-02BC49294BED}" destId="{F97D4733-33FE-440A-9F4A-E88411DCDC07}" srcOrd="0" destOrd="0" presId="urn:microsoft.com/office/officeart/2005/8/layout/lProcess3"/>
    <dgm:cxn modelId="{10D50D15-0BDE-4468-B2B4-D890B00A91C8}" type="presParOf" srcId="{74599312-6AB4-4211-AF7A-02BC49294BED}" destId="{D1ACCDF2-9E7F-476A-9D20-0DAF44D09DEF}" srcOrd="1" destOrd="0" presId="urn:microsoft.com/office/officeart/2005/8/layout/lProcess3"/>
    <dgm:cxn modelId="{90FDC069-A7BE-4BB6-8F71-92B1A88D762E}" type="presParOf" srcId="{74599312-6AB4-4211-AF7A-02BC49294BED}" destId="{16516B57-4DCC-425D-9CC5-42A917385C3E}" srcOrd="2" destOrd="0" presId="urn:microsoft.com/office/officeart/2005/8/layout/lProcess3"/>
    <dgm:cxn modelId="{78FC66FF-2C9A-4373-90F6-1940EB779A60}" type="presParOf" srcId="{74599312-6AB4-4211-AF7A-02BC49294BED}" destId="{FA023B04-684B-4501-97AF-9EDA18AA5790}" srcOrd="3" destOrd="0" presId="urn:microsoft.com/office/officeart/2005/8/layout/lProcess3"/>
    <dgm:cxn modelId="{59094907-C405-4557-889C-18FAAC6943E9}" type="presParOf" srcId="{74599312-6AB4-4211-AF7A-02BC49294BED}" destId="{8F0EEA60-B1DB-420F-91B7-F24A16C0E9F6}" srcOrd="4" destOrd="0" presId="urn:microsoft.com/office/officeart/2005/8/layout/lProcess3"/>
    <dgm:cxn modelId="{472FFE65-2DB7-4664-9EE2-C563E94B388E}" type="presParOf" srcId="{74599312-6AB4-4211-AF7A-02BC49294BED}" destId="{FA44E0AB-6FD0-49BB-B31B-83A7AF9B57C9}" srcOrd="5" destOrd="0" presId="urn:microsoft.com/office/officeart/2005/8/layout/lProcess3"/>
    <dgm:cxn modelId="{8C3ACE92-A6CB-4C11-BAEE-2EE1DB633B21}" type="presParOf" srcId="{74599312-6AB4-4211-AF7A-02BC49294BED}" destId="{364DD1D5-65B5-427D-8048-69F9B123D620}" srcOrd="6" destOrd="0" presId="urn:microsoft.com/office/officeart/2005/8/layout/lProcess3"/>
    <dgm:cxn modelId="{0227F734-30B6-4632-BBBD-1AC104D8FF95}" type="presParOf" srcId="{74599312-6AB4-4211-AF7A-02BC49294BED}" destId="{0389FC13-632C-46F0-8605-F8B130B01B47}" srcOrd="7" destOrd="0" presId="urn:microsoft.com/office/officeart/2005/8/layout/lProcess3"/>
    <dgm:cxn modelId="{9073BBF4-C443-4536-A257-F735FE271A5F}" type="presParOf" srcId="{74599312-6AB4-4211-AF7A-02BC49294BED}" destId="{7249E8C8-FABD-4CA5-BBFA-E45908887436}" srcOrd="8" destOrd="0" presId="urn:microsoft.com/office/officeart/2005/8/layout/lProcess3"/>
    <dgm:cxn modelId="{0FFC18E3-BF01-45C5-86D4-6F59C4679AE7}" type="presParOf" srcId="{74599312-6AB4-4211-AF7A-02BC49294BED}" destId="{00F72B38-8AC4-4DF1-AA7B-BB2A489ECE83}" srcOrd="9" destOrd="0" presId="urn:microsoft.com/office/officeart/2005/8/layout/lProcess3"/>
    <dgm:cxn modelId="{86F4ABCE-B7B3-452A-88BF-FE4450850404}" type="presParOf" srcId="{74599312-6AB4-4211-AF7A-02BC49294BED}" destId="{1F7E2D3B-1C75-4E88-87A3-5E98A54B5AC6}" srcOrd="10" destOrd="0" presId="urn:microsoft.com/office/officeart/2005/8/layout/lProcess3"/>
    <dgm:cxn modelId="{D20C2889-0321-40C4-AF06-B1AC77256BBD}" type="presParOf" srcId="{74599312-6AB4-4211-AF7A-02BC49294BED}" destId="{53E9F6E5-248F-45F1-A9AB-C47D75EC7068}" srcOrd="11" destOrd="0" presId="urn:microsoft.com/office/officeart/2005/8/layout/lProcess3"/>
    <dgm:cxn modelId="{87337C10-D6DE-4D55-8878-CDC5F37BA04F}" type="presParOf" srcId="{74599312-6AB4-4211-AF7A-02BC49294BED}" destId="{2BB8A638-90F3-4041-95E0-6576F32D89E3}" srcOrd="12" destOrd="0" presId="urn:microsoft.com/office/officeart/2005/8/layout/lProcess3"/>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674DB68-C40A-4650-9236-EB4C2EA1A0A0}"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F3284D9-050B-4EF3-9AFE-CFF32691E21B}">
      <dgm:prSet phldrT="[Text]" custT="1"/>
      <dgm: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100" baseline="0">
              <a:solidFill>
                <a:sysClr val="windowText" lastClr="000000"/>
              </a:solidFill>
              <a:latin typeface="Calibri" panose="020F0502020204030204"/>
              <a:ea typeface="+mn-ea"/>
              <a:cs typeface="+mn-cs"/>
            </a:rPr>
            <a:t>Celkové schválené výdaje programu hrazené ze státního rozpočtu činí </a:t>
          </a:r>
          <a:r>
            <a:rPr lang="cs-CZ" sz="1100" b="1" baseline="0">
              <a:solidFill>
                <a:sysClr val="windowText" lastClr="000000"/>
              </a:solidFill>
              <a:latin typeface="Calibri" panose="020F0502020204030204"/>
              <a:ea typeface="+mn-ea"/>
              <a:cs typeface="+mn-cs"/>
            </a:rPr>
            <a:t>15 000 tis. Kč</a:t>
          </a:r>
        </a:p>
      </dgm:t>
    </dgm:pt>
    <dgm:pt modelId="{B1C7ED98-A319-4B73-8667-A9BC9F6D8328}" type="parTrans" cxnId="{6A00B773-E43C-4AB5-B9E3-0344D4A05F45}">
      <dgm:prSet/>
      <dgm:spPr/>
      <dgm:t>
        <a:bodyPr/>
        <a:lstStyle/>
        <a:p>
          <a:endParaRPr lang="cs-CZ"/>
        </a:p>
      </dgm:t>
    </dgm:pt>
    <dgm:pt modelId="{69029C21-5BE1-497A-A793-F9A74341301B}" type="sibTrans" cxnId="{6A00B773-E43C-4AB5-B9E3-0344D4A05F45}">
      <dgm:prSet/>
      <dgm:spPr/>
      <dgm:t>
        <a:bodyPr/>
        <a:lstStyle/>
        <a:p>
          <a:endParaRPr lang="cs-CZ"/>
        </a:p>
      </dgm:t>
    </dgm:pt>
    <dgm:pt modelId="{C3F872C0-9A7E-4486-9085-68D028B70349}">
      <dgm:prSet phldrT="[Text]" custT="1"/>
      <dgm: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nSpc>
              <a:spcPct val="100000"/>
            </a:lnSpc>
            <a:spcAft>
              <a:spcPts val="0"/>
            </a:spcAft>
            <a:buNone/>
          </a:pPr>
          <a:r>
            <a:rPr lang="cs-CZ" sz="1100" b="1">
              <a:solidFill>
                <a:srgbClr val="5B9BD5">
                  <a:lumMod val="75000"/>
                </a:srgbClr>
              </a:solidFill>
              <a:latin typeface="Calibri" panose="020F0502020204030204"/>
              <a:ea typeface="+mn-ea"/>
              <a:cs typeface="+mn-cs"/>
            </a:rPr>
            <a:t>Celkové skutečně čerpané prostředky státního rozpočtu k 31.12.2023 činí  14 994 tis. Kč</a:t>
          </a:r>
        </a:p>
      </dgm:t>
    </dgm:pt>
    <dgm:pt modelId="{4E6638AA-ED1E-42BE-9714-F54837DB1B36}" type="parTrans" cxnId="{9DBE886C-31C6-4173-ACDD-D2D998B475DC}">
      <dgm:prSet/>
      <dgm:spPr/>
      <dgm:t>
        <a:bodyPr/>
        <a:lstStyle/>
        <a:p>
          <a:endParaRPr lang="cs-CZ"/>
        </a:p>
      </dgm:t>
    </dgm:pt>
    <dgm:pt modelId="{1BF85506-A730-4145-BBA5-282500B4621F}" type="sibTrans" cxnId="{9DBE886C-31C6-4173-ACDD-D2D998B475DC}">
      <dgm:prSet/>
      <dgm:spPr/>
      <dgm:t>
        <a:bodyPr/>
        <a:lstStyle/>
        <a:p>
          <a:endParaRPr lang="cs-CZ"/>
        </a:p>
      </dgm:t>
    </dgm:pt>
    <dgm:pt modelId="{AEAAC497-982E-4288-B55D-D9CB08E8A1A2}" type="pres">
      <dgm:prSet presAssocID="{D674DB68-C40A-4650-9236-EB4C2EA1A0A0}" presName="Name0" presStyleCnt="0">
        <dgm:presLayoutVars>
          <dgm:chPref val="3"/>
          <dgm:dir/>
          <dgm:animLvl val="lvl"/>
          <dgm:resizeHandles/>
        </dgm:presLayoutVars>
      </dgm:prSet>
      <dgm:spPr/>
    </dgm:pt>
    <dgm:pt modelId="{174483F3-521D-456F-9393-24965CDEC63F}" type="pres">
      <dgm:prSet presAssocID="{8F3284D9-050B-4EF3-9AFE-CFF32691E21B}" presName="horFlow" presStyleCnt="0"/>
      <dgm:spPr/>
    </dgm:pt>
    <dgm:pt modelId="{02DF64E2-7887-4C75-9AFC-DDEF6E290B10}" type="pres">
      <dgm:prSet presAssocID="{8F3284D9-050B-4EF3-9AFE-CFF32691E21B}" presName="bigChev" presStyleLbl="node1" presStyleIdx="0" presStyleCnt="2" custScaleX="717338" custScaleY="143925" custLinFactNeighborX="-6048" custLinFactNeighborY="-294"/>
      <dgm:spPr/>
    </dgm:pt>
    <dgm:pt modelId="{DB7F2370-6DC3-4C33-9F59-A5A46DC3CDEA}" type="pres">
      <dgm:prSet presAssocID="{8F3284D9-050B-4EF3-9AFE-CFF32691E21B}" presName="vSp" presStyleCnt="0"/>
      <dgm:spPr/>
    </dgm:pt>
    <dgm:pt modelId="{AE271E2F-B2D4-456E-9A34-BF47E80978C2}" type="pres">
      <dgm:prSet presAssocID="{C3F872C0-9A7E-4486-9085-68D028B70349}" presName="horFlow" presStyleCnt="0"/>
      <dgm:spPr/>
    </dgm:pt>
    <dgm:pt modelId="{49971915-8BC1-462C-8559-1A86CA9363E7}" type="pres">
      <dgm:prSet presAssocID="{C3F872C0-9A7E-4486-9085-68D028B70349}" presName="bigChev" presStyleLbl="node1" presStyleIdx="1" presStyleCnt="2" custScaleX="717338" custScaleY="153947"/>
      <dgm:spPr/>
    </dgm:pt>
  </dgm:ptLst>
  <dgm:cxnLst>
    <dgm:cxn modelId="{56ADB41B-D9DC-4FF6-9255-222CDC91D36D}" type="presOf" srcId="{D674DB68-C40A-4650-9236-EB4C2EA1A0A0}" destId="{AEAAC497-982E-4288-B55D-D9CB08E8A1A2}" srcOrd="0" destOrd="0" presId="urn:microsoft.com/office/officeart/2005/8/layout/lProcess3"/>
    <dgm:cxn modelId="{9DBE886C-31C6-4173-ACDD-D2D998B475DC}" srcId="{D674DB68-C40A-4650-9236-EB4C2EA1A0A0}" destId="{C3F872C0-9A7E-4486-9085-68D028B70349}" srcOrd="1" destOrd="0" parTransId="{4E6638AA-ED1E-42BE-9714-F54837DB1B36}" sibTransId="{1BF85506-A730-4145-BBA5-282500B4621F}"/>
    <dgm:cxn modelId="{6A00B773-E43C-4AB5-B9E3-0344D4A05F45}" srcId="{D674DB68-C40A-4650-9236-EB4C2EA1A0A0}" destId="{8F3284D9-050B-4EF3-9AFE-CFF32691E21B}" srcOrd="0" destOrd="0" parTransId="{B1C7ED98-A319-4B73-8667-A9BC9F6D8328}" sibTransId="{69029C21-5BE1-497A-A793-F9A74341301B}"/>
    <dgm:cxn modelId="{70DBBC57-29AB-4A5E-B6CE-B0151CA96CFF}" type="presOf" srcId="{8F3284D9-050B-4EF3-9AFE-CFF32691E21B}" destId="{02DF64E2-7887-4C75-9AFC-DDEF6E290B10}" srcOrd="0" destOrd="0" presId="urn:microsoft.com/office/officeart/2005/8/layout/lProcess3"/>
    <dgm:cxn modelId="{86028AD3-C279-47DD-BDB7-76D5CAA00895}" type="presOf" srcId="{C3F872C0-9A7E-4486-9085-68D028B70349}" destId="{49971915-8BC1-462C-8559-1A86CA9363E7}" srcOrd="0" destOrd="0" presId="urn:microsoft.com/office/officeart/2005/8/layout/lProcess3"/>
    <dgm:cxn modelId="{31451605-9197-4165-BB36-55E96C769D24}" type="presParOf" srcId="{AEAAC497-982E-4288-B55D-D9CB08E8A1A2}" destId="{174483F3-521D-456F-9393-24965CDEC63F}" srcOrd="0" destOrd="0" presId="urn:microsoft.com/office/officeart/2005/8/layout/lProcess3"/>
    <dgm:cxn modelId="{3944A1AB-7654-44D8-A9C3-027E9C7CC4D7}" type="presParOf" srcId="{174483F3-521D-456F-9393-24965CDEC63F}" destId="{02DF64E2-7887-4C75-9AFC-DDEF6E290B10}" srcOrd="0" destOrd="0" presId="urn:microsoft.com/office/officeart/2005/8/layout/lProcess3"/>
    <dgm:cxn modelId="{EF8BF69C-3EC8-4F35-881C-B6BD023057FB}" type="presParOf" srcId="{AEAAC497-982E-4288-B55D-D9CB08E8A1A2}" destId="{DB7F2370-6DC3-4C33-9F59-A5A46DC3CDEA}" srcOrd="1" destOrd="0" presId="urn:microsoft.com/office/officeart/2005/8/layout/lProcess3"/>
    <dgm:cxn modelId="{A8E20D06-CB83-4FDB-884D-B99CE1F11C3C}" type="presParOf" srcId="{AEAAC497-982E-4288-B55D-D9CB08E8A1A2}" destId="{AE271E2F-B2D4-456E-9A34-BF47E80978C2}" srcOrd="2" destOrd="0" presId="urn:microsoft.com/office/officeart/2005/8/layout/lProcess3"/>
    <dgm:cxn modelId="{E19B8E62-02AD-41F5-9A0D-AAF857015A96}" type="presParOf" srcId="{AE271E2F-B2D4-456E-9A34-BF47E80978C2}" destId="{49971915-8BC1-462C-8559-1A86CA9363E7}" srcOrd="0" destOrd="0" presId="urn:microsoft.com/office/officeart/2005/8/layout/lProcess3"/>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1298" y="22583"/>
          <a:ext cx="1015458" cy="40618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84086"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508920"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50">
              <a:solidFill>
                <a:sysClr val="windowText" lastClr="000000">
                  <a:hueOff val="0"/>
                  <a:satOff val="0"/>
                  <a:lumOff val="0"/>
                  <a:alphaOff val="0"/>
                </a:sysClr>
              </a:solidFill>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1298" y="485632"/>
          <a:ext cx="1015458" cy="40618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SR v tis. Kč</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84086"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3 415</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508920"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6 600</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3DB0DA9-CF9F-48FB-8A4E-B16B996859CC}">
      <dgm:prSet custT="1"/>
      <dgm:spPr>
        <a:xfrm>
          <a:off x="3059251"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4 979</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09582"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6CAE84A3-5291-4F09-9834-F24060A9F0B1}">
      <dgm:prSet custT="1"/>
      <dgm:spPr>
        <a:xfrm>
          <a:off x="884747"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B95147BD-D846-4A8C-92DB-73A084F65B44}" type="parTrans" cxnId="{8640D906-6D90-46F5-A549-4F071EDC525B}">
      <dgm:prSet/>
      <dgm:spPr/>
      <dgm:t>
        <a:bodyPr/>
        <a:lstStyle/>
        <a:p>
          <a:endParaRPr lang="cs-CZ"/>
        </a:p>
      </dgm:t>
    </dgm:pt>
    <dgm:pt modelId="{45948C87-89E7-4E8B-9743-54102AC6245B}" type="sibTrans" cxnId="{8640D906-6D90-46F5-A549-4F071EDC525B}">
      <dgm:prSet/>
      <dgm:spPr/>
      <dgm:t>
        <a:bodyPr/>
        <a:lstStyle/>
        <a:p>
          <a:endParaRPr lang="cs-CZ"/>
        </a:p>
      </dgm:t>
    </dgm:pt>
    <dgm:pt modelId="{3D26C7C6-8483-443E-A4D0-39EB2E9F1734}">
      <dgm:prSet custT="1"/>
      <dgm:spPr>
        <a:xfrm>
          <a:off x="2334416"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0</a:t>
          </a:r>
        </a:p>
      </dgm:t>
    </dgm:pt>
    <dgm:pt modelId="{784EF831-4F13-4FD2-9A95-E0A2C4428672}" type="parTrans" cxnId="{64112C09-0440-4778-81F4-727FA9F9691C}">
      <dgm:prSet/>
      <dgm:spPr/>
      <dgm:t>
        <a:bodyPr/>
        <a:lstStyle/>
        <a:p>
          <a:endParaRPr lang="cs-CZ"/>
        </a:p>
      </dgm:t>
    </dgm:pt>
    <dgm:pt modelId="{01187B68-E2E8-4B94-97F8-2AC1B6A5D762}" type="sibTrans" cxnId="{64112C09-0440-4778-81F4-727FA9F9691C}">
      <dgm:prSet/>
      <dgm:spPr/>
      <dgm:t>
        <a:bodyPr/>
        <a:lstStyle/>
        <a:p>
          <a:endParaRPr lang="cs-CZ"/>
        </a:p>
      </dgm:t>
    </dgm:pt>
    <dgm:pt modelId="{C605948A-2FAA-4B2B-A55B-BAE904731737}">
      <dgm:prSet custT="1"/>
      <dgm:spPr>
        <a:xfrm>
          <a:off x="884747"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před 2019</a:t>
          </a:r>
        </a:p>
      </dgm:t>
    </dgm:pt>
    <dgm:pt modelId="{4F5A3C1F-B0DE-477C-8A8C-330B6742F4A4}" type="parTrans" cxnId="{DA9B9B68-BE8F-4E0D-971E-10B1DE45F4EF}">
      <dgm:prSet/>
      <dgm:spPr/>
      <dgm:t>
        <a:bodyPr/>
        <a:lstStyle/>
        <a:p>
          <a:endParaRPr lang="cs-CZ"/>
        </a:p>
      </dgm:t>
    </dgm:pt>
    <dgm:pt modelId="{13EB3CF2-FEEB-4BAA-9725-6C1E3263EA03}" type="sibTrans" cxnId="{DA9B9B68-BE8F-4E0D-971E-10B1DE45F4EF}">
      <dgm:prSet/>
      <dgm:spPr/>
      <dgm:t>
        <a:bodyPr/>
        <a:lstStyle/>
        <a:p>
          <a:endParaRPr lang="cs-CZ"/>
        </a:p>
      </dgm:t>
    </dgm:pt>
    <dgm:pt modelId="{B7ECE7B1-DE09-4B35-B3EF-F552934AFCE8}">
      <dgm:prSet custT="1"/>
      <dgm:spPr>
        <a:xfrm>
          <a:off x="3059251"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50">
              <a:solidFill>
                <a:sysClr val="windowText" lastClr="000000">
                  <a:hueOff val="0"/>
                  <a:satOff val="0"/>
                  <a:lumOff val="0"/>
                  <a:alphaOff val="0"/>
                </a:sysClr>
              </a:solidFill>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4416"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09582"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2019</a:t>
          </a:r>
        </a:p>
      </dgm:t>
    </dgm:pt>
    <dgm:pt modelId="{DA6DDA27-2107-4270-A3BD-1C78B27962E5}" type="parTrans" cxnId="{7A54F410-46BF-4BC4-8EA6-774AA8D2CE63}">
      <dgm:prSet/>
      <dgm:spPr/>
      <dgm:t>
        <a:bodyPr/>
        <a:lstStyle/>
        <a:p>
          <a:endParaRPr lang="cs-CZ"/>
        </a:p>
      </dgm:t>
    </dgm:pt>
    <dgm:pt modelId="{86BFB788-3F63-4576-8E20-CC6A3656E461}" type="sibTrans" cxnId="{7A54F410-46BF-4BC4-8EA6-774AA8D2CE63}">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2"/>
      <dgm:spPr/>
    </dgm:pt>
    <dgm:pt modelId="{D708EA36-7A62-4200-AA2D-F87AB641D79B}" type="pres">
      <dgm:prSet presAssocID="{4F5A3C1F-B0DE-477C-8A8C-330B6742F4A4}" presName="parTrans" presStyleCnt="0"/>
      <dgm:spPr/>
    </dgm:pt>
    <dgm:pt modelId="{030F83A3-E98C-4486-A756-7B7DEC40A7DD}" type="pres">
      <dgm:prSet presAssocID="{C605948A-2FAA-4B2B-A55B-BAE904731737}" presName="node" presStyleLbl="alignAccFollowNode1" presStyleIdx="0" presStyleCnt="12">
        <dgm:presLayoutVars>
          <dgm:bulletEnabled val="1"/>
        </dgm:presLayoutVars>
      </dgm:prSet>
      <dgm:spPr/>
    </dgm:pt>
    <dgm:pt modelId="{72EC78BA-7662-4A22-A807-ED0657C37165}" type="pres">
      <dgm:prSet presAssocID="{13EB3CF2-FEEB-4BAA-9725-6C1E3263EA03}" presName="sibTrans" presStyleCnt="0"/>
      <dgm:spPr/>
    </dgm:pt>
    <dgm:pt modelId="{9CF25B67-FA31-41AE-B4EF-CCD2718072B3}" type="pres">
      <dgm:prSet presAssocID="{B62A07CB-3EFA-46D4-B983-264441964367}" presName="node" presStyleLbl="alignAccFollowNode1" presStyleIdx="1" presStyleCnt="12">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2" presStyleCnt="12">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3" presStyleCnt="12">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4" presStyleCnt="12">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5" presStyleCnt="12">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2"/>
      <dgm:spPr/>
    </dgm:pt>
    <dgm:pt modelId="{7F584C56-36FB-49EB-9E33-580FE0F9D74F}" type="pres">
      <dgm:prSet presAssocID="{B95147BD-D846-4A8C-92DB-73A084F65B44}" presName="parTrans" presStyleCnt="0"/>
      <dgm:spPr/>
    </dgm:pt>
    <dgm:pt modelId="{92DB449A-781D-438A-A28D-42D189DED613}" type="pres">
      <dgm:prSet presAssocID="{6CAE84A3-5291-4F09-9834-F24060A9F0B1}" presName="node" presStyleLbl="alignAccFollowNode1" presStyleIdx="6" presStyleCnt="12">
        <dgm:presLayoutVars>
          <dgm:bulletEnabled val="1"/>
        </dgm:presLayoutVars>
      </dgm:prSet>
      <dgm:spPr/>
    </dgm:pt>
    <dgm:pt modelId="{0F7C95B5-E5B1-4E7D-B972-6B77B705C56A}" type="pres">
      <dgm:prSet presAssocID="{45948C87-89E7-4E8B-9743-54102AC6245B}" presName="sibTrans" presStyleCnt="0"/>
      <dgm:spPr/>
    </dgm:pt>
    <dgm:pt modelId="{58F31D09-ADCD-4DC9-8221-D1D9CF855BAD}" type="pres">
      <dgm:prSet presAssocID="{8745A055-D09D-4C9C-BC6F-FA2A4CB4E11F}" presName="node" presStyleLbl="alignAccFollowNode1" presStyleIdx="7" presStyleCnt="12">
        <dgm:presLayoutVars>
          <dgm:bulletEnabled val="1"/>
        </dgm:presLayoutVars>
      </dgm:prSet>
      <dgm:spPr/>
    </dgm:pt>
    <dgm:pt modelId="{F926AF39-E7BE-4E11-9D22-C62449B0D6F5}" type="pres">
      <dgm:prSet presAssocID="{E1A6CB3E-3E8F-47BA-95FF-025EA5275374}" presName="sibTrans" presStyleCnt="0"/>
      <dgm:spPr/>
    </dgm:pt>
    <dgm:pt modelId="{A0DBC11E-E766-4152-BC15-BC0009251B6A}" type="pres">
      <dgm:prSet presAssocID="{3D26C7C6-8483-443E-A4D0-39EB2E9F1734}" presName="node" presStyleLbl="alignAccFollowNode1" presStyleIdx="8" presStyleCnt="12">
        <dgm:presLayoutVars>
          <dgm:bulletEnabled val="1"/>
        </dgm:presLayoutVars>
      </dgm:prSet>
      <dgm:spPr/>
    </dgm:pt>
    <dgm:pt modelId="{D053A473-5939-4ED2-A2EB-08F6EA663B63}" type="pres">
      <dgm:prSet presAssocID="{01187B68-E2E8-4B94-97F8-2AC1B6A5D762}" presName="sibTrans" presStyleCnt="0"/>
      <dgm:spPr/>
    </dgm:pt>
    <dgm:pt modelId="{1D04C8CC-6EFD-46D0-BB1C-70E60B93513A}" type="pres">
      <dgm:prSet presAssocID="{F3DB0DA9-CF9F-48FB-8A4E-B16B996859CC}" presName="node" presStyleLbl="alignAccFollowNode1" presStyleIdx="9" presStyleCnt="12">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10" presStyleCnt="12">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11" presStyleCnt="12">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8640D906-6D90-46F5-A549-4F071EDC525B}" srcId="{60CC8BA2-67B8-4B5C-8F83-24E2D147DDF5}" destId="{6CAE84A3-5291-4F09-9834-F24060A9F0B1}" srcOrd="0" destOrd="0" parTransId="{B95147BD-D846-4A8C-92DB-73A084F65B44}" sibTransId="{45948C87-89E7-4E8B-9743-54102AC6245B}"/>
    <dgm:cxn modelId="{64112C09-0440-4778-81F4-727FA9F9691C}" srcId="{60CC8BA2-67B8-4B5C-8F83-24E2D147DDF5}" destId="{3D26C7C6-8483-443E-A4D0-39EB2E9F1734}" srcOrd="2" destOrd="0" parTransId="{784EF831-4F13-4FD2-9A95-E0A2C4428672}" sibTransId="{01187B68-E2E8-4B94-97F8-2AC1B6A5D762}"/>
    <dgm:cxn modelId="{A49A260C-AA3B-425C-A528-9DA30D7BC691}" type="presOf" srcId="{3D26C7C6-8483-443E-A4D0-39EB2E9F1734}" destId="{A0DBC11E-E766-4152-BC15-BC0009251B6A}" srcOrd="0" destOrd="0" presId="urn:microsoft.com/office/officeart/2005/8/layout/lProcess3"/>
    <dgm:cxn modelId="{7A54F410-46BF-4BC4-8EA6-774AA8D2CE63}" srcId="{A026A503-5385-48CD-9960-7890BC01BF17}" destId="{B62A07CB-3EFA-46D4-B983-264441964367}" srcOrd="1" destOrd="0" parTransId="{DA6DDA27-2107-4270-A3BD-1C78B27962E5}" sibTransId="{86BFB788-3F63-4576-8E20-CC6A3656E461}"/>
    <dgm:cxn modelId="{50C4D418-E3EE-43BA-8DBE-EA09E0166175}" srcId="{60CC8BA2-67B8-4B5C-8F83-24E2D147DDF5}" destId="{C00F4E8D-2D97-4332-8A25-D515248152D2}" srcOrd="4"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81368935-D9C8-4FD2-94D9-578AF782F3C7}" srcId="{A026A503-5385-48CD-9960-7890BC01BF17}" destId="{B7ECE7B1-DE09-4B35-B3EF-F552934AFCE8}" srcOrd="3" destOrd="0" parTransId="{A9C9CEC0-A762-4343-9FD1-C949E5188B85}" sibTransId="{10B5F909-84D1-4EDB-9013-6CD0F76DFEA1}"/>
    <dgm:cxn modelId="{F8BA8E3A-2853-464E-89AE-903440A0A8AA}" srcId="{A026A503-5385-48CD-9960-7890BC01BF17}" destId="{66B9B487-B0DE-49D5-B890-8F4F7B485182}" srcOrd="5"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1" destOrd="0" parTransId="{987134DD-5B78-4BCA-9259-DE628B8E685E}" sibTransId="{E1A6CB3E-3E8F-47BA-95FF-025EA5275374}"/>
    <dgm:cxn modelId="{DA9B9B68-BE8F-4E0D-971E-10B1DE45F4EF}" srcId="{A026A503-5385-48CD-9960-7890BC01BF17}" destId="{C605948A-2FAA-4B2B-A55B-BAE904731737}" srcOrd="0" destOrd="0" parTransId="{4F5A3C1F-B0DE-477C-8A8C-330B6742F4A4}" sibTransId="{13EB3CF2-FEEB-4BAA-9725-6C1E3263EA03}"/>
    <dgm:cxn modelId="{E643F668-812E-447F-8ABE-B32AE9D3D453}" type="presOf" srcId="{6CAE84A3-5291-4F09-9834-F24060A9F0B1}" destId="{92DB449A-781D-438A-A28D-42D189DED613}" srcOrd="0" destOrd="0" presId="urn:microsoft.com/office/officeart/2005/8/layout/lProcess3"/>
    <dgm:cxn modelId="{9AAF8E5A-DC3B-4AFE-BF2B-0CA982D4A873}" srcId="{A026A503-5385-48CD-9960-7890BC01BF17}" destId="{81B96AF2-AF7C-4C6D-BF8F-26DA405E6181}" srcOrd="4"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5" destOrd="0" parTransId="{209BC680-4E03-4850-8AA8-C4A94E922D15}" sibTransId="{530A1608-B48A-4847-B17E-FBE47F647A54}"/>
    <dgm:cxn modelId="{12DF8CA0-2202-48D3-BFED-52239A8BF490}" srcId="{60CC8BA2-67B8-4B5C-8F83-24E2D147DDF5}" destId="{F3DB0DA9-CF9F-48FB-8A4E-B16B996859CC}" srcOrd="3"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48EC4FCA-D306-41BD-B626-13E5643BC8EE}" type="presOf" srcId="{C605948A-2FAA-4B2B-A55B-BAE904731737}" destId="{030F83A3-E98C-4486-A756-7B7DEC40A7DD}"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2"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9F384BFF-2582-42FB-AA89-C1DF4BFA2F8A}" type="presOf" srcId="{F3DB0DA9-CF9F-48FB-8A4E-B16B996859CC}" destId="{1D04C8CC-6EFD-46D0-BB1C-70E60B93513A}" srcOrd="0" destOrd="0" presId="urn:microsoft.com/office/officeart/2005/8/layout/lProcess3"/>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CEBA6DA9-4893-4B48-BA41-699721241277}" type="presParOf" srcId="{7AFA005C-24EB-425D-AA59-994D2BCA7851}" destId="{D708EA36-7A62-4200-AA2D-F87AB641D79B}" srcOrd="1" destOrd="0" presId="urn:microsoft.com/office/officeart/2005/8/layout/lProcess3"/>
    <dgm:cxn modelId="{897E52B9-769B-411C-8153-CAB01EFCF4A8}" type="presParOf" srcId="{7AFA005C-24EB-425D-AA59-994D2BCA7851}" destId="{030F83A3-E98C-4486-A756-7B7DEC40A7DD}" srcOrd="2" destOrd="0" presId="urn:microsoft.com/office/officeart/2005/8/layout/lProcess3"/>
    <dgm:cxn modelId="{0102FA0A-21ED-43C1-8F5D-1F46E440CC9E}" type="presParOf" srcId="{7AFA005C-24EB-425D-AA59-994D2BCA7851}" destId="{72EC78BA-7662-4A22-A807-ED0657C37165}" srcOrd="3" destOrd="0" presId="urn:microsoft.com/office/officeart/2005/8/layout/lProcess3"/>
    <dgm:cxn modelId="{E2308CAE-70E6-43D3-8275-F70F4D1B821B}" type="presParOf" srcId="{7AFA005C-24EB-425D-AA59-994D2BCA7851}" destId="{9CF25B67-FA31-41AE-B4EF-CCD2718072B3}" srcOrd="4" destOrd="0" presId="urn:microsoft.com/office/officeart/2005/8/layout/lProcess3"/>
    <dgm:cxn modelId="{5C1B932C-235D-4F1A-9AE4-FBE0C0741DCC}" type="presParOf" srcId="{7AFA005C-24EB-425D-AA59-994D2BCA7851}" destId="{CF2A569A-A5DD-47B4-A8A4-2F55658E3B6D}" srcOrd="5" destOrd="0" presId="urn:microsoft.com/office/officeart/2005/8/layout/lProcess3"/>
    <dgm:cxn modelId="{5299EB9E-9611-4C80-9C7F-367781513D99}" type="presParOf" srcId="{7AFA005C-24EB-425D-AA59-994D2BCA7851}" destId="{ED3FB9E6-0BAA-4702-B8CA-920A66AFC02F}" srcOrd="6" destOrd="0" presId="urn:microsoft.com/office/officeart/2005/8/layout/lProcess3"/>
    <dgm:cxn modelId="{0EF39BA9-C529-41BC-BE86-013E7B281E2A}" type="presParOf" srcId="{7AFA005C-24EB-425D-AA59-994D2BCA7851}" destId="{3121E4B7-F3A0-42BA-AD82-8FDFE22D4AC6}" srcOrd="7" destOrd="0" presId="urn:microsoft.com/office/officeart/2005/8/layout/lProcess3"/>
    <dgm:cxn modelId="{817DB98E-76EC-43EC-A793-E225BB82EC22}" type="presParOf" srcId="{7AFA005C-24EB-425D-AA59-994D2BCA7851}" destId="{9783D7DD-9297-4972-8B5A-E2BE8A6720CA}" srcOrd="8" destOrd="0" presId="urn:microsoft.com/office/officeart/2005/8/layout/lProcess3"/>
    <dgm:cxn modelId="{75D27544-63C6-4DC2-A041-AA8A2E6ECBCE}" type="presParOf" srcId="{7AFA005C-24EB-425D-AA59-994D2BCA7851}" destId="{595C3FF3-1CE2-4857-857D-24F27C9A7A01}" srcOrd="9" destOrd="0" presId="urn:microsoft.com/office/officeart/2005/8/layout/lProcess3"/>
    <dgm:cxn modelId="{D24CC84D-6544-41E1-BD00-53D4E9FEA428}" type="presParOf" srcId="{7AFA005C-24EB-425D-AA59-994D2BCA7851}" destId="{1A805A11-34B2-4547-9AC3-D38054F91140}" srcOrd="10" destOrd="0" presId="urn:microsoft.com/office/officeart/2005/8/layout/lProcess3"/>
    <dgm:cxn modelId="{E11EDD92-E80E-4A97-B356-E8B1E0B92849}" type="presParOf" srcId="{7AFA005C-24EB-425D-AA59-994D2BCA7851}" destId="{170943A2-07FD-4ED6-B58F-4E78324785DA}" srcOrd="11" destOrd="0" presId="urn:microsoft.com/office/officeart/2005/8/layout/lProcess3"/>
    <dgm:cxn modelId="{6B8782E3-72D3-4D4A-B59B-56F04F4C3BBE}" type="presParOf" srcId="{7AFA005C-24EB-425D-AA59-994D2BCA7851}" destId="{E8FE0132-567C-48E3-8786-55757C8F10C4}" srcOrd="12"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78A4DFE0-3E3D-412F-91B7-397372F67513}" type="presParOf" srcId="{46382AFD-95FC-4564-A1AD-95C56098B8F7}" destId="{7F584C56-36FB-49EB-9E33-580FE0F9D74F}" srcOrd="1" destOrd="0" presId="urn:microsoft.com/office/officeart/2005/8/layout/lProcess3"/>
    <dgm:cxn modelId="{E6D22A62-91AC-41A2-A4F3-C95CF47ED007}" type="presParOf" srcId="{46382AFD-95FC-4564-A1AD-95C56098B8F7}" destId="{92DB449A-781D-438A-A28D-42D189DED613}" srcOrd="2" destOrd="0" presId="urn:microsoft.com/office/officeart/2005/8/layout/lProcess3"/>
    <dgm:cxn modelId="{587AE5F1-06B4-4C24-8317-F9F11E51EE01}" type="presParOf" srcId="{46382AFD-95FC-4564-A1AD-95C56098B8F7}" destId="{0F7C95B5-E5B1-4E7D-B972-6B77B705C56A}" srcOrd="3" destOrd="0" presId="urn:microsoft.com/office/officeart/2005/8/layout/lProcess3"/>
    <dgm:cxn modelId="{057BC54A-0FEE-4424-895F-E36957DC6163}" type="presParOf" srcId="{46382AFD-95FC-4564-A1AD-95C56098B8F7}" destId="{58F31D09-ADCD-4DC9-8221-D1D9CF855BAD}" srcOrd="4" destOrd="0" presId="urn:microsoft.com/office/officeart/2005/8/layout/lProcess3"/>
    <dgm:cxn modelId="{0782C071-60FB-4447-91C9-27630AD1C5CA}" type="presParOf" srcId="{46382AFD-95FC-4564-A1AD-95C56098B8F7}" destId="{F926AF39-E7BE-4E11-9D22-C62449B0D6F5}" srcOrd="5" destOrd="0" presId="urn:microsoft.com/office/officeart/2005/8/layout/lProcess3"/>
    <dgm:cxn modelId="{6C78DA26-2E38-40AA-B8D7-2022B2D87269}" type="presParOf" srcId="{46382AFD-95FC-4564-A1AD-95C56098B8F7}" destId="{A0DBC11E-E766-4152-BC15-BC0009251B6A}" srcOrd="6" destOrd="0" presId="urn:microsoft.com/office/officeart/2005/8/layout/lProcess3"/>
    <dgm:cxn modelId="{B5BDE1A4-09E6-4ADF-A8E6-4434CD92E6A8}" type="presParOf" srcId="{46382AFD-95FC-4564-A1AD-95C56098B8F7}" destId="{D053A473-5939-4ED2-A2EB-08F6EA663B63}" srcOrd="7" destOrd="0" presId="urn:microsoft.com/office/officeart/2005/8/layout/lProcess3"/>
    <dgm:cxn modelId="{12E0D335-A7F9-4071-A638-35E7FC2D0473}" type="presParOf" srcId="{46382AFD-95FC-4564-A1AD-95C56098B8F7}" destId="{1D04C8CC-6EFD-46D0-BB1C-70E60B93513A}" srcOrd="8" destOrd="0" presId="urn:microsoft.com/office/officeart/2005/8/layout/lProcess3"/>
    <dgm:cxn modelId="{65D41940-96AE-4BB8-8400-1448CC4346E4}" type="presParOf" srcId="{46382AFD-95FC-4564-A1AD-95C56098B8F7}" destId="{ACF4825D-F322-47DC-8BCE-FA35DB4619D6}" srcOrd="9" destOrd="0" presId="urn:microsoft.com/office/officeart/2005/8/layout/lProcess3"/>
    <dgm:cxn modelId="{FE60B3C6-AADC-4DA9-B0A5-9F1EBF1B9B06}" type="presParOf" srcId="{46382AFD-95FC-4564-A1AD-95C56098B8F7}" destId="{13C9CD02-249A-42BA-89EA-061EDDC086D7}" srcOrd="10" destOrd="0" presId="urn:microsoft.com/office/officeart/2005/8/layout/lProcess3"/>
    <dgm:cxn modelId="{F48B0157-5ACA-40C7-B996-536DB78C2FEA}" type="presParOf" srcId="{46382AFD-95FC-4564-A1AD-95C56098B8F7}" destId="{412FD5E1-6105-4277-8502-29E6E714906A}" srcOrd="11" destOrd="0" presId="urn:microsoft.com/office/officeart/2005/8/layout/lProcess3"/>
    <dgm:cxn modelId="{45DA59A1-0878-4066-8783-79CD9368F04F}" type="presParOf" srcId="{46382AFD-95FC-4564-A1AD-95C56098B8F7}" destId="{10D62D9A-AAE0-458C-9095-B2BB7F451ACB}" srcOrd="12" destOrd="0" presId="urn:microsoft.com/office/officeart/2005/8/layout/lProcess3"/>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D674DB68-C40A-4650-9236-EB4C2EA1A0A0}"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F3284D9-050B-4EF3-9AFE-CFF32691E21B}">
      <dgm:prSet phldrT="[Text]" custT="1"/>
      <dgm: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100" baseline="0">
              <a:solidFill>
                <a:sysClr val="windowText" lastClr="000000"/>
              </a:solidFill>
              <a:latin typeface="Calibri" panose="020F0502020204030204"/>
              <a:ea typeface="+mn-ea"/>
              <a:cs typeface="+mn-cs"/>
            </a:rPr>
            <a:t>Celkové schválené výdaje programu hrazené ze státního rozpočtu včetně EU</a:t>
          </a:r>
        </a:p>
        <a:p>
          <a:pPr>
            <a:buNone/>
          </a:pPr>
          <a:r>
            <a:rPr lang="cs-CZ" sz="1100" baseline="0">
              <a:solidFill>
                <a:sysClr val="windowText" lastClr="000000"/>
              </a:solidFill>
              <a:latin typeface="Calibri" panose="020F0502020204030204"/>
              <a:ea typeface="+mn-ea"/>
              <a:cs typeface="+mn-cs"/>
            </a:rPr>
            <a:t> činí </a:t>
          </a:r>
          <a:r>
            <a:rPr lang="cs-CZ" sz="1100" b="1" baseline="0">
              <a:solidFill>
                <a:sysClr val="windowText" lastClr="000000"/>
              </a:solidFill>
              <a:latin typeface="Calibri" panose="020F0502020204030204"/>
              <a:ea typeface="+mn-ea"/>
              <a:cs typeface="+mn-cs"/>
            </a:rPr>
            <a:t>449 312 875 tis. Kč</a:t>
          </a:r>
        </a:p>
      </dgm:t>
    </dgm:pt>
    <dgm:pt modelId="{B1C7ED98-A319-4B73-8667-A9BC9F6D8328}" type="parTrans" cxnId="{6A00B773-E43C-4AB5-B9E3-0344D4A05F45}">
      <dgm:prSet/>
      <dgm:spPr/>
      <dgm:t>
        <a:bodyPr/>
        <a:lstStyle/>
        <a:p>
          <a:endParaRPr lang="cs-CZ"/>
        </a:p>
      </dgm:t>
    </dgm:pt>
    <dgm:pt modelId="{69029C21-5BE1-497A-A793-F9A74341301B}" type="sibTrans" cxnId="{6A00B773-E43C-4AB5-B9E3-0344D4A05F45}">
      <dgm:prSet/>
      <dgm:spPr/>
      <dgm:t>
        <a:bodyPr/>
        <a:lstStyle/>
        <a:p>
          <a:endParaRPr lang="cs-CZ"/>
        </a:p>
      </dgm:t>
    </dgm:pt>
    <dgm:pt modelId="{C3F872C0-9A7E-4486-9085-68D028B70349}">
      <dgm:prSet phldrT="[Text]" custT="1"/>
      <dgm: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nSpc>
              <a:spcPct val="100000"/>
            </a:lnSpc>
            <a:spcAft>
              <a:spcPts val="0"/>
            </a:spcAft>
            <a:buNone/>
          </a:pPr>
          <a:r>
            <a:rPr lang="cs-CZ" sz="1100" b="1">
              <a:solidFill>
                <a:srgbClr val="5B9BD5">
                  <a:lumMod val="75000"/>
                </a:srgbClr>
              </a:solidFill>
              <a:latin typeface="Calibri" panose="020F0502020204030204"/>
              <a:ea typeface="+mn-ea"/>
              <a:cs typeface="+mn-cs"/>
            </a:rPr>
            <a:t>Celkové skutečně čerpané prostředky státního rozpočtu včetně EU k 31.12.2023 činí       427 630 441 tis. Kč</a:t>
          </a:r>
        </a:p>
      </dgm:t>
    </dgm:pt>
    <dgm:pt modelId="{4E6638AA-ED1E-42BE-9714-F54837DB1B36}" type="parTrans" cxnId="{9DBE886C-31C6-4173-ACDD-D2D998B475DC}">
      <dgm:prSet/>
      <dgm:spPr/>
      <dgm:t>
        <a:bodyPr/>
        <a:lstStyle/>
        <a:p>
          <a:endParaRPr lang="cs-CZ"/>
        </a:p>
      </dgm:t>
    </dgm:pt>
    <dgm:pt modelId="{1BF85506-A730-4145-BBA5-282500B4621F}" type="sibTrans" cxnId="{9DBE886C-31C6-4173-ACDD-D2D998B475DC}">
      <dgm:prSet/>
      <dgm:spPr/>
      <dgm:t>
        <a:bodyPr/>
        <a:lstStyle/>
        <a:p>
          <a:endParaRPr lang="cs-CZ"/>
        </a:p>
      </dgm:t>
    </dgm:pt>
    <dgm:pt modelId="{AEAAC497-982E-4288-B55D-D9CB08E8A1A2}" type="pres">
      <dgm:prSet presAssocID="{D674DB68-C40A-4650-9236-EB4C2EA1A0A0}" presName="Name0" presStyleCnt="0">
        <dgm:presLayoutVars>
          <dgm:chPref val="3"/>
          <dgm:dir/>
          <dgm:animLvl val="lvl"/>
          <dgm:resizeHandles/>
        </dgm:presLayoutVars>
      </dgm:prSet>
      <dgm:spPr/>
    </dgm:pt>
    <dgm:pt modelId="{174483F3-521D-456F-9393-24965CDEC63F}" type="pres">
      <dgm:prSet presAssocID="{8F3284D9-050B-4EF3-9AFE-CFF32691E21B}" presName="horFlow" presStyleCnt="0"/>
      <dgm:spPr/>
    </dgm:pt>
    <dgm:pt modelId="{02DF64E2-7887-4C75-9AFC-DDEF6E290B10}" type="pres">
      <dgm:prSet presAssocID="{8F3284D9-050B-4EF3-9AFE-CFF32691E21B}" presName="bigChev" presStyleLbl="node1" presStyleIdx="0" presStyleCnt="2" custScaleX="717338" custScaleY="143925" custLinFactNeighborX="-6048" custLinFactNeighborY="-294"/>
      <dgm:spPr/>
    </dgm:pt>
    <dgm:pt modelId="{DB7F2370-6DC3-4C33-9F59-A5A46DC3CDEA}" type="pres">
      <dgm:prSet presAssocID="{8F3284D9-050B-4EF3-9AFE-CFF32691E21B}" presName="vSp" presStyleCnt="0"/>
      <dgm:spPr/>
    </dgm:pt>
    <dgm:pt modelId="{AE271E2F-B2D4-456E-9A34-BF47E80978C2}" type="pres">
      <dgm:prSet presAssocID="{C3F872C0-9A7E-4486-9085-68D028B70349}" presName="horFlow" presStyleCnt="0"/>
      <dgm:spPr/>
    </dgm:pt>
    <dgm:pt modelId="{49971915-8BC1-462C-8559-1A86CA9363E7}" type="pres">
      <dgm:prSet presAssocID="{C3F872C0-9A7E-4486-9085-68D028B70349}" presName="bigChev" presStyleLbl="node1" presStyleIdx="1" presStyleCnt="2" custScaleX="717338" custScaleY="153947"/>
      <dgm:spPr/>
    </dgm:pt>
  </dgm:ptLst>
  <dgm:cxnLst>
    <dgm:cxn modelId="{56ADB41B-D9DC-4FF6-9255-222CDC91D36D}" type="presOf" srcId="{D674DB68-C40A-4650-9236-EB4C2EA1A0A0}" destId="{AEAAC497-982E-4288-B55D-D9CB08E8A1A2}" srcOrd="0" destOrd="0" presId="urn:microsoft.com/office/officeart/2005/8/layout/lProcess3"/>
    <dgm:cxn modelId="{9DBE886C-31C6-4173-ACDD-D2D998B475DC}" srcId="{D674DB68-C40A-4650-9236-EB4C2EA1A0A0}" destId="{C3F872C0-9A7E-4486-9085-68D028B70349}" srcOrd="1" destOrd="0" parTransId="{4E6638AA-ED1E-42BE-9714-F54837DB1B36}" sibTransId="{1BF85506-A730-4145-BBA5-282500B4621F}"/>
    <dgm:cxn modelId="{6A00B773-E43C-4AB5-B9E3-0344D4A05F45}" srcId="{D674DB68-C40A-4650-9236-EB4C2EA1A0A0}" destId="{8F3284D9-050B-4EF3-9AFE-CFF32691E21B}" srcOrd="0" destOrd="0" parTransId="{B1C7ED98-A319-4B73-8667-A9BC9F6D8328}" sibTransId="{69029C21-5BE1-497A-A793-F9A74341301B}"/>
    <dgm:cxn modelId="{70DBBC57-29AB-4A5E-B6CE-B0151CA96CFF}" type="presOf" srcId="{8F3284D9-050B-4EF3-9AFE-CFF32691E21B}" destId="{02DF64E2-7887-4C75-9AFC-DDEF6E290B10}" srcOrd="0" destOrd="0" presId="urn:microsoft.com/office/officeart/2005/8/layout/lProcess3"/>
    <dgm:cxn modelId="{86028AD3-C279-47DD-BDB7-76D5CAA00895}" type="presOf" srcId="{C3F872C0-9A7E-4486-9085-68D028B70349}" destId="{49971915-8BC1-462C-8559-1A86CA9363E7}" srcOrd="0" destOrd="0" presId="urn:microsoft.com/office/officeart/2005/8/layout/lProcess3"/>
    <dgm:cxn modelId="{31451605-9197-4165-BB36-55E96C769D24}" type="presParOf" srcId="{AEAAC497-982E-4288-B55D-D9CB08E8A1A2}" destId="{174483F3-521D-456F-9393-24965CDEC63F}" srcOrd="0" destOrd="0" presId="urn:microsoft.com/office/officeart/2005/8/layout/lProcess3"/>
    <dgm:cxn modelId="{3944A1AB-7654-44D8-A9C3-027E9C7CC4D7}" type="presParOf" srcId="{174483F3-521D-456F-9393-24965CDEC63F}" destId="{02DF64E2-7887-4C75-9AFC-DDEF6E290B10}" srcOrd="0" destOrd="0" presId="urn:microsoft.com/office/officeart/2005/8/layout/lProcess3"/>
    <dgm:cxn modelId="{EF8BF69C-3EC8-4F35-881C-B6BD023057FB}" type="presParOf" srcId="{AEAAC497-982E-4288-B55D-D9CB08E8A1A2}" destId="{DB7F2370-6DC3-4C33-9F59-A5A46DC3CDEA}" srcOrd="1" destOrd="0" presId="urn:microsoft.com/office/officeart/2005/8/layout/lProcess3"/>
    <dgm:cxn modelId="{A8E20D06-CB83-4FDB-884D-B99CE1F11C3C}" type="presParOf" srcId="{AEAAC497-982E-4288-B55D-D9CB08E8A1A2}" destId="{AE271E2F-B2D4-456E-9A34-BF47E80978C2}" srcOrd="2" destOrd="0" presId="urn:microsoft.com/office/officeart/2005/8/layout/lProcess3"/>
    <dgm:cxn modelId="{E19B8E62-02AD-41F5-9A0D-AAF857015A96}" type="presParOf" srcId="{AE271E2F-B2D4-456E-9A34-BF47E80978C2}" destId="{49971915-8BC1-462C-8559-1A86CA9363E7}" srcOrd="0" destOrd="0" presId="urn:microsoft.com/office/officeart/2005/8/layout/lProcess3"/>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44" y="16034"/>
          <a:ext cx="984684" cy="39387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4234831"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5070083"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44" y="465050"/>
          <a:ext cx="984684" cy="39387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SR v tis. Kč</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4234831"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50 899 754</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5070083"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64 353 005</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B587A40-1508-4D97-8343-8C28E6FBB468}">
      <dgm:prSet phldrT="[Text]" custT="1"/>
      <dgm:spPr>
        <a:xfrm>
          <a:off x="44" y="914066"/>
          <a:ext cx="984684" cy="39387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cs-CZ" sz="1000">
              <a:solidFill>
                <a:sysClr val="windowText" lastClr="000000"/>
              </a:solidFill>
              <a:latin typeface="Calibri" panose="020F0502020204030204"/>
              <a:ea typeface="+mn-ea"/>
              <a:cs typeface="+mn-cs"/>
            </a:rPr>
            <a:t>Skutečnost EU v tis. Kč</a:t>
          </a:r>
        </a:p>
      </dgm:t>
    </dgm:pt>
    <dgm:pt modelId="{5A4B4849-C2A4-45C8-8168-A75B29D32ADB}" type="parTrans" cxnId="{4416F82F-40A8-4740-AE37-435C6B87493B}">
      <dgm:prSet/>
      <dgm:spPr/>
      <dgm:t>
        <a:bodyPr/>
        <a:lstStyle/>
        <a:p>
          <a:endParaRPr lang="cs-CZ"/>
        </a:p>
      </dgm:t>
    </dgm:pt>
    <dgm:pt modelId="{D50D9CFF-A1EA-4080-A317-AF76E6FFF851}" type="sibTrans" cxnId="{4416F82F-40A8-4740-AE37-435C6B87493B}">
      <dgm:prSet/>
      <dgm:spPr/>
      <dgm:t>
        <a:bodyPr/>
        <a:lstStyle/>
        <a:p>
          <a:endParaRPr lang="cs-CZ"/>
        </a:p>
      </dgm:t>
    </dgm:pt>
    <dgm:pt modelId="{F23C8976-2127-4278-997D-2CDED8DEB7F2}">
      <dgm:prSet phldrT="[Text]" custT="1"/>
      <dgm:spPr>
        <a:xfrm>
          <a:off x="4234831"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20 168 425</a:t>
          </a:r>
        </a:p>
      </dgm:t>
    </dgm:pt>
    <dgm:pt modelId="{C60EC84A-D43D-46D2-8A83-88B32AFBC884}" type="parTrans" cxnId="{67ACB215-C547-49CC-87ED-8EE43AA7DA4F}">
      <dgm:prSet/>
      <dgm:spPr/>
      <dgm:t>
        <a:bodyPr/>
        <a:lstStyle/>
        <a:p>
          <a:endParaRPr lang="cs-CZ"/>
        </a:p>
      </dgm:t>
    </dgm:pt>
    <dgm:pt modelId="{7A52D734-6024-4494-86F2-45892853953A}" type="sibTrans" cxnId="{67ACB215-C547-49CC-87ED-8EE43AA7DA4F}">
      <dgm:prSet/>
      <dgm:spPr/>
      <dgm:t>
        <a:bodyPr/>
        <a:lstStyle/>
        <a:p>
          <a:endParaRPr lang="cs-CZ"/>
        </a:p>
      </dgm:t>
    </dgm:pt>
    <dgm:pt modelId="{A27EEBCB-6984-4C15-B6F0-27B735F2B4E0}">
      <dgm:prSet phldrT="[Text]" custT="1"/>
      <dgm:spPr>
        <a:xfrm>
          <a:off x="5070083"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5 734 055</a:t>
          </a:r>
        </a:p>
      </dgm:t>
    </dgm:pt>
    <dgm:pt modelId="{E2E6D716-159D-40AE-A33B-539431203709}" type="parTrans" cxnId="{6583D4FF-13F4-4B7E-BB4B-A9938DD6AED1}">
      <dgm:prSet/>
      <dgm:spPr/>
      <dgm:t>
        <a:bodyPr/>
        <a:lstStyle/>
        <a:p>
          <a:endParaRPr lang="cs-CZ"/>
        </a:p>
      </dgm:t>
    </dgm:pt>
    <dgm:pt modelId="{282F0C65-4156-4839-9CD8-F5A3B3C83326}" type="sibTrans" cxnId="{6583D4FF-13F4-4B7E-BB4B-A9938DD6AED1}">
      <dgm:prSet/>
      <dgm:spPr/>
      <dgm:t>
        <a:bodyPr/>
        <a:lstStyle/>
        <a:p>
          <a:endParaRPr lang="cs-CZ"/>
        </a:p>
      </dgm:t>
    </dgm:pt>
    <dgm:pt modelId="{F3DB0DA9-CF9F-48FB-8A4E-B16B996859CC}">
      <dgm:prSet custT="1"/>
      <dgm:spPr>
        <a:xfrm>
          <a:off x="3399579"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59 253 891</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722341" y="498529"/>
          <a:ext cx="956406"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27 181 146</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6CAE84A3-5291-4F09-9834-F24060A9F0B1}">
      <dgm:prSet custT="1"/>
      <dgm:spPr>
        <a:xfrm>
          <a:off x="856719" y="498529"/>
          <a:ext cx="98004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33 019 042</a:t>
          </a:r>
        </a:p>
      </dgm:t>
    </dgm:pt>
    <dgm:pt modelId="{B95147BD-D846-4A8C-92DB-73A084F65B44}" type="parTrans" cxnId="{8640D906-6D90-46F5-A549-4F071EDC525B}">
      <dgm:prSet/>
      <dgm:spPr/>
      <dgm:t>
        <a:bodyPr/>
        <a:lstStyle/>
        <a:p>
          <a:endParaRPr lang="cs-CZ"/>
        </a:p>
      </dgm:t>
    </dgm:pt>
    <dgm:pt modelId="{45948C87-89E7-4E8B-9743-54102AC6245B}" type="sibTrans" cxnId="{8640D906-6D90-46F5-A549-4F071EDC525B}">
      <dgm:prSet/>
      <dgm:spPr/>
      <dgm:t>
        <a:bodyPr/>
        <a:lstStyle/>
        <a:p>
          <a:endParaRPr lang="cs-CZ"/>
        </a:p>
      </dgm:t>
    </dgm:pt>
    <dgm:pt modelId="{C605948A-2FAA-4B2B-A55B-BAE904731737}">
      <dgm:prSet custT="1"/>
      <dgm:spPr>
        <a:xfrm>
          <a:off x="856719" y="49514"/>
          <a:ext cx="98004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před 2019</a:t>
          </a:r>
        </a:p>
      </dgm:t>
    </dgm:pt>
    <dgm:pt modelId="{4F5A3C1F-B0DE-477C-8A8C-330B6742F4A4}" type="parTrans" cxnId="{DA9B9B68-BE8F-4E0D-971E-10B1DE45F4EF}">
      <dgm:prSet/>
      <dgm:spPr/>
      <dgm:t>
        <a:bodyPr/>
        <a:lstStyle/>
        <a:p>
          <a:endParaRPr lang="cs-CZ"/>
        </a:p>
      </dgm:t>
    </dgm:pt>
    <dgm:pt modelId="{13EB3CF2-FEEB-4BAA-9725-6C1E3263EA03}" type="sibTrans" cxnId="{DA9B9B68-BE8F-4E0D-971E-10B1DE45F4EF}">
      <dgm:prSet/>
      <dgm:spPr/>
      <dgm:t>
        <a:bodyPr/>
        <a:lstStyle/>
        <a:p>
          <a:endParaRPr lang="cs-CZ"/>
        </a:p>
      </dgm:t>
    </dgm:pt>
    <dgm:pt modelId="{B7ECE7B1-DE09-4B35-B3EF-F552934AFCE8}">
      <dgm:prSet custT="1"/>
      <dgm:spPr>
        <a:xfrm>
          <a:off x="3399579"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564328"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722341" y="49514"/>
          <a:ext cx="956406"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2019</a:t>
          </a:r>
        </a:p>
      </dgm:t>
    </dgm:pt>
    <dgm:pt modelId="{DA6DDA27-2107-4270-A3BD-1C78B27962E5}" type="parTrans" cxnId="{7A54F410-46BF-4BC4-8EA6-774AA8D2CE63}">
      <dgm:prSet/>
      <dgm:spPr/>
      <dgm:t>
        <a:bodyPr/>
        <a:lstStyle/>
        <a:p>
          <a:endParaRPr lang="cs-CZ"/>
        </a:p>
      </dgm:t>
    </dgm:pt>
    <dgm:pt modelId="{86BFB788-3F63-4576-8E20-CC6A3656E461}" type="sibTrans" cxnId="{7A54F410-46BF-4BC4-8EA6-774AA8D2CE63}">
      <dgm:prSet/>
      <dgm:spPr/>
      <dgm:t>
        <a:bodyPr/>
        <a:lstStyle/>
        <a:p>
          <a:endParaRPr lang="cs-CZ"/>
        </a:p>
      </dgm:t>
    </dgm:pt>
    <dgm:pt modelId="{A60C9FE3-6133-4657-A514-55217A1AA855}">
      <dgm:prSet custT="1"/>
      <dgm:spPr>
        <a:xfrm>
          <a:off x="3399579"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31 355 923</a:t>
          </a:r>
        </a:p>
      </dgm:t>
    </dgm:pt>
    <dgm:pt modelId="{48E7F69E-D617-43E7-B65A-766B6597C104}" type="parTrans" cxnId="{B4C5D7C9-3B70-451E-921F-5A507669669C}">
      <dgm:prSet/>
      <dgm:spPr/>
      <dgm:t>
        <a:bodyPr/>
        <a:lstStyle/>
        <a:p>
          <a:endParaRPr lang="cs-CZ"/>
        </a:p>
      </dgm:t>
    </dgm:pt>
    <dgm:pt modelId="{E86F0626-7479-4219-874A-CE1165407EEC}" type="sibTrans" cxnId="{B4C5D7C9-3B70-451E-921F-5A507669669C}">
      <dgm:prSet/>
      <dgm:spPr/>
      <dgm:t>
        <a:bodyPr/>
        <a:lstStyle/>
        <a:p>
          <a:endParaRPr lang="cs-CZ"/>
        </a:p>
      </dgm:t>
    </dgm:pt>
    <dgm:pt modelId="{27FFE990-B0C4-4FE6-A871-AE135DB78369}">
      <dgm:prSet custT="1"/>
      <dgm:spPr>
        <a:xfrm>
          <a:off x="856719" y="947545"/>
          <a:ext cx="98004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30 891 074</a:t>
          </a:r>
        </a:p>
      </dgm:t>
    </dgm:pt>
    <dgm:pt modelId="{6FF203A5-4BE7-4F36-987F-345CD6206E3E}" type="parTrans" cxnId="{ACF7FCFB-5C7E-4ED9-9E67-B9F4B0554989}">
      <dgm:prSet/>
      <dgm:spPr/>
      <dgm:t>
        <a:bodyPr/>
        <a:lstStyle/>
        <a:p>
          <a:endParaRPr lang="cs-CZ"/>
        </a:p>
      </dgm:t>
    </dgm:pt>
    <dgm:pt modelId="{9B4A0989-1E62-46C2-BC62-491B074543C4}" type="sibTrans" cxnId="{ACF7FCFB-5C7E-4ED9-9E67-B9F4B0554989}">
      <dgm:prSet/>
      <dgm:spPr/>
      <dgm:t>
        <a:bodyPr/>
        <a:lstStyle/>
        <a:p>
          <a:endParaRPr lang="cs-CZ"/>
        </a:p>
      </dgm:t>
    </dgm:pt>
    <dgm:pt modelId="{77485BA1-1EFD-426B-BD17-453AAD7439CB}">
      <dgm:prSet custT="1"/>
      <dgm:spPr>
        <a:xfrm>
          <a:off x="2564328"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22 882 066</a:t>
          </a:r>
        </a:p>
      </dgm:t>
    </dgm:pt>
    <dgm:pt modelId="{5F05A5CF-31E6-4A74-87AB-A1DB8C53F68F}" type="parTrans" cxnId="{A25D73CF-D3FE-4A59-90D9-D522A8290BF9}">
      <dgm:prSet/>
      <dgm:spPr/>
      <dgm:t>
        <a:bodyPr/>
        <a:lstStyle/>
        <a:p>
          <a:endParaRPr lang="cs-CZ"/>
        </a:p>
      </dgm:t>
    </dgm:pt>
    <dgm:pt modelId="{6EB90918-DFF2-4E86-ABD3-6281C2267DD5}" type="sibTrans" cxnId="{A25D73CF-D3FE-4A59-90D9-D522A8290BF9}">
      <dgm:prSet/>
      <dgm:spPr/>
      <dgm:t>
        <a:bodyPr/>
        <a:lstStyle/>
        <a:p>
          <a:endParaRPr lang="cs-CZ"/>
        </a:p>
      </dgm:t>
    </dgm:pt>
    <dgm:pt modelId="{7D95A44A-ECB8-4607-AF49-B15DF5A2602D}">
      <dgm:prSet custT="1"/>
      <dgm:spPr>
        <a:xfrm>
          <a:off x="1722341" y="947545"/>
          <a:ext cx="956406"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17 562 500</a:t>
          </a:r>
        </a:p>
      </dgm:t>
    </dgm:pt>
    <dgm:pt modelId="{98FD26B5-E98B-4D74-B590-8A1D7F8EA02B}" type="sibTrans" cxnId="{31794D17-765C-417D-B10F-34A1C578BC82}">
      <dgm:prSet/>
      <dgm:spPr/>
      <dgm:t>
        <a:bodyPr/>
        <a:lstStyle/>
        <a:p>
          <a:endParaRPr lang="cs-CZ"/>
        </a:p>
      </dgm:t>
    </dgm:pt>
    <dgm:pt modelId="{1A0087B4-A96A-4FB7-B06E-A5D36C6523EF}" type="parTrans" cxnId="{31794D17-765C-417D-B10F-34A1C578BC82}">
      <dgm:prSet/>
      <dgm:spPr/>
      <dgm:t>
        <a:bodyPr/>
        <a:lstStyle/>
        <a:p>
          <a:endParaRPr lang="cs-CZ"/>
        </a:p>
      </dgm:t>
    </dgm:pt>
    <dgm:pt modelId="{3D26C7C6-8483-443E-A4D0-39EB2E9F1734}">
      <dgm:prSet custT="1"/>
      <dgm:spPr>
        <a:xfrm>
          <a:off x="2564328"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buNone/>
          </a:pPr>
          <a:r>
            <a:rPr lang="cs-CZ" sz="1000">
              <a:solidFill>
                <a:sysClr val="windowText" lastClr="000000">
                  <a:hueOff val="0"/>
                  <a:satOff val="0"/>
                  <a:lumOff val="0"/>
                  <a:alphaOff val="0"/>
                </a:sysClr>
              </a:solidFill>
              <a:latin typeface="Calibri" panose="020F0502020204030204"/>
              <a:ea typeface="+mn-ea"/>
              <a:cs typeface="+mn-cs"/>
            </a:rPr>
            <a:t>64 329 560</a:t>
          </a:r>
        </a:p>
      </dgm:t>
    </dgm:pt>
    <dgm:pt modelId="{01187B68-E2E8-4B94-97F8-2AC1B6A5D762}" type="sibTrans" cxnId="{64112C09-0440-4778-81F4-727FA9F9691C}">
      <dgm:prSet/>
      <dgm:spPr/>
      <dgm:t>
        <a:bodyPr/>
        <a:lstStyle/>
        <a:p>
          <a:endParaRPr lang="cs-CZ"/>
        </a:p>
      </dgm:t>
    </dgm:pt>
    <dgm:pt modelId="{784EF831-4F13-4FD2-9A95-E0A2C4428672}" type="parTrans" cxnId="{64112C09-0440-4778-81F4-727FA9F9691C}">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3"/>
      <dgm:spPr/>
    </dgm:pt>
    <dgm:pt modelId="{D708EA36-7A62-4200-AA2D-F87AB641D79B}" type="pres">
      <dgm:prSet presAssocID="{4F5A3C1F-B0DE-477C-8A8C-330B6742F4A4}" presName="parTrans" presStyleCnt="0"/>
      <dgm:spPr/>
    </dgm:pt>
    <dgm:pt modelId="{030F83A3-E98C-4486-A756-7B7DEC40A7DD}" type="pres">
      <dgm:prSet presAssocID="{C605948A-2FAA-4B2B-A55B-BAE904731737}" presName="node" presStyleLbl="alignAccFollowNode1" presStyleIdx="0" presStyleCnt="18" custScaleX="119914">
        <dgm:presLayoutVars>
          <dgm:bulletEnabled val="1"/>
        </dgm:presLayoutVars>
      </dgm:prSet>
      <dgm:spPr/>
    </dgm:pt>
    <dgm:pt modelId="{72EC78BA-7662-4A22-A807-ED0657C37165}" type="pres">
      <dgm:prSet presAssocID="{13EB3CF2-FEEB-4BAA-9725-6C1E3263EA03}" presName="sibTrans" presStyleCnt="0"/>
      <dgm:spPr/>
    </dgm:pt>
    <dgm:pt modelId="{9CF25B67-FA31-41AE-B4EF-CCD2718072B3}" type="pres">
      <dgm:prSet presAssocID="{B62A07CB-3EFA-46D4-B983-264441964367}" presName="node" presStyleLbl="alignAccFollowNode1" presStyleIdx="1" presStyleCnt="18" custScaleX="117022">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2" presStyleCnt="18" custScaleX="116198">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3" presStyleCnt="18" custScaleX="116198">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4" presStyleCnt="18" custScaleX="116198">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5" presStyleCnt="18" custScaleX="116198">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3"/>
      <dgm:spPr/>
    </dgm:pt>
    <dgm:pt modelId="{7F584C56-36FB-49EB-9E33-580FE0F9D74F}" type="pres">
      <dgm:prSet presAssocID="{B95147BD-D846-4A8C-92DB-73A084F65B44}" presName="parTrans" presStyleCnt="0"/>
      <dgm:spPr/>
    </dgm:pt>
    <dgm:pt modelId="{92DB449A-781D-438A-A28D-42D189DED613}" type="pres">
      <dgm:prSet presAssocID="{6CAE84A3-5291-4F09-9834-F24060A9F0B1}" presName="node" presStyleLbl="alignAccFollowNode1" presStyleIdx="6" presStyleCnt="18" custScaleX="119914">
        <dgm:presLayoutVars>
          <dgm:bulletEnabled val="1"/>
        </dgm:presLayoutVars>
      </dgm:prSet>
      <dgm:spPr/>
    </dgm:pt>
    <dgm:pt modelId="{0F7C95B5-E5B1-4E7D-B972-6B77B705C56A}" type="pres">
      <dgm:prSet presAssocID="{45948C87-89E7-4E8B-9743-54102AC6245B}" presName="sibTrans" presStyleCnt="0"/>
      <dgm:spPr/>
    </dgm:pt>
    <dgm:pt modelId="{58F31D09-ADCD-4DC9-8221-D1D9CF855BAD}" type="pres">
      <dgm:prSet presAssocID="{8745A055-D09D-4C9C-BC6F-FA2A4CB4E11F}" presName="node" presStyleLbl="alignAccFollowNode1" presStyleIdx="7" presStyleCnt="18" custScaleX="117022">
        <dgm:presLayoutVars>
          <dgm:bulletEnabled val="1"/>
        </dgm:presLayoutVars>
      </dgm:prSet>
      <dgm:spPr/>
    </dgm:pt>
    <dgm:pt modelId="{F926AF39-E7BE-4E11-9D22-C62449B0D6F5}" type="pres">
      <dgm:prSet presAssocID="{E1A6CB3E-3E8F-47BA-95FF-025EA5275374}" presName="sibTrans" presStyleCnt="0"/>
      <dgm:spPr/>
    </dgm:pt>
    <dgm:pt modelId="{A0DBC11E-E766-4152-BC15-BC0009251B6A}" type="pres">
      <dgm:prSet presAssocID="{3D26C7C6-8483-443E-A4D0-39EB2E9F1734}" presName="node" presStyleLbl="alignAccFollowNode1" presStyleIdx="8" presStyleCnt="18" custScaleX="116198">
        <dgm:presLayoutVars>
          <dgm:bulletEnabled val="1"/>
        </dgm:presLayoutVars>
      </dgm:prSet>
      <dgm:spPr/>
    </dgm:pt>
    <dgm:pt modelId="{D053A473-5939-4ED2-A2EB-08F6EA663B63}" type="pres">
      <dgm:prSet presAssocID="{01187B68-E2E8-4B94-97F8-2AC1B6A5D762}" presName="sibTrans" presStyleCnt="0"/>
      <dgm:spPr/>
    </dgm:pt>
    <dgm:pt modelId="{1D04C8CC-6EFD-46D0-BB1C-70E60B93513A}" type="pres">
      <dgm:prSet presAssocID="{F3DB0DA9-CF9F-48FB-8A4E-B16B996859CC}" presName="node" presStyleLbl="alignAccFollowNode1" presStyleIdx="9" presStyleCnt="18" custScaleX="116198">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10" presStyleCnt="18" custScaleX="116198">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11" presStyleCnt="18" custScaleX="116198">
        <dgm:presLayoutVars>
          <dgm:bulletEnabled val="1"/>
        </dgm:presLayoutVars>
      </dgm:prSet>
      <dgm:spPr/>
    </dgm:pt>
    <dgm:pt modelId="{BD4AB627-12C3-4C14-A36D-18F53B40C0C2}" type="pres">
      <dgm:prSet presAssocID="{60CC8BA2-67B8-4B5C-8F83-24E2D147DDF5}" presName="vSp" presStyleCnt="0"/>
      <dgm:spPr/>
    </dgm:pt>
    <dgm:pt modelId="{74599312-6AB4-4211-AF7A-02BC49294BED}" type="pres">
      <dgm:prSet presAssocID="{FB587A40-1508-4D97-8343-8C28E6FBB468}" presName="horFlow" presStyleCnt="0"/>
      <dgm:spPr/>
    </dgm:pt>
    <dgm:pt modelId="{F97D4733-33FE-440A-9F4A-E88411DCDC07}" type="pres">
      <dgm:prSet presAssocID="{FB587A40-1508-4D97-8343-8C28E6FBB468}" presName="bigChev" presStyleLbl="node1" presStyleIdx="2" presStyleCnt="3"/>
      <dgm:spPr/>
    </dgm:pt>
    <dgm:pt modelId="{D1ACCDF2-9E7F-476A-9D20-0DAF44D09DEF}" type="pres">
      <dgm:prSet presAssocID="{6FF203A5-4BE7-4F36-987F-345CD6206E3E}" presName="parTrans" presStyleCnt="0"/>
      <dgm:spPr/>
    </dgm:pt>
    <dgm:pt modelId="{16516B57-4DCC-425D-9CC5-42A917385C3E}" type="pres">
      <dgm:prSet presAssocID="{27FFE990-B0C4-4FE6-A871-AE135DB78369}" presName="node" presStyleLbl="alignAccFollowNode1" presStyleIdx="12" presStyleCnt="18" custScaleX="119914">
        <dgm:presLayoutVars>
          <dgm:bulletEnabled val="1"/>
        </dgm:presLayoutVars>
      </dgm:prSet>
      <dgm:spPr/>
    </dgm:pt>
    <dgm:pt modelId="{FA023B04-684B-4501-97AF-9EDA18AA5790}" type="pres">
      <dgm:prSet presAssocID="{9B4A0989-1E62-46C2-BC62-491B074543C4}" presName="sibTrans" presStyleCnt="0"/>
      <dgm:spPr/>
    </dgm:pt>
    <dgm:pt modelId="{8F0EEA60-B1DB-420F-91B7-F24A16C0E9F6}" type="pres">
      <dgm:prSet presAssocID="{7D95A44A-ECB8-4607-AF49-B15DF5A2602D}" presName="node" presStyleLbl="alignAccFollowNode1" presStyleIdx="13" presStyleCnt="18" custScaleX="117022">
        <dgm:presLayoutVars>
          <dgm:bulletEnabled val="1"/>
        </dgm:presLayoutVars>
      </dgm:prSet>
      <dgm:spPr/>
    </dgm:pt>
    <dgm:pt modelId="{FA44E0AB-6FD0-49BB-B31B-83A7AF9B57C9}" type="pres">
      <dgm:prSet presAssocID="{98FD26B5-E98B-4D74-B590-8A1D7F8EA02B}" presName="sibTrans" presStyleCnt="0"/>
      <dgm:spPr/>
    </dgm:pt>
    <dgm:pt modelId="{364DD1D5-65B5-427D-8048-69F9B123D620}" type="pres">
      <dgm:prSet presAssocID="{77485BA1-1EFD-426B-BD17-453AAD7439CB}" presName="node" presStyleLbl="alignAccFollowNode1" presStyleIdx="14" presStyleCnt="18" custScaleX="116198">
        <dgm:presLayoutVars>
          <dgm:bulletEnabled val="1"/>
        </dgm:presLayoutVars>
      </dgm:prSet>
      <dgm:spPr/>
    </dgm:pt>
    <dgm:pt modelId="{0389FC13-632C-46F0-8605-F8B130B01B47}" type="pres">
      <dgm:prSet presAssocID="{6EB90918-DFF2-4E86-ABD3-6281C2267DD5}" presName="sibTrans" presStyleCnt="0"/>
      <dgm:spPr/>
    </dgm:pt>
    <dgm:pt modelId="{7249E8C8-FABD-4CA5-BBFA-E45908887436}" type="pres">
      <dgm:prSet presAssocID="{A60C9FE3-6133-4657-A514-55217A1AA855}" presName="node" presStyleLbl="alignAccFollowNode1" presStyleIdx="15" presStyleCnt="18" custScaleX="116198">
        <dgm:presLayoutVars>
          <dgm:bulletEnabled val="1"/>
        </dgm:presLayoutVars>
      </dgm:prSet>
      <dgm:spPr/>
    </dgm:pt>
    <dgm:pt modelId="{00F72B38-8AC4-4DF1-AA7B-BB2A489ECE83}" type="pres">
      <dgm:prSet presAssocID="{E86F0626-7479-4219-874A-CE1165407EEC}" presName="sibTrans" presStyleCnt="0"/>
      <dgm:spPr/>
    </dgm:pt>
    <dgm:pt modelId="{1F7E2D3B-1C75-4E88-87A3-5E98A54B5AC6}" type="pres">
      <dgm:prSet presAssocID="{F23C8976-2127-4278-997D-2CDED8DEB7F2}" presName="node" presStyleLbl="alignAccFollowNode1" presStyleIdx="16" presStyleCnt="18" custScaleX="116198">
        <dgm:presLayoutVars>
          <dgm:bulletEnabled val="1"/>
        </dgm:presLayoutVars>
      </dgm:prSet>
      <dgm:spPr/>
    </dgm:pt>
    <dgm:pt modelId="{53E9F6E5-248F-45F1-A9AB-C47D75EC7068}" type="pres">
      <dgm:prSet presAssocID="{7A52D734-6024-4494-86F2-45892853953A}" presName="sibTrans" presStyleCnt="0"/>
      <dgm:spPr/>
    </dgm:pt>
    <dgm:pt modelId="{2BB8A638-90F3-4041-95E0-6576F32D89E3}" type="pres">
      <dgm:prSet presAssocID="{A27EEBCB-6984-4C15-B6F0-27B735F2B4E0}" presName="node" presStyleLbl="alignAccFollowNode1" presStyleIdx="17" presStyleCnt="18" custScaleX="116198">
        <dgm:presLayoutVars>
          <dgm:bulletEnabled val="1"/>
        </dgm:presLayoutVars>
      </dgm:prSet>
      <dgm:spPr/>
    </dgm:pt>
  </dgm:ptLst>
  <dgm:cxnLst>
    <dgm:cxn modelId="{310D0001-5C72-4109-8616-4A75DBE70CB6}" srcId="{E6F261A4-C73A-49D8-96F2-76C8A05FBA61}" destId="{A026A503-5385-48CD-9960-7890BC01BF17}" srcOrd="0" destOrd="0" parTransId="{0CACBDA1-35FC-4014-986E-1E38A531BB1B}" sibTransId="{C1D54371-DD1A-4DF8-B817-3EBA22BA4E2D}"/>
    <dgm:cxn modelId="{8640D906-6D90-46F5-A549-4F071EDC525B}" srcId="{60CC8BA2-67B8-4B5C-8F83-24E2D147DDF5}" destId="{6CAE84A3-5291-4F09-9834-F24060A9F0B1}" srcOrd="0" destOrd="0" parTransId="{B95147BD-D846-4A8C-92DB-73A084F65B44}" sibTransId="{45948C87-89E7-4E8B-9743-54102AC6245B}"/>
    <dgm:cxn modelId="{64112C09-0440-4778-81F4-727FA9F9691C}" srcId="{60CC8BA2-67B8-4B5C-8F83-24E2D147DDF5}" destId="{3D26C7C6-8483-443E-A4D0-39EB2E9F1734}" srcOrd="2" destOrd="0" parTransId="{784EF831-4F13-4FD2-9A95-E0A2C4428672}" sibTransId="{01187B68-E2E8-4B94-97F8-2AC1B6A5D762}"/>
    <dgm:cxn modelId="{A49A260C-AA3B-425C-A528-9DA30D7BC691}" type="presOf" srcId="{3D26C7C6-8483-443E-A4D0-39EB2E9F1734}" destId="{A0DBC11E-E766-4152-BC15-BC0009251B6A}" srcOrd="0" destOrd="0" presId="urn:microsoft.com/office/officeart/2005/8/layout/lProcess3"/>
    <dgm:cxn modelId="{7A54F410-46BF-4BC4-8EA6-774AA8D2CE63}" srcId="{A026A503-5385-48CD-9960-7890BC01BF17}" destId="{B62A07CB-3EFA-46D4-B983-264441964367}" srcOrd="1" destOrd="0" parTransId="{DA6DDA27-2107-4270-A3BD-1C78B27962E5}" sibTransId="{86BFB788-3F63-4576-8E20-CC6A3656E461}"/>
    <dgm:cxn modelId="{67ACB215-C547-49CC-87ED-8EE43AA7DA4F}" srcId="{FB587A40-1508-4D97-8343-8C28E6FBB468}" destId="{F23C8976-2127-4278-997D-2CDED8DEB7F2}" srcOrd="4" destOrd="0" parTransId="{C60EC84A-D43D-46D2-8A83-88B32AFBC884}" sibTransId="{7A52D734-6024-4494-86F2-45892853953A}"/>
    <dgm:cxn modelId="{78521717-9E71-41A7-B2C1-90D5FAE5A1CB}" type="presOf" srcId="{77485BA1-1EFD-426B-BD17-453AAD7439CB}" destId="{364DD1D5-65B5-427D-8048-69F9B123D620}" srcOrd="0" destOrd="0" presId="urn:microsoft.com/office/officeart/2005/8/layout/lProcess3"/>
    <dgm:cxn modelId="{31794D17-765C-417D-B10F-34A1C578BC82}" srcId="{FB587A40-1508-4D97-8343-8C28E6FBB468}" destId="{7D95A44A-ECB8-4607-AF49-B15DF5A2602D}" srcOrd="1" destOrd="0" parTransId="{1A0087B4-A96A-4FB7-B06E-A5D36C6523EF}" sibTransId="{98FD26B5-E98B-4D74-B590-8A1D7F8EA02B}"/>
    <dgm:cxn modelId="{50C4D418-E3EE-43BA-8DBE-EA09E0166175}" srcId="{60CC8BA2-67B8-4B5C-8F83-24E2D147DDF5}" destId="{C00F4E8D-2D97-4332-8A25-D515248152D2}" srcOrd="4" destOrd="0" parTransId="{8CE3F335-ECDE-4FE1-95C9-782C64482161}" sibTransId="{C3D59508-ADB3-4433-BEA0-51BEB0A8B6D4}"/>
    <dgm:cxn modelId="{9A777627-4B28-4942-99C1-64653CDB170F}" type="presOf" srcId="{27FFE990-B0C4-4FE6-A871-AE135DB78369}" destId="{16516B57-4DCC-425D-9CC5-42A917385C3E}" srcOrd="0" destOrd="0" presId="urn:microsoft.com/office/officeart/2005/8/layout/lProcess3"/>
    <dgm:cxn modelId="{47B6CD29-356F-43A1-99A4-931E915C2950}" type="presOf" srcId="{66B9B487-B0DE-49D5-B890-8F4F7B485182}" destId="{E8FE0132-567C-48E3-8786-55757C8F10C4}" srcOrd="0" destOrd="0" presId="urn:microsoft.com/office/officeart/2005/8/layout/lProcess3"/>
    <dgm:cxn modelId="{4416F82F-40A8-4740-AE37-435C6B87493B}" srcId="{E6F261A4-C73A-49D8-96F2-76C8A05FBA61}" destId="{FB587A40-1508-4D97-8343-8C28E6FBB468}" srcOrd="2" destOrd="0" parTransId="{5A4B4849-C2A4-45C8-8168-A75B29D32ADB}" sibTransId="{D50D9CFF-A1EA-4080-A317-AF76E6FFF851}"/>
    <dgm:cxn modelId="{81368935-D9C8-4FD2-94D9-578AF782F3C7}" srcId="{A026A503-5385-48CD-9960-7890BC01BF17}" destId="{B7ECE7B1-DE09-4B35-B3EF-F552934AFCE8}" srcOrd="3" destOrd="0" parTransId="{A9C9CEC0-A762-4343-9FD1-C949E5188B85}" sibTransId="{10B5F909-84D1-4EDB-9013-6CD0F76DFEA1}"/>
    <dgm:cxn modelId="{F8BA8E3A-2853-464E-89AE-903440A0A8AA}" srcId="{A026A503-5385-48CD-9960-7890BC01BF17}" destId="{66B9B487-B0DE-49D5-B890-8F4F7B485182}" srcOrd="5"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1" destOrd="0" parTransId="{987134DD-5B78-4BCA-9259-DE628B8E685E}" sibTransId="{E1A6CB3E-3E8F-47BA-95FF-025EA5275374}"/>
    <dgm:cxn modelId="{DA9B9B68-BE8F-4E0D-971E-10B1DE45F4EF}" srcId="{A026A503-5385-48CD-9960-7890BC01BF17}" destId="{C605948A-2FAA-4B2B-A55B-BAE904731737}" srcOrd="0" destOrd="0" parTransId="{4F5A3C1F-B0DE-477C-8A8C-330B6742F4A4}" sibTransId="{13EB3CF2-FEEB-4BAA-9725-6C1E3263EA03}"/>
    <dgm:cxn modelId="{E643F668-812E-447F-8ABE-B32AE9D3D453}" type="presOf" srcId="{6CAE84A3-5291-4F09-9834-F24060A9F0B1}" destId="{92DB449A-781D-438A-A28D-42D189DED613}" srcOrd="0" destOrd="0" presId="urn:microsoft.com/office/officeart/2005/8/layout/lProcess3"/>
    <dgm:cxn modelId="{6B393870-ED54-405E-974D-A62CC7C580CD}" type="presOf" srcId="{A60C9FE3-6133-4657-A514-55217A1AA855}" destId="{7249E8C8-FABD-4CA5-BBFA-E45908887436}" srcOrd="0" destOrd="0" presId="urn:microsoft.com/office/officeart/2005/8/layout/lProcess3"/>
    <dgm:cxn modelId="{2D587D55-1155-4743-A2E6-D8BB3EE53FFA}" type="presOf" srcId="{7D95A44A-ECB8-4607-AF49-B15DF5A2602D}" destId="{8F0EEA60-B1DB-420F-91B7-F24A16C0E9F6}" srcOrd="0" destOrd="0" presId="urn:microsoft.com/office/officeart/2005/8/layout/lProcess3"/>
    <dgm:cxn modelId="{9AAF8E5A-DC3B-4AFE-BF2B-0CA982D4A873}" srcId="{A026A503-5385-48CD-9960-7890BC01BF17}" destId="{81B96AF2-AF7C-4C6D-BF8F-26DA405E6181}" srcOrd="4"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5" destOrd="0" parTransId="{209BC680-4E03-4850-8AA8-C4A94E922D15}" sibTransId="{530A1608-B48A-4847-B17E-FBE47F647A54}"/>
    <dgm:cxn modelId="{12DF8CA0-2202-48D3-BFED-52239A8BF490}" srcId="{60CC8BA2-67B8-4B5C-8F83-24E2D147DDF5}" destId="{F3DB0DA9-CF9F-48FB-8A4E-B16B996859CC}" srcOrd="3"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B4C5D7C9-3B70-451E-921F-5A507669669C}" srcId="{FB587A40-1508-4D97-8343-8C28E6FBB468}" destId="{A60C9FE3-6133-4657-A514-55217A1AA855}" srcOrd="3" destOrd="0" parTransId="{48E7F69E-D617-43E7-B65A-766B6597C104}" sibTransId="{E86F0626-7479-4219-874A-CE1165407EEC}"/>
    <dgm:cxn modelId="{48EC4FCA-D306-41BD-B626-13E5643BC8EE}" type="presOf" srcId="{C605948A-2FAA-4B2B-A55B-BAE904731737}" destId="{030F83A3-E98C-4486-A756-7B7DEC40A7DD}"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A25D73CF-D3FE-4A59-90D9-D522A8290BF9}" srcId="{FB587A40-1508-4D97-8343-8C28E6FBB468}" destId="{77485BA1-1EFD-426B-BD17-453AAD7439CB}" srcOrd="2" destOrd="0" parTransId="{5F05A5CF-31E6-4A74-87AB-A1DB8C53F68F}" sibTransId="{6EB90918-DFF2-4E86-ABD3-6281C2267DD5}"/>
    <dgm:cxn modelId="{C40972D2-A95A-4B4B-BBE9-36A113D44C99}" type="presOf" srcId="{FB587A40-1508-4D97-8343-8C28E6FBB468}" destId="{F97D4733-33FE-440A-9F4A-E88411DCDC07}" srcOrd="0" destOrd="0" presId="urn:microsoft.com/office/officeart/2005/8/layout/lProcess3"/>
    <dgm:cxn modelId="{0DC9CAD7-C976-4E61-934E-63A3AC917476}" type="presOf" srcId="{F23C8976-2127-4278-997D-2CDED8DEB7F2}" destId="{1F7E2D3B-1C75-4E88-87A3-5E98A54B5AC6}" srcOrd="0" destOrd="0" presId="urn:microsoft.com/office/officeart/2005/8/layout/lProcess3"/>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2"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8AE17EF8-C7A0-4637-AF61-6768CACB5AFB}" type="presOf" srcId="{A27EEBCB-6984-4C15-B6F0-27B735F2B4E0}" destId="{2BB8A638-90F3-4041-95E0-6576F32D89E3}" srcOrd="0" destOrd="0" presId="urn:microsoft.com/office/officeart/2005/8/layout/lProcess3"/>
    <dgm:cxn modelId="{ACF7FCFB-5C7E-4ED9-9E67-B9F4B0554989}" srcId="{FB587A40-1508-4D97-8343-8C28E6FBB468}" destId="{27FFE990-B0C4-4FE6-A871-AE135DB78369}" srcOrd="0" destOrd="0" parTransId="{6FF203A5-4BE7-4F36-987F-345CD6206E3E}" sibTransId="{9B4A0989-1E62-46C2-BC62-491B074543C4}"/>
    <dgm:cxn modelId="{9F384BFF-2582-42FB-AA89-C1DF4BFA2F8A}" type="presOf" srcId="{F3DB0DA9-CF9F-48FB-8A4E-B16B996859CC}" destId="{1D04C8CC-6EFD-46D0-BB1C-70E60B93513A}" srcOrd="0" destOrd="0" presId="urn:microsoft.com/office/officeart/2005/8/layout/lProcess3"/>
    <dgm:cxn modelId="{6583D4FF-13F4-4B7E-BB4B-A9938DD6AED1}" srcId="{FB587A40-1508-4D97-8343-8C28E6FBB468}" destId="{A27EEBCB-6984-4C15-B6F0-27B735F2B4E0}" srcOrd="5" destOrd="0" parTransId="{E2E6D716-159D-40AE-A33B-539431203709}" sibTransId="{282F0C65-4156-4839-9CD8-F5A3B3C83326}"/>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CEBA6DA9-4893-4B48-BA41-699721241277}" type="presParOf" srcId="{7AFA005C-24EB-425D-AA59-994D2BCA7851}" destId="{D708EA36-7A62-4200-AA2D-F87AB641D79B}" srcOrd="1" destOrd="0" presId="urn:microsoft.com/office/officeart/2005/8/layout/lProcess3"/>
    <dgm:cxn modelId="{897E52B9-769B-411C-8153-CAB01EFCF4A8}" type="presParOf" srcId="{7AFA005C-24EB-425D-AA59-994D2BCA7851}" destId="{030F83A3-E98C-4486-A756-7B7DEC40A7DD}" srcOrd="2" destOrd="0" presId="urn:microsoft.com/office/officeart/2005/8/layout/lProcess3"/>
    <dgm:cxn modelId="{0102FA0A-21ED-43C1-8F5D-1F46E440CC9E}" type="presParOf" srcId="{7AFA005C-24EB-425D-AA59-994D2BCA7851}" destId="{72EC78BA-7662-4A22-A807-ED0657C37165}" srcOrd="3" destOrd="0" presId="urn:microsoft.com/office/officeart/2005/8/layout/lProcess3"/>
    <dgm:cxn modelId="{E2308CAE-70E6-43D3-8275-F70F4D1B821B}" type="presParOf" srcId="{7AFA005C-24EB-425D-AA59-994D2BCA7851}" destId="{9CF25B67-FA31-41AE-B4EF-CCD2718072B3}" srcOrd="4" destOrd="0" presId="urn:microsoft.com/office/officeart/2005/8/layout/lProcess3"/>
    <dgm:cxn modelId="{5C1B932C-235D-4F1A-9AE4-FBE0C0741DCC}" type="presParOf" srcId="{7AFA005C-24EB-425D-AA59-994D2BCA7851}" destId="{CF2A569A-A5DD-47B4-A8A4-2F55658E3B6D}" srcOrd="5" destOrd="0" presId="urn:microsoft.com/office/officeart/2005/8/layout/lProcess3"/>
    <dgm:cxn modelId="{5299EB9E-9611-4C80-9C7F-367781513D99}" type="presParOf" srcId="{7AFA005C-24EB-425D-AA59-994D2BCA7851}" destId="{ED3FB9E6-0BAA-4702-B8CA-920A66AFC02F}" srcOrd="6" destOrd="0" presId="urn:microsoft.com/office/officeart/2005/8/layout/lProcess3"/>
    <dgm:cxn modelId="{0EF39BA9-C529-41BC-BE86-013E7B281E2A}" type="presParOf" srcId="{7AFA005C-24EB-425D-AA59-994D2BCA7851}" destId="{3121E4B7-F3A0-42BA-AD82-8FDFE22D4AC6}" srcOrd="7" destOrd="0" presId="urn:microsoft.com/office/officeart/2005/8/layout/lProcess3"/>
    <dgm:cxn modelId="{817DB98E-76EC-43EC-A793-E225BB82EC22}" type="presParOf" srcId="{7AFA005C-24EB-425D-AA59-994D2BCA7851}" destId="{9783D7DD-9297-4972-8B5A-E2BE8A6720CA}" srcOrd="8" destOrd="0" presId="urn:microsoft.com/office/officeart/2005/8/layout/lProcess3"/>
    <dgm:cxn modelId="{75D27544-63C6-4DC2-A041-AA8A2E6ECBCE}" type="presParOf" srcId="{7AFA005C-24EB-425D-AA59-994D2BCA7851}" destId="{595C3FF3-1CE2-4857-857D-24F27C9A7A01}" srcOrd="9" destOrd="0" presId="urn:microsoft.com/office/officeart/2005/8/layout/lProcess3"/>
    <dgm:cxn modelId="{D24CC84D-6544-41E1-BD00-53D4E9FEA428}" type="presParOf" srcId="{7AFA005C-24EB-425D-AA59-994D2BCA7851}" destId="{1A805A11-34B2-4547-9AC3-D38054F91140}" srcOrd="10" destOrd="0" presId="urn:microsoft.com/office/officeart/2005/8/layout/lProcess3"/>
    <dgm:cxn modelId="{E11EDD92-E80E-4A97-B356-E8B1E0B92849}" type="presParOf" srcId="{7AFA005C-24EB-425D-AA59-994D2BCA7851}" destId="{170943A2-07FD-4ED6-B58F-4E78324785DA}" srcOrd="11" destOrd="0" presId="urn:microsoft.com/office/officeart/2005/8/layout/lProcess3"/>
    <dgm:cxn modelId="{6B8782E3-72D3-4D4A-B59B-56F04F4C3BBE}" type="presParOf" srcId="{7AFA005C-24EB-425D-AA59-994D2BCA7851}" destId="{E8FE0132-567C-48E3-8786-55757C8F10C4}" srcOrd="12"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78A4DFE0-3E3D-412F-91B7-397372F67513}" type="presParOf" srcId="{46382AFD-95FC-4564-A1AD-95C56098B8F7}" destId="{7F584C56-36FB-49EB-9E33-580FE0F9D74F}" srcOrd="1" destOrd="0" presId="urn:microsoft.com/office/officeart/2005/8/layout/lProcess3"/>
    <dgm:cxn modelId="{E6D22A62-91AC-41A2-A4F3-C95CF47ED007}" type="presParOf" srcId="{46382AFD-95FC-4564-A1AD-95C56098B8F7}" destId="{92DB449A-781D-438A-A28D-42D189DED613}" srcOrd="2" destOrd="0" presId="urn:microsoft.com/office/officeart/2005/8/layout/lProcess3"/>
    <dgm:cxn modelId="{587AE5F1-06B4-4C24-8317-F9F11E51EE01}" type="presParOf" srcId="{46382AFD-95FC-4564-A1AD-95C56098B8F7}" destId="{0F7C95B5-E5B1-4E7D-B972-6B77B705C56A}" srcOrd="3" destOrd="0" presId="urn:microsoft.com/office/officeart/2005/8/layout/lProcess3"/>
    <dgm:cxn modelId="{057BC54A-0FEE-4424-895F-E36957DC6163}" type="presParOf" srcId="{46382AFD-95FC-4564-A1AD-95C56098B8F7}" destId="{58F31D09-ADCD-4DC9-8221-D1D9CF855BAD}" srcOrd="4" destOrd="0" presId="urn:microsoft.com/office/officeart/2005/8/layout/lProcess3"/>
    <dgm:cxn modelId="{0782C071-60FB-4447-91C9-27630AD1C5CA}" type="presParOf" srcId="{46382AFD-95FC-4564-A1AD-95C56098B8F7}" destId="{F926AF39-E7BE-4E11-9D22-C62449B0D6F5}" srcOrd="5" destOrd="0" presId="urn:microsoft.com/office/officeart/2005/8/layout/lProcess3"/>
    <dgm:cxn modelId="{6C78DA26-2E38-40AA-B8D7-2022B2D87269}" type="presParOf" srcId="{46382AFD-95FC-4564-A1AD-95C56098B8F7}" destId="{A0DBC11E-E766-4152-BC15-BC0009251B6A}" srcOrd="6" destOrd="0" presId="urn:microsoft.com/office/officeart/2005/8/layout/lProcess3"/>
    <dgm:cxn modelId="{B5BDE1A4-09E6-4ADF-A8E6-4434CD92E6A8}" type="presParOf" srcId="{46382AFD-95FC-4564-A1AD-95C56098B8F7}" destId="{D053A473-5939-4ED2-A2EB-08F6EA663B63}" srcOrd="7" destOrd="0" presId="urn:microsoft.com/office/officeart/2005/8/layout/lProcess3"/>
    <dgm:cxn modelId="{12E0D335-A7F9-4071-A638-35E7FC2D0473}" type="presParOf" srcId="{46382AFD-95FC-4564-A1AD-95C56098B8F7}" destId="{1D04C8CC-6EFD-46D0-BB1C-70E60B93513A}" srcOrd="8" destOrd="0" presId="urn:microsoft.com/office/officeart/2005/8/layout/lProcess3"/>
    <dgm:cxn modelId="{65D41940-96AE-4BB8-8400-1448CC4346E4}" type="presParOf" srcId="{46382AFD-95FC-4564-A1AD-95C56098B8F7}" destId="{ACF4825D-F322-47DC-8BCE-FA35DB4619D6}" srcOrd="9" destOrd="0" presId="urn:microsoft.com/office/officeart/2005/8/layout/lProcess3"/>
    <dgm:cxn modelId="{FE60B3C6-AADC-4DA9-B0A5-9F1EBF1B9B06}" type="presParOf" srcId="{46382AFD-95FC-4564-A1AD-95C56098B8F7}" destId="{13C9CD02-249A-42BA-89EA-061EDDC086D7}" srcOrd="10" destOrd="0" presId="urn:microsoft.com/office/officeart/2005/8/layout/lProcess3"/>
    <dgm:cxn modelId="{F48B0157-5ACA-40C7-B996-536DB78C2FEA}" type="presParOf" srcId="{46382AFD-95FC-4564-A1AD-95C56098B8F7}" destId="{412FD5E1-6105-4277-8502-29E6E714906A}" srcOrd="11" destOrd="0" presId="urn:microsoft.com/office/officeart/2005/8/layout/lProcess3"/>
    <dgm:cxn modelId="{45DA59A1-0878-4066-8783-79CD9368F04F}" type="presParOf" srcId="{46382AFD-95FC-4564-A1AD-95C56098B8F7}" destId="{10D62D9A-AAE0-458C-9095-B2BB7F451ACB}" srcOrd="12" destOrd="0" presId="urn:microsoft.com/office/officeart/2005/8/layout/lProcess3"/>
    <dgm:cxn modelId="{03749785-A0FE-4031-8EF3-B97CCF7144EA}" type="presParOf" srcId="{AABEC067-B163-4BF4-8A60-BD081BE42642}" destId="{BD4AB627-12C3-4C14-A36D-18F53B40C0C2}" srcOrd="3" destOrd="0" presId="urn:microsoft.com/office/officeart/2005/8/layout/lProcess3"/>
    <dgm:cxn modelId="{FA29E224-8962-446E-9E6F-766B5E85182A}" type="presParOf" srcId="{AABEC067-B163-4BF4-8A60-BD081BE42642}" destId="{74599312-6AB4-4211-AF7A-02BC49294BED}" srcOrd="4" destOrd="0" presId="urn:microsoft.com/office/officeart/2005/8/layout/lProcess3"/>
    <dgm:cxn modelId="{8CB96936-1F9C-4925-8D87-7127EAFB9D99}" type="presParOf" srcId="{74599312-6AB4-4211-AF7A-02BC49294BED}" destId="{F97D4733-33FE-440A-9F4A-E88411DCDC07}" srcOrd="0" destOrd="0" presId="urn:microsoft.com/office/officeart/2005/8/layout/lProcess3"/>
    <dgm:cxn modelId="{10D50D15-0BDE-4468-B2B4-D890B00A91C8}" type="presParOf" srcId="{74599312-6AB4-4211-AF7A-02BC49294BED}" destId="{D1ACCDF2-9E7F-476A-9D20-0DAF44D09DEF}" srcOrd="1" destOrd="0" presId="urn:microsoft.com/office/officeart/2005/8/layout/lProcess3"/>
    <dgm:cxn modelId="{90FDC069-A7BE-4BB6-8F71-92B1A88D762E}" type="presParOf" srcId="{74599312-6AB4-4211-AF7A-02BC49294BED}" destId="{16516B57-4DCC-425D-9CC5-42A917385C3E}" srcOrd="2" destOrd="0" presId="urn:microsoft.com/office/officeart/2005/8/layout/lProcess3"/>
    <dgm:cxn modelId="{78FC66FF-2C9A-4373-90F6-1940EB779A60}" type="presParOf" srcId="{74599312-6AB4-4211-AF7A-02BC49294BED}" destId="{FA023B04-684B-4501-97AF-9EDA18AA5790}" srcOrd="3" destOrd="0" presId="urn:microsoft.com/office/officeart/2005/8/layout/lProcess3"/>
    <dgm:cxn modelId="{59094907-C405-4557-889C-18FAAC6943E9}" type="presParOf" srcId="{74599312-6AB4-4211-AF7A-02BC49294BED}" destId="{8F0EEA60-B1DB-420F-91B7-F24A16C0E9F6}" srcOrd="4" destOrd="0" presId="urn:microsoft.com/office/officeart/2005/8/layout/lProcess3"/>
    <dgm:cxn modelId="{472FFE65-2DB7-4664-9EE2-C563E94B388E}" type="presParOf" srcId="{74599312-6AB4-4211-AF7A-02BC49294BED}" destId="{FA44E0AB-6FD0-49BB-B31B-83A7AF9B57C9}" srcOrd="5" destOrd="0" presId="urn:microsoft.com/office/officeart/2005/8/layout/lProcess3"/>
    <dgm:cxn modelId="{8C3ACE92-A6CB-4C11-BAEE-2EE1DB633B21}" type="presParOf" srcId="{74599312-6AB4-4211-AF7A-02BC49294BED}" destId="{364DD1D5-65B5-427D-8048-69F9B123D620}" srcOrd="6" destOrd="0" presId="urn:microsoft.com/office/officeart/2005/8/layout/lProcess3"/>
    <dgm:cxn modelId="{0227F734-30B6-4632-BBBD-1AC104D8FF95}" type="presParOf" srcId="{74599312-6AB4-4211-AF7A-02BC49294BED}" destId="{0389FC13-632C-46F0-8605-F8B130B01B47}" srcOrd="7" destOrd="0" presId="urn:microsoft.com/office/officeart/2005/8/layout/lProcess3"/>
    <dgm:cxn modelId="{9073BBF4-C443-4536-A257-F735FE271A5F}" type="presParOf" srcId="{74599312-6AB4-4211-AF7A-02BC49294BED}" destId="{7249E8C8-FABD-4CA5-BBFA-E45908887436}" srcOrd="8" destOrd="0" presId="urn:microsoft.com/office/officeart/2005/8/layout/lProcess3"/>
    <dgm:cxn modelId="{0FFC18E3-BF01-45C5-86D4-6F59C4679AE7}" type="presParOf" srcId="{74599312-6AB4-4211-AF7A-02BC49294BED}" destId="{00F72B38-8AC4-4DF1-AA7B-BB2A489ECE83}" srcOrd="9" destOrd="0" presId="urn:microsoft.com/office/officeart/2005/8/layout/lProcess3"/>
    <dgm:cxn modelId="{86F4ABCE-B7B3-452A-88BF-FE4450850404}" type="presParOf" srcId="{74599312-6AB4-4211-AF7A-02BC49294BED}" destId="{1F7E2D3B-1C75-4E88-87A3-5E98A54B5AC6}" srcOrd="10" destOrd="0" presId="urn:microsoft.com/office/officeart/2005/8/layout/lProcess3"/>
    <dgm:cxn modelId="{D20C2889-0321-40C4-AF06-B1AC77256BBD}" type="presParOf" srcId="{74599312-6AB4-4211-AF7A-02BC49294BED}" destId="{53E9F6E5-248F-45F1-A9AB-C47D75EC7068}" srcOrd="11" destOrd="0" presId="urn:microsoft.com/office/officeart/2005/8/layout/lProcess3"/>
    <dgm:cxn modelId="{87337C10-D6DE-4D55-8878-CDC5F37BA04F}" type="presParOf" srcId="{74599312-6AB4-4211-AF7A-02BC49294BED}" destId="{2BB8A638-90F3-4041-95E0-6576F32D89E3}" srcOrd="12" destOrd="0" presId="urn:microsoft.com/office/officeart/2005/8/layout/lProcess3"/>
  </dgm:cxnLst>
  <dgm:bg/>
  <dgm:whole/>
  <dgm:extLst>
    <a:ext uri="http://schemas.microsoft.com/office/drawing/2008/diagram">
      <dsp:dataModelExt xmlns:dsp="http://schemas.microsoft.com/office/drawing/2008/diagram" relId="rId102"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4EE94E2A-5F5E-44E1-951D-E443B69C7E5D}"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81E2A84B-83B4-4F8E-B535-8556120F6F9F}">
      <dgm:prSet phldrT="[Text]" custT="1"/>
      <dgm:spPr>
        <a:xfrm>
          <a:off x="586" y="17785"/>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100">
              <a:solidFill>
                <a:sysClr val="windowText" lastClr="000000"/>
              </a:solidFill>
              <a:latin typeface="Calibri" panose="020F0502020204030204"/>
              <a:ea typeface="+mn-ea"/>
              <a:cs typeface="+mn-cs"/>
            </a:rPr>
            <a:t>Rok</a:t>
          </a:r>
        </a:p>
      </dgm:t>
    </dgm:pt>
    <dgm:pt modelId="{2036B88F-8702-489F-94FF-D78FB8E47956}" type="parTrans" cxnId="{1AA7D0AC-0378-4D36-AA61-833573E468E3}">
      <dgm:prSet/>
      <dgm:spPr/>
      <dgm:t>
        <a:bodyPr/>
        <a:lstStyle/>
        <a:p>
          <a:endParaRPr lang="cs-CZ"/>
        </a:p>
      </dgm:t>
    </dgm:pt>
    <dgm:pt modelId="{029BFBD4-7688-46D4-A6AB-A10C6F262367}" type="sibTrans" cxnId="{1AA7D0AC-0378-4D36-AA61-833573E468E3}">
      <dgm:prSet/>
      <dgm:spPr/>
      <dgm:t>
        <a:bodyPr/>
        <a:lstStyle/>
        <a:p>
          <a:endParaRPr lang="cs-CZ"/>
        </a:p>
      </dgm:t>
    </dgm:pt>
    <dgm:pt modelId="{FD412DA4-ABA2-4AD5-A214-908BB97DE886}">
      <dgm:prSet phldrT="[Text]" custT="1"/>
      <dgm:spPr>
        <a:xfrm>
          <a:off x="1048212"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2019</a:t>
          </a:r>
        </a:p>
      </dgm:t>
    </dgm:pt>
    <dgm:pt modelId="{368C1210-123F-456B-9FA6-73775C5B4C65}" type="parTrans" cxnId="{6E98741E-4FA6-4537-9E24-D13A3FD20B2C}">
      <dgm:prSet/>
      <dgm:spPr/>
      <dgm:t>
        <a:bodyPr/>
        <a:lstStyle/>
        <a:p>
          <a:endParaRPr lang="cs-CZ"/>
        </a:p>
      </dgm:t>
    </dgm:pt>
    <dgm:pt modelId="{0E1FDCB0-A8C4-4AEA-BB99-E871CBADA6A4}" type="sibTrans" cxnId="{6E98741E-4FA6-4537-9E24-D13A3FD20B2C}">
      <dgm:prSet/>
      <dgm:spPr/>
      <dgm:t>
        <a:bodyPr/>
        <a:lstStyle/>
        <a:p>
          <a:endParaRPr lang="cs-CZ"/>
        </a:p>
      </dgm:t>
    </dgm:pt>
    <dgm:pt modelId="{F5DED3AE-0C14-4DE7-8F38-1F9C0C20B830}">
      <dgm:prSet phldrT="[Text]" custT="1"/>
      <dgm:spPr>
        <a:xfrm>
          <a:off x="1907747"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2020</a:t>
          </a:r>
        </a:p>
      </dgm:t>
    </dgm:pt>
    <dgm:pt modelId="{B719B0DE-020C-4918-9A96-5EA4CBBD303C}" type="parTrans" cxnId="{1D5C3DA4-3551-4631-8907-02EE0B0BF9A3}">
      <dgm:prSet/>
      <dgm:spPr/>
      <dgm:t>
        <a:bodyPr/>
        <a:lstStyle/>
        <a:p>
          <a:endParaRPr lang="cs-CZ"/>
        </a:p>
      </dgm:t>
    </dgm:pt>
    <dgm:pt modelId="{9CAA767A-F4D1-4A6F-A2F2-7EF5625CDA40}" type="sibTrans" cxnId="{1D5C3DA4-3551-4631-8907-02EE0B0BF9A3}">
      <dgm:prSet/>
      <dgm:spPr/>
      <dgm:t>
        <a:bodyPr/>
        <a:lstStyle/>
        <a:p>
          <a:endParaRPr lang="cs-CZ"/>
        </a:p>
      </dgm:t>
    </dgm:pt>
    <dgm:pt modelId="{ED5AB87C-E8AF-4B34-955E-60AAEE3B8FEF}">
      <dgm:prSet phldrT="[Text]" custT="1"/>
      <dgm:spPr>
        <a:xfrm>
          <a:off x="586" y="566886"/>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100">
              <a:solidFill>
                <a:sysClr val="windowText" lastClr="000000"/>
              </a:solidFill>
              <a:latin typeface="Calibri" panose="020F0502020204030204"/>
              <a:ea typeface="+mn-ea"/>
              <a:cs typeface="+mn-cs"/>
            </a:rPr>
            <a:t>HV CSPSD</a:t>
          </a:r>
        </a:p>
      </dgm:t>
    </dgm:pt>
    <dgm:pt modelId="{0F1EFF1C-D4AF-412E-A23E-7F33D2F0261C}" type="parTrans" cxnId="{0C12C6AB-8B9E-4CB6-A142-0F84CDECD71D}">
      <dgm:prSet/>
      <dgm:spPr/>
      <dgm:t>
        <a:bodyPr/>
        <a:lstStyle/>
        <a:p>
          <a:endParaRPr lang="cs-CZ"/>
        </a:p>
      </dgm:t>
    </dgm:pt>
    <dgm:pt modelId="{4B3AD7E5-8EB7-4CB4-8312-A3E37628597C}" type="sibTrans" cxnId="{0C12C6AB-8B9E-4CB6-A142-0F84CDECD71D}">
      <dgm:prSet/>
      <dgm:spPr/>
      <dgm:t>
        <a:bodyPr/>
        <a:lstStyle/>
        <a:p>
          <a:endParaRPr lang="cs-CZ"/>
        </a:p>
      </dgm:t>
    </dgm:pt>
    <dgm:pt modelId="{B82448CF-6B40-481E-AD07-15874BB7A835}">
      <dgm:prSet phldrT="[Text]" custT="1"/>
      <dgm:spPr>
        <a:xfrm>
          <a:off x="1048212"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12 850</a:t>
          </a:r>
        </a:p>
      </dgm:t>
    </dgm:pt>
    <dgm:pt modelId="{CFABC6DC-56CB-48DD-B398-9AC549291F9D}" type="parTrans" cxnId="{1E9C7536-2072-4CAC-8A87-DE1780847F85}">
      <dgm:prSet/>
      <dgm:spPr/>
      <dgm:t>
        <a:bodyPr/>
        <a:lstStyle/>
        <a:p>
          <a:endParaRPr lang="cs-CZ"/>
        </a:p>
      </dgm:t>
    </dgm:pt>
    <dgm:pt modelId="{974FEBED-D2B8-4E51-973A-CCE86DEA6E8B}" type="sibTrans" cxnId="{1E9C7536-2072-4CAC-8A87-DE1780847F85}">
      <dgm:prSet/>
      <dgm:spPr/>
      <dgm:t>
        <a:bodyPr/>
        <a:lstStyle/>
        <a:p>
          <a:endParaRPr lang="cs-CZ"/>
        </a:p>
      </dgm:t>
    </dgm:pt>
    <dgm:pt modelId="{8F53E0E7-179D-44CC-8347-488EAFB5A9F5}">
      <dgm:prSet phldrT="[Text]" custT="1"/>
      <dgm:spPr>
        <a:xfrm>
          <a:off x="1907747"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23 824</a:t>
          </a:r>
        </a:p>
      </dgm:t>
    </dgm:pt>
    <dgm:pt modelId="{9B4745E1-AE8F-4808-9B8D-BB3D735B574F}" type="parTrans" cxnId="{BCDC72C2-728C-42F3-B164-662CDC2CBF4F}">
      <dgm:prSet/>
      <dgm:spPr/>
      <dgm:t>
        <a:bodyPr/>
        <a:lstStyle/>
        <a:p>
          <a:endParaRPr lang="cs-CZ"/>
        </a:p>
      </dgm:t>
    </dgm:pt>
    <dgm:pt modelId="{96CFE46D-2AAB-45DF-9C38-D910D99BB7F6}" type="sibTrans" cxnId="{BCDC72C2-728C-42F3-B164-662CDC2CBF4F}">
      <dgm:prSet/>
      <dgm:spPr/>
      <dgm:t>
        <a:bodyPr/>
        <a:lstStyle/>
        <a:p>
          <a:endParaRPr lang="cs-CZ"/>
        </a:p>
      </dgm:t>
    </dgm:pt>
    <dgm:pt modelId="{07E64D62-4EEB-4AE5-9D03-D1B1476A0FEA}">
      <dgm:prSet phldrT="[Text]" custT="1"/>
      <dgm:spPr>
        <a:xfrm>
          <a:off x="586" y="1115987"/>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100">
              <a:solidFill>
                <a:sysClr val="windowText" lastClr="000000"/>
              </a:solidFill>
              <a:latin typeface="Calibri" panose="020F0502020204030204"/>
              <a:ea typeface="+mn-ea"/>
              <a:cs typeface="+mn-cs"/>
            </a:rPr>
            <a:t>HV ŘSD ČR</a:t>
          </a:r>
        </a:p>
      </dgm:t>
    </dgm:pt>
    <dgm:pt modelId="{99F0EE74-2CFC-41E1-8238-C8C069683E2E}" type="parTrans" cxnId="{92AFA493-7726-4597-ABC4-2AA8CEEA0CA5}">
      <dgm:prSet/>
      <dgm:spPr/>
      <dgm:t>
        <a:bodyPr/>
        <a:lstStyle/>
        <a:p>
          <a:endParaRPr lang="cs-CZ"/>
        </a:p>
      </dgm:t>
    </dgm:pt>
    <dgm:pt modelId="{2DD14FE5-4E88-405B-9831-48B199C24581}" type="sibTrans" cxnId="{92AFA493-7726-4597-ABC4-2AA8CEEA0CA5}">
      <dgm:prSet/>
      <dgm:spPr/>
      <dgm:t>
        <a:bodyPr/>
        <a:lstStyle/>
        <a:p>
          <a:endParaRPr lang="cs-CZ"/>
        </a:p>
      </dgm:t>
    </dgm:pt>
    <dgm:pt modelId="{38C5B443-1858-43A7-A6DD-6AD7CE3E19AE}">
      <dgm:prSet phldrT="[Text]" custT="1"/>
      <dgm:spPr>
        <a:xfrm>
          <a:off x="1048212"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8 662</a:t>
          </a:r>
        </a:p>
      </dgm:t>
    </dgm:pt>
    <dgm:pt modelId="{FBC90FF9-39BA-4309-A0B9-C49BA68AA0BE}" type="parTrans" cxnId="{0BA2EA6D-9E89-4CA5-8B60-3CA5CBCBC5B1}">
      <dgm:prSet/>
      <dgm:spPr/>
      <dgm:t>
        <a:bodyPr/>
        <a:lstStyle/>
        <a:p>
          <a:endParaRPr lang="cs-CZ"/>
        </a:p>
      </dgm:t>
    </dgm:pt>
    <dgm:pt modelId="{03652280-D4A9-41D5-8425-9763D5B2DB78}" type="sibTrans" cxnId="{0BA2EA6D-9E89-4CA5-8B60-3CA5CBCBC5B1}">
      <dgm:prSet/>
      <dgm:spPr/>
      <dgm:t>
        <a:bodyPr/>
        <a:lstStyle/>
        <a:p>
          <a:endParaRPr lang="cs-CZ"/>
        </a:p>
      </dgm:t>
    </dgm:pt>
    <dgm:pt modelId="{E191DBAA-6DD9-4D88-B2E2-737A88A9CE88}">
      <dgm:prSet phldrT="[Text]" custT="1"/>
      <dgm:spPr>
        <a:xfrm>
          <a:off x="1907747"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7 988</a:t>
          </a:r>
        </a:p>
      </dgm:t>
    </dgm:pt>
    <dgm:pt modelId="{033E9D81-C3FE-475A-BB89-5ABF2AF9DC5B}" type="parTrans" cxnId="{60846EB9-B716-4341-A0E5-82FB59DB2438}">
      <dgm:prSet/>
      <dgm:spPr/>
      <dgm:t>
        <a:bodyPr/>
        <a:lstStyle/>
        <a:p>
          <a:endParaRPr lang="cs-CZ"/>
        </a:p>
      </dgm:t>
    </dgm:pt>
    <dgm:pt modelId="{7B5C3E67-FFC7-4544-B806-93647A3DB213}" type="sibTrans" cxnId="{60846EB9-B716-4341-A0E5-82FB59DB2438}">
      <dgm:prSet/>
      <dgm:spPr/>
      <dgm:t>
        <a:bodyPr/>
        <a:lstStyle/>
        <a:p>
          <a:endParaRPr lang="cs-CZ"/>
        </a:p>
      </dgm:t>
    </dgm:pt>
    <dgm:pt modelId="{4E0F71E2-5E21-4B8E-8B1E-108122EBDED3}">
      <dgm:prSet custT="1"/>
      <dgm:spPr>
        <a:xfrm>
          <a:off x="2767283"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2021</a:t>
          </a:r>
        </a:p>
      </dgm:t>
    </dgm:pt>
    <dgm:pt modelId="{5981AA55-7339-4011-A77A-6591758C655E}" type="parTrans" cxnId="{6852E1E3-7B91-4E2E-987A-29512B32AB89}">
      <dgm:prSet/>
      <dgm:spPr/>
      <dgm:t>
        <a:bodyPr/>
        <a:lstStyle/>
        <a:p>
          <a:endParaRPr lang="cs-CZ"/>
        </a:p>
      </dgm:t>
    </dgm:pt>
    <dgm:pt modelId="{3D2706FD-7022-4961-8CED-D4E0495FCBA8}" type="sibTrans" cxnId="{6852E1E3-7B91-4E2E-987A-29512B32AB89}">
      <dgm:prSet/>
      <dgm:spPr/>
      <dgm:t>
        <a:bodyPr/>
        <a:lstStyle/>
        <a:p>
          <a:endParaRPr lang="cs-CZ"/>
        </a:p>
      </dgm:t>
    </dgm:pt>
    <dgm:pt modelId="{36E0D116-3CAF-4A8D-AAAE-1A1CC6D299E1}">
      <dgm:prSet custT="1"/>
      <dgm:spPr>
        <a:xfrm>
          <a:off x="3626818"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2022</a:t>
          </a:r>
        </a:p>
      </dgm:t>
    </dgm:pt>
    <dgm:pt modelId="{3A7B6882-9832-4068-B9A2-E2D28E0796BD}" type="parTrans" cxnId="{D70D6C24-548E-4FD8-AE60-788E8E3A78A8}">
      <dgm:prSet/>
      <dgm:spPr/>
      <dgm:t>
        <a:bodyPr/>
        <a:lstStyle/>
        <a:p>
          <a:endParaRPr lang="cs-CZ"/>
        </a:p>
      </dgm:t>
    </dgm:pt>
    <dgm:pt modelId="{52E710DA-03C5-4263-961A-2FD553ED59E6}" type="sibTrans" cxnId="{D70D6C24-548E-4FD8-AE60-788E8E3A78A8}">
      <dgm:prSet/>
      <dgm:spPr/>
      <dgm:t>
        <a:bodyPr/>
        <a:lstStyle/>
        <a:p>
          <a:endParaRPr lang="cs-CZ"/>
        </a:p>
      </dgm:t>
    </dgm:pt>
    <dgm:pt modelId="{82F19617-BE99-41AE-A161-37D5132C1C47}">
      <dgm:prSet custT="1"/>
      <dgm:spPr>
        <a:xfrm>
          <a:off x="4486354"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2023</a:t>
          </a:r>
        </a:p>
      </dgm:t>
    </dgm:pt>
    <dgm:pt modelId="{F76C275B-B6FF-4708-8AE3-48BD8198D49F}" type="parTrans" cxnId="{4BD866F6-A65E-4E99-A617-739C0EF9EC3A}">
      <dgm:prSet/>
      <dgm:spPr/>
      <dgm:t>
        <a:bodyPr/>
        <a:lstStyle/>
        <a:p>
          <a:endParaRPr lang="cs-CZ"/>
        </a:p>
      </dgm:t>
    </dgm:pt>
    <dgm:pt modelId="{8244299B-4B0F-4E83-83B8-CF42A416533E}" type="sibTrans" cxnId="{4BD866F6-A65E-4E99-A617-739C0EF9EC3A}">
      <dgm:prSet/>
      <dgm:spPr/>
      <dgm:t>
        <a:bodyPr/>
        <a:lstStyle/>
        <a:p>
          <a:endParaRPr lang="cs-CZ"/>
        </a:p>
      </dgm:t>
    </dgm:pt>
    <dgm:pt modelId="{5EB46F78-D4A2-446C-8903-E666A187AED6}">
      <dgm:prSet custT="1"/>
      <dgm:spPr>
        <a:xfrm>
          <a:off x="2767283"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14 753</a:t>
          </a:r>
        </a:p>
      </dgm:t>
    </dgm:pt>
    <dgm:pt modelId="{B8A0FF13-3A5A-4F3F-AF69-C7E50860FA6B}" type="parTrans" cxnId="{7AD3282B-FF6F-40BB-841B-18C94F8E3662}">
      <dgm:prSet/>
      <dgm:spPr/>
      <dgm:t>
        <a:bodyPr/>
        <a:lstStyle/>
        <a:p>
          <a:endParaRPr lang="cs-CZ"/>
        </a:p>
      </dgm:t>
    </dgm:pt>
    <dgm:pt modelId="{2233BC93-890A-4D3E-A224-CDA0937397B9}" type="sibTrans" cxnId="{7AD3282B-FF6F-40BB-841B-18C94F8E3662}">
      <dgm:prSet/>
      <dgm:spPr/>
      <dgm:t>
        <a:bodyPr/>
        <a:lstStyle/>
        <a:p>
          <a:endParaRPr lang="cs-CZ"/>
        </a:p>
      </dgm:t>
    </dgm:pt>
    <dgm:pt modelId="{ADC02A0C-248D-4B73-BEDF-EBAC6B385856}">
      <dgm:prSet custT="1"/>
      <dgm:spPr>
        <a:xfrm>
          <a:off x="3626818"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6 108</a:t>
          </a:r>
        </a:p>
      </dgm:t>
    </dgm:pt>
    <dgm:pt modelId="{64B2A605-F935-4DF9-A49A-B54CD1153C44}" type="parTrans" cxnId="{9DF3C14B-3EA0-42C1-861A-5FB7163F117E}">
      <dgm:prSet/>
      <dgm:spPr/>
      <dgm:t>
        <a:bodyPr/>
        <a:lstStyle/>
        <a:p>
          <a:endParaRPr lang="cs-CZ"/>
        </a:p>
      </dgm:t>
    </dgm:pt>
    <dgm:pt modelId="{C1AC6A5C-E036-4A17-AC44-68DF0FC7BF81}" type="sibTrans" cxnId="{9DF3C14B-3EA0-42C1-861A-5FB7163F117E}">
      <dgm:prSet/>
      <dgm:spPr/>
      <dgm:t>
        <a:bodyPr/>
        <a:lstStyle/>
        <a:p>
          <a:endParaRPr lang="cs-CZ"/>
        </a:p>
      </dgm:t>
    </dgm:pt>
    <dgm:pt modelId="{1EC62B30-47B8-498B-B2D6-B2ED43CBCEBB}">
      <dgm:prSet custT="1"/>
      <dgm:spPr>
        <a:xfrm>
          <a:off x="4486354"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13 705</a:t>
          </a:r>
        </a:p>
      </dgm:t>
    </dgm:pt>
    <dgm:pt modelId="{A243F3E3-5E54-4864-9B1E-D0270320F932}" type="parTrans" cxnId="{F8643E49-9C0B-4390-9740-D0A4CB9868EB}">
      <dgm:prSet/>
      <dgm:spPr/>
      <dgm:t>
        <a:bodyPr/>
        <a:lstStyle/>
        <a:p>
          <a:endParaRPr lang="cs-CZ"/>
        </a:p>
      </dgm:t>
    </dgm:pt>
    <dgm:pt modelId="{EB82DB54-3F4F-4F0B-A122-50EDBB8654D5}" type="sibTrans" cxnId="{F8643E49-9C0B-4390-9740-D0A4CB9868EB}">
      <dgm:prSet/>
      <dgm:spPr/>
      <dgm:t>
        <a:bodyPr/>
        <a:lstStyle/>
        <a:p>
          <a:endParaRPr lang="cs-CZ"/>
        </a:p>
      </dgm:t>
    </dgm:pt>
    <dgm:pt modelId="{2D0AA77B-47E9-47A7-A197-E39E6510B8A1}">
      <dgm:prSet custT="1"/>
      <dgm:spPr>
        <a:xfrm>
          <a:off x="2767283"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8 475</a:t>
          </a:r>
        </a:p>
      </dgm:t>
    </dgm:pt>
    <dgm:pt modelId="{99CD8031-046C-4968-80E2-E23C67C990BC}" type="parTrans" cxnId="{9CCB2F2E-6ABE-4A3E-B891-F34E3353A871}">
      <dgm:prSet/>
      <dgm:spPr/>
      <dgm:t>
        <a:bodyPr/>
        <a:lstStyle/>
        <a:p>
          <a:endParaRPr lang="cs-CZ"/>
        </a:p>
      </dgm:t>
    </dgm:pt>
    <dgm:pt modelId="{7610A40A-4999-4406-8EED-4EA9B6DCE9EC}" type="sibTrans" cxnId="{9CCB2F2E-6ABE-4A3E-B891-F34E3353A871}">
      <dgm:prSet/>
      <dgm:spPr/>
      <dgm:t>
        <a:bodyPr/>
        <a:lstStyle/>
        <a:p>
          <a:endParaRPr lang="cs-CZ"/>
        </a:p>
      </dgm:t>
    </dgm:pt>
    <dgm:pt modelId="{6721A1BA-D90B-46A9-9F48-9F8C7143C797}">
      <dgm:prSet custT="1"/>
      <dgm:spPr>
        <a:xfrm>
          <a:off x="3626818"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2 554</a:t>
          </a:r>
        </a:p>
      </dgm:t>
    </dgm:pt>
    <dgm:pt modelId="{520FD6FA-87BB-4DDE-B947-4FA40C8D8006}" type="parTrans" cxnId="{161A8E2F-E131-4DFF-B1C0-7190D9DB715D}">
      <dgm:prSet/>
      <dgm:spPr/>
      <dgm:t>
        <a:bodyPr/>
        <a:lstStyle/>
        <a:p>
          <a:endParaRPr lang="cs-CZ"/>
        </a:p>
      </dgm:t>
    </dgm:pt>
    <dgm:pt modelId="{A221F086-3E05-42C9-AF8B-A337F2F0E1A4}" type="sibTrans" cxnId="{161A8E2F-E131-4DFF-B1C0-7190D9DB715D}">
      <dgm:prSet/>
      <dgm:spPr/>
      <dgm:t>
        <a:bodyPr/>
        <a:lstStyle/>
        <a:p>
          <a:endParaRPr lang="cs-CZ"/>
        </a:p>
      </dgm:t>
    </dgm:pt>
    <dgm:pt modelId="{DA7AE1BB-1C92-45CA-8300-1C984F979C28}">
      <dgm:prSet custT="1"/>
      <dgm:spPr>
        <a:xfrm>
          <a:off x="4486354"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a:solidFill>
                <a:sysClr val="windowText" lastClr="000000">
                  <a:hueOff val="0"/>
                  <a:satOff val="0"/>
                  <a:lumOff val="0"/>
                  <a:alphaOff val="0"/>
                </a:sysClr>
              </a:solidFill>
              <a:latin typeface="Calibri" panose="020F0502020204030204"/>
              <a:ea typeface="+mn-ea"/>
              <a:cs typeface="+mn-cs"/>
            </a:rPr>
            <a:t>-661 041</a:t>
          </a:r>
        </a:p>
      </dgm:t>
    </dgm:pt>
    <dgm:pt modelId="{35CB9729-193F-4F54-A6F0-4BBB7EA713CE}" type="parTrans" cxnId="{AFF86BEB-4A64-40D9-8035-F48816CFA37B}">
      <dgm:prSet/>
      <dgm:spPr/>
      <dgm:t>
        <a:bodyPr/>
        <a:lstStyle/>
        <a:p>
          <a:endParaRPr lang="cs-CZ"/>
        </a:p>
      </dgm:t>
    </dgm:pt>
    <dgm:pt modelId="{ADD4BCEA-59DC-413F-A1C6-450BB5F13765}" type="sibTrans" cxnId="{AFF86BEB-4A64-40D9-8035-F48816CFA37B}">
      <dgm:prSet/>
      <dgm:spPr/>
      <dgm:t>
        <a:bodyPr/>
        <a:lstStyle/>
        <a:p>
          <a:endParaRPr lang="cs-CZ"/>
        </a:p>
      </dgm:t>
    </dgm:pt>
    <dgm:pt modelId="{BB0F59AA-DE77-4411-9008-8743F496E94D}" type="pres">
      <dgm:prSet presAssocID="{4EE94E2A-5F5E-44E1-951D-E443B69C7E5D}" presName="Name0" presStyleCnt="0">
        <dgm:presLayoutVars>
          <dgm:chPref val="3"/>
          <dgm:dir/>
          <dgm:animLvl val="lvl"/>
          <dgm:resizeHandles/>
        </dgm:presLayoutVars>
      </dgm:prSet>
      <dgm:spPr/>
    </dgm:pt>
    <dgm:pt modelId="{EA14112D-1A26-4A34-B080-42FB9B8593E6}" type="pres">
      <dgm:prSet presAssocID="{81E2A84B-83B4-4F8E-B535-8556120F6F9F}" presName="horFlow" presStyleCnt="0"/>
      <dgm:spPr/>
    </dgm:pt>
    <dgm:pt modelId="{FFC3605A-E295-4B93-9C21-930C26D597F8}" type="pres">
      <dgm:prSet presAssocID="{81E2A84B-83B4-4F8E-B535-8556120F6F9F}" presName="bigChev" presStyleLbl="node1" presStyleIdx="0" presStyleCnt="3"/>
      <dgm:spPr/>
    </dgm:pt>
    <dgm:pt modelId="{DFB2AE49-95A3-4DC1-8D86-8D136D39B8FA}" type="pres">
      <dgm:prSet presAssocID="{368C1210-123F-456B-9FA6-73775C5B4C65}" presName="parTrans" presStyleCnt="0"/>
      <dgm:spPr/>
    </dgm:pt>
    <dgm:pt modelId="{C70C231C-EB18-4843-9AE6-D1077597BCE3}" type="pres">
      <dgm:prSet presAssocID="{FD412DA4-ABA2-4AD5-A214-908BB97DE886}" presName="node" presStyleLbl="alignAccFollowNode1" presStyleIdx="0" presStyleCnt="15">
        <dgm:presLayoutVars>
          <dgm:bulletEnabled val="1"/>
        </dgm:presLayoutVars>
      </dgm:prSet>
      <dgm:spPr/>
    </dgm:pt>
    <dgm:pt modelId="{88565833-14B7-49F2-A556-29FBA141D546}" type="pres">
      <dgm:prSet presAssocID="{0E1FDCB0-A8C4-4AEA-BB99-E871CBADA6A4}" presName="sibTrans" presStyleCnt="0"/>
      <dgm:spPr/>
    </dgm:pt>
    <dgm:pt modelId="{F4EB4D9C-90D7-413B-95C2-E534DE8BF0A5}" type="pres">
      <dgm:prSet presAssocID="{F5DED3AE-0C14-4DE7-8F38-1F9C0C20B830}" presName="node" presStyleLbl="alignAccFollowNode1" presStyleIdx="1" presStyleCnt="15">
        <dgm:presLayoutVars>
          <dgm:bulletEnabled val="1"/>
        </dgm:presLayoutVars>
      </dgm:prSet>
      <dgm:spPr/>
    </dgm:pt>
    <dgm:pt modelId="{797908F7-A332-4008-A5C5-F8B5FE933A41}" type="pres">
      <dgm:prSet presAssocID="{9CAA767A-F4D1-4A6F-A2F2-7EF5625CDA40}" presName="sibTrans" presStyleCnt="0"/>
      <dgm:spPr/>
    </dgm:pt>
    <dgm:pt modelId="{8A458846-4FC6-4634-9EA1-87E6EE25407C}" type="pres">
      <dgm:prSet presAssocID="{4E0F71E2-5E21-4B8E-8B1E-108122EBDED3}" presName="node" presStyleLbl="alignAccFollowNode1" presStyleIdx="2" presStyleCnt="15">
        <dgm:presLayoutVars>
          <dgm:bulletEnabled val="1"/>
        </dgm:presLayoutVars>
      </dgm:prSet>
      <dgm:spPr/>
    </dgm:pt>
    <dgm:pt modelId="{7688DE8F-C58A-48EC-B36E-B2C5415B6581}" type="pres">
      <dgm:prSet presAssocID="{3D2706FD-7022-4961-8CED-D4E0495FCBA8}" presName="sibTrans" presStyleCnt="0"/>
      <dgm:spPr/>
    </dgm:pt>
    <dgm:pt modelId="{5CCDCD27-9AAA-4432-908B-66D3A393ADF2}" type="pres">
      <dgm:prSet presAssocID="{36E0D116-3CAF-4A8D-AAAE-1A1CC6D299E1}" presName="node" presStyleLbl="alignAccFollowNode1" presStyleIdx="3" presStyleCnt="15">
        <dgm:presLayoutVars>
          <dgm:bulletEnabled val="1"/>
        </dgm:presLayoutVars>
      </dgm:prSet>
      <dgm:spPr/>
    </dgm:pt>
    <dgm:pt modelId="{3E1090E4-B2BF-4AFA-B5E9-BCD81C86DEC9}" type="pres">
      <dgm:prSet presAssocID="{52E710DA-03C5-4263-961A-2FD553ED59E6}" presName="sibTrans" presStyleCnt="0"/>
      <dgm:spPr/>
    </dgm:pt>
    <dgm:pt modelId="{C761B19E-4017-4ACC-9389-3A6F31884FA8}" type="pres">
      <dgm:prSet presAssocID="{82F19617-BE99-41AE-A161-37D5132C1C47}" presName="node" presStyleLbl="alignAccFollowNode1" presStyleIdx="4" presStyleCnt="15">
        <dgm:presLayoutVars>
          <dgm:bulletEnabled val="1"/>
        </dgm:presLayoutVars>
      </dgm:prSet>
      <dgm:spPr/>
    </dgm:pt>
    <dgm:pt modelId="{957621D9-10B8-4753-BE63-72EBFC1C426F}" type="pres">
      <dgm:prSet presAssocID="{81E2A84B-83B4-4F8E-B535-8556120F6F9F}" presName="vSp" presStyleCnt="0"/>
      <dgm:spPr/>
    </dgm:pt>
    <dgm:pt modelId="{A2E2DA66-D6F2-4AAC-8114-4A84AFEB5736}" type="pres">
      <dgm:prSet presAssocID="{ED5AB87C-E8AF-4B34-955E-60AAEE3B8FEF}" presName="horFlow" presStyleCnt="0"/>
      <dgm:spPr/>
    </dgm:pt>
    <dgm:pt modelId="{AD08A1EE-B61A-4E9E-870D-D94212BCE1BF}" type="pres">
      <dgm:prSet presAssocID="{ED5AB87C-E8AF-4B34-955E-60AAEE3B8FEF}" presName="bigChev" presStyleLbl="node1" presStyleIdx="1" presStyleCnt="3"/>
      <dgm:spPr/>
    </dgm:pt>
    <dgm:pt modelId="{B130F370-5C1A-467C-BEFB-F1734891B163}" type="pres">
      <dgm:prSet presAssocID="{CFABC6DC-56CB-48DD-B398-9AC549291F9D}" presName="parTrans" presStyleCnt="0"/>
      <dgm:spPr/>
    </dgm:pt>
    <dgm:pt modelId="{B4C0A6F9-E898-41DD-9058-76E86258E1FE}" type="pres">
      <dgm:prSet presAssocID="{B82448CF-6B40-481E-AD07-15874BB7A835}" presName="node" presStyleLbl="alignAccFollowNode1" presStyleIdx="5" presStyleCnt="15">
        <dgm:presLayoutVars>
          <dgm:bulletEnabled val="1"/>
        </dgm:presLayoutVars>
      </dgm:prSet>
      <dgm:spPr/>
    </dgm:pt>
    <dgm:pt modelId="{8872D434-E45B-4B3A-A179-D5519AFE1310}" type="pres">
      <dgm:prSet presAssocID="{974FEBED-D2B8-4E51-973A-CCE86DEA6E8B}" presName="sibTrans" presStyleCnt="0"/>
      <dgm:spPr/>
    </dgm:pt>
    <dgm:pt modelId="{9565C981-17B2-46C9-9883-CCB362351697}" type="pres">
      <dgm:prSet presAssocID="{8F53E0E7-179D-44CC-8347-488EAFB5A9F5}" presName="node" presStyleLbl="alignAccFollowNode1" presStyleIdx="6" presStyleCnt="15">
        <dgm:presLayoutVars>
          <dgm:bulletEnabled val="1"/>
        </dgm:presLayoutVars>
      </dgm:prSet>
      <dgm:spPr/>
    </dgm:pt>
    <dgm:pt modelId="{15D8B04E-63E8-42C7-83C6-E0F5F409D78B}" type="pres">
      <dgm:prSet presAssocID="{96CFE46D-2AAB-45DF-9C38-D910D99BB7F6}" presName="sibTrans" presStyleCnt="0"/>
      <dgm:spPr/>
    </dgm:pt>
    <dgm:pt modelId="{F4F537FB-0A5C-47AD-AD49-418B48C23EB6}" type="pres">
      <dgm:prSet presAssocID="{5EB46F78-D4A2-446C-8903-E666A187AED6}" presName="node" presStyleLbl="alignAccFollowNode1" presStyleIdx="7" presStyleCnt="15">
        <dgm:presLayoutVars>
          <dgm:bulletEnabled val="1"/>
        </dgm:presLayoutVars>
      </dgm:prSet>
      <dgm:spPr/>
    </dgm:pt>
    <dgm:pt modelId="{5C33129F-F2AA-4737-898A-E23529FE43CA}" type="pres">
      <dgm:prSet presAssocID="{2233BC93-890A-4D3E-A224-CDA0937397B9}" presName="sibTrans" presStyleCnt="0"/>
      <dgm:spPr/>
    </dgm:pt>
    <dgm:pt modelId="{53BCF283-5D90-423F-8018-F3C36AABBB67}" type="pres">
      <dgm:prSet presAssocID="{ADC02A0C-248D-4B73-BEDF-EBAC6B385856}" presName="node" presStyleLbl="alignAccFollowNode1" presStyleIdx="8" presStyleCnt="15">
        <dgm:presLayoutVars>
          <dgm:bulletEnabled val="1"/>
        </dgm:presLayoutVars>
      </dgm:prSet>
      <dgm:spPr/>
    </dgm:pt>
    <dgm:pt modelId="{140F9626-B8AF-45EC-A642-171623487B18}" type="pres">
      <dgm:prSet presAssocID="{C1AC6A5C-E036-4A17-AC44-68DF0FC7BF81}" presName="sibTrans" presStyleCnt="0"/>
      <dgm:spPr/>
    </dgm:pt>
    <dgm:pt modelId="{47D46504-6314-453D-BC7B-1E4E7921C91E}" type="pres">
      <dgm:prSet presAssocID="{1EC62B30-47B8-498B-B2D6-B2ED43CBCEBB}" presName="node" presStyleLbl="alignAccFollowNode1" presStyleIdx="9" presStyleCnt="15">
        <dgm:presLayoutVars>
          <dgm:bulletEnabled val="1"/>
        </dgm:presLayoutVars>
      </dgm:prSet>
      <dgm:spPr/>
    </dgm:pt>
    <dgm:pt modelId="{445BF074-C5A6-4C37-A129-C8F6D8FF0F1B}" type="pres">
      <dgm:prSet presAssocID="{ED5AB87C-E8AF-4B34-955E-60AAEE3B8FEF}" presName="vSp" presStyleCnt="0"/>
      <dgm:spPr/>
    </dgm:pt>
    <dgm:pt modelId="{DCB505BA-D02E-4BCC-ADF1-7B92E139C828}" type="pres">
      <dgm:prSet presAssocID="{07E64D62-4EEB-4AE5-9D03-D1B1476A0FEA}" presName="horFlow" presStyleCnt="0"/>
      <dgm:spPr/>
    </dgm:pt>
    <dgm:pt modelId="{2208B286-54CB-4D2C-AE2C-29FE191EDA6E}" type="pres">
      <dgm:prSet presAssocID="{07E64D62-4EEB-4AE5-9D03-D1B1476A0FEA}" presName="bigChev" presStyleLbl="node1" presStyleIdx="2" presStyleCnt="3"/>
      <dgm:spPr/>
    </dgm:pt>
    <dgm:pt modelId="{F156059C-3C0A-4B4C-8835-A66B617C4A25}" type="pres">
      <dgm:prSet presAssocID="{FBC90FF9-39BA-4309-A0B9-C49BA68AA0BE}" presName="parTrans" presStyleCnt="0"/>
      <dgm:spPr/>
    </dgm:pt>
    <dgm:pt modelId="{5E7B847C-533A-4F48-AF02-A53463814AC2}" type="pres">
      <dgm:prSet presAssocID="{38C5B443-1858-43A7-A6DD-6AD7CE3E19AE}" presName="node" presStyleLbl="alignAccFollowNode1" presStyleIdx="10" presStyleCnt="15">
        <dgm:presLayoutVars>
          <dgm:bulletEnabled val="1"/>
        </dgm:presLayoutVars>
      </dgm:prSet>
      <dgm:spPr/>
    </dgm:pt>
    <dgm:pt modelId="{4766087D-206D-4C7B-AEC3-A2DF11CD3019}" type="pres">
      <dgm:prSet presAssocID="{03652280-D4A9-41D5-8425-9763D5B2DB78}" presName="sibTrans" presStyleCnt="0"/>
      <dgm:spPr/>
    </dgm:pt>
    <dgm:pt modelId="{F668E639-5A9F-4966-8C59-2A640FB759B7}" type="pres">
      <dgm:prSet presAssocID="{E191DBAA-6DD9-4D88-B2E2-737A88A9CE88}" presName="node" presStyleLbl="alignAccFollowNode1" presStyleIdx="11" presStyleCnt="15">
        <dgm:presLayoutVars>
          <dgm:bulletEnabled val="1"/>
        </dgm:presLayoutVars>
      </dgm:prSet>
      <dgm:spPr/>
    </dgm:pt>
    <dgm:pt modelId="{E9457100-14F9-4142-ABA5-5D1B5129777A}" type="pres">
      <dgm:prSet presAssocID="{7B5C3E67-FFC7-4544-B806-93647A3DB213}" presName="sibTrans" presStyleCnt="0"/>
      <dgm:spPr/>
    </dgm:pt>
    <dgm:pt modelId="{D4035B12-4969-4E6E-B7B2-82DF87D302C4}" type="pres">
      <dgm:prSet presAssocID="{2D0AA77B-47E9-47A7-A197-E39E6510B8A1}" presName="node" presStyleLbl="alignAccFollowNode1" presStyleIdx="12" presStyleCnt="15">
        <dgm:presLayoutVars>
          <dgm:bulletEnabled val="1"/>
        </dgm:presLayoutVars>
      </dgm:prSet>
      <dgm:spPr/>
    </dgm:pt>
    <dgm:pt modelId="{51D12E4E-A3E7-4EAD-8D62-50A78A8A384B}" type="pres">
      <dgm:prSet presAssocID="{7610A40A-4999-4406-8EED-4EA9B6DCE9EC}" presName="sibTrans" presStyleCnt="0"/>
      <dgm:spPr/>
    </dgm:pt>
    <dgm:pt modelId="{5F9935C1-7405-438C-8903-FD5FF0290A6A}" type="pres">
      <dgm:prSet presAssocID="{6721A1BA-D90B-46A9-9F48-9F8C7143C797}" presName="node" presStyleLbl="alignAccFollowNode1" presStyleIdx="13" presStyleCnt="15">
        <dgm:presLayoutVars>
          <dgm:bulletEnabled val="1"/>
        </dgm:presLayoutVars>
      </dgm:prSet>
      <dgm:spPr/>
    </dgm:pt>
    <dgm:pt modelId="{1DD4AEB9-E770-4D2C-AD85-C5CF2251BB34}" type="pres">
      <dgm:prSet presAssocID="{A221F086-3E05-42C9-AF8B-A337F2F0E1A4}" presName="sibTrans" presStyleCnt="0"/>
      <dgm:spPr/>
    </dgm:pt>
    <dgm:pt modelId="{82F11E6C-2298-44C7-B545-6C0B87CC9F00}" type="pres">
      <dgm:prSet presAssocID="{DA7AE1BB-1C92-45CA-8300-1C984F979C28}" presName="node" presStyleLbl="alignAccFollowNode1" presStyleIdx="14" presStyleCnt="15">
        <dgm:presLayoutVars>
          <dgm:bulletEnabled val="1"/>
        </dgm:presLayoutVars>
      </dgm:prSet>
      <dgm:spPr/>
    </dgm:pt>
  </dgm:ptLst>
  <dgm:cxnLst>
    <dgm:cxn modelId="{F4ED8405-9F8E-4FEB-8EE3-A5C8A93132E2}" type="presOf" srcId="{FD412DA4-ABA2-4AD5-A214-908BB97DE886}" destId="{C70C231C-EB18-4843-9AE6-D1077597BCE3}" srcOrd="0" destOrd="0" presId="urn:microsoft.com/office/officeart/2005/8/layout/lProcess3"/>
    <dgm:cxn modelId="{13DBD805-E2ED-45EB-93BC-EFC0BCC50BC6}" type="presOf" srcId="{2D0AA77B-47E9-47A7-A197-E39E6510B8A1}" destId="{D4035B12-4969-4E6E-B7B2-82DF87D302C4}" srcOrd="0" destOrd="0" presId="urn:microsoft.com/office/officeart/2005/8/layout/lProcess3"/>
    <dgm:cxn modelId="{CEA38813-1C09-439C-9049-A37E9EE507A6}" type="presOf" srcId="{6721A1BA-D90B-46A9-9F48-9F8C7143C797}" destId="{5F9935C1-7405-438C-8903-FD5FF0290A6A}" srcOrd="0" destOrd="0" presId="urn:microsoft.com/office/officeart/2005/8/layout/lProcess3"/>
    <dgm:cxn modelId="{6E98741E-4FA6-4537-9E24-D13A3FD20B2C}" srcId="{81E2A84B-83B4-4F8E-B535-8556120F6F9F}" destId="{FD412DA4-ABA2-4AD5-A214-908BB97DE886}" srcOrd="0" destOrd="0" parTransId="{368C1210-123F-456B-9FA6-73775C5B4C65}" sibTransId="{0E1FDCB0-A8C4-4AEA-BB99-E871CBADA6A4}"/>
    <dgm:cxn modelId="{4BDD961F-69AD-4E60-8987-61E8F7E074B8}" type="presOf" srcId="{5EB46F78-D4A2-446C-8903-E666A187AED6}" destId="{F4F537FB-0A5C-47AD-AD49-418B48C23EB6}" srcOrd="0" destOrd="0" presId="urn:microsoft.com/office/officeart/2005/8/layout/lProcess3"/>
    <dgm:cxn modelId="{213C9421-9BFD-43D7-95E3-409452E589AA}" type="presOf" srcId="{07E64D62-4EEB-4AE5-9D03-D1B1476A0FEA}" destId="{2208B286-54CB-4D2C-AE2C-29FE191EDA6E}" srcOrd="0" destOrd="0" presId="urn:microsoft.com/office/officeart/2005/8/layout/lProcess3"/>
    <dgm:cxn modelId="{9E886E23-6A51-4BE6-82CC-C41BC227BD27}" type="presOf" srcId="{E191DBAA-6DD9-4D88-B2E2-737A88A9CE88}" destId="{F668E639-5A9F-4966-8C59-2A640FB759B7}" srcOrd="0" destOrd="0" presId="urn:microsoft.com/office/officeart/2005/8/layout/lProcess3"/>
    <dgm:cxn modelId="{D70D6C24-548E-4FD8-AE60-788E8E3A78A8}" srcId="{81E2A84B-83B4-4F8E-B535-8556120F6F9F}" destId="{36E0D116-3CAF-4A8D-AAAE-1A1CC6D299E1}" srcOrd="3" destOrd="0" parTransId="{3A7B6882-9832-4068-B9A2-E2D28E0796BD}" sibTransId="{52E710DA-03C5-4263-961A-2FD553ED59E6}"/>
    <dgm:cxn modelId="{7AD3282B-FF6F-40BB-841B-18C94F8E3662}" srcId="{ED5AB87C-E8AF-4B34-955E-60AAEE3B8FEF}" destId="{5EB46F78-D4A2-446C-8903-E666A187AED6}" srcOrd="2" destOrd="0" parTransId="{B8A0FF13-3A5A-4F3F-AF69-C7E50860FA6B}" sibTransId="{2233BC93-890A-4D3E-A224-CDA0937397B9}"/>
    <dgm:cxn modelId="{9CCB2F2E-6ABE-4A3E-B891-F34E3353A871}" srcId="{07E64D62-4EEB-4AE5-9D03-D1B1476A0FEA}" destId="{2D0AA77B-47E9-47A7-A197-E39E6510B8A1}" srcOrd="2" destOrd="0" parTransId="{99CD8031-046C-4968-80E2-E23C67C990BC}" sibTransId="{7610A40A-4999-4406-8EED-4EA9B6DCE9EC}"/>
    <dgm:cxn modelId="{161A8E2F-E131-4DFF-B1C0-7190D9DB715D}" srcId="{07E64D62-4EEB-4AE5-9D03-D1B1476A0FEA}" destId="{6721A1BA-D90B-46A9-9F48-9F8C7143C797}" srcOrd="3" destOrd="0" parTransId="{520FD6FA-87BB-4DDE-B947-4FA40C8D8006}" sibTransId="{A221F086-3E05-42C9-AF8B-A337F2F0E1A4}"/>
    <dgm:cxn modelId="{2714C730-145B-4F38-961E-87B984FCC584}" type="presOf" srcId="{4E0F71E2-5E21-4B8E-8B1E-108122EBDED3}" destId="{8A458846-4FC6-4634-9EA1-87E6EE25407C}" srcOrd="0" destOrd="0" presId="urn:microsoft.com/office/officeart/2005/8/layout/lProcess3"/>
    <dgm:cxn modelId="{1E9C7536-2072-4CAC-8A87-DE1780847F85}" srcId="{ED5AB87C-E8AF-4B34-955E-60AAEE3B8FEF}" destId="{B82448CF-6B40-481E-AD07-15874BB7A835}" srcOrd="0" destOrd="0" parTransId="{CFABC6DC-56CB-48DD-B398-9AC549291F9D}" sibTransId="{974FEBED-D2B8-4E51-973A-CCE86DEA6E8B}"/>
    <dgm:cxn modelId="{8C1C1441-A921-4ED0-8867-1FC966C9095E}" type="presOf" srcId="{ADC02A0C-248D-4B73-BEDF-EBAC6B385856}" destId="{53BCF283-5D90-423F-8018-F3C36AABBB67}" srcOrd="0" destOrd="0" presId="urn:microsoft.com/office/officeart/2005/8/layout/lProcess3"/>
    <dgm:cxn modelId="{F8643E49-9C0B-4390-9740-D0A4CB9868EB}" srcId="{ED5AB87C-E8AF-4B34-955E-60AAEE3B8FEF}" destId="{1EC62B30-47B8-498B-B2D6-B2ED43CBCEBB}" srcOrd="4" destOrd="0" parTransId="{A243F3E3-5E54-4864-9B1E-D0270320F932}" sibTransId="{EB82DB54-3F4F-4F0B-A122-50EDBB8654D5}"/>
    <dgm:cxn modelId="{9DF3C14B-3EA0-42C1-861A-5FB7163F117E}" srcId="{ED5AB87C-E8AF-4B34-955E-60AAEE3B8FEF}" destId="{ADC02A0C-248D-4B73-BEDF-EBAC6B385856}" srcOrd="3" destOrd="0" parTransId="{64B2A605-F935-4DF9-A49A-B54CD1153C44}" sibTransId="{C1AC6A5C-E036-4A17-AC44-68DF0FC7BF81}"/>
    <dgm:cxn modelId="{1B4E704D-3AA5-4D9E-AF73-BA9C1F5A4923}" type="presOf" srcId="{82F19617-BE99-41AE-A161-37D5132C1C47}" destId="{C761B19E-4017-4ACC-9389-3A6F31884FA8}" srcOrd="0" destOrd="0" presId="urn:microsoft.com/office/officeart/2005/8/layout/lProcess3"/>
    <dgm:cxn modelId="{0BA2EA6D-9E89-4CA5-8B60-3CA5CBCBC5B1}" srcId="{07E64D62-4EEB-4AE5-9D03-D1B1476A0FEA}" destId="{38C5B443-1858-43A7-A6DD-6AD7CE3E19AE}" srcOrd="0" destOrd="0" parTransId="{FBC90FF9-39BA-4309-A0B9-C49BA68AA0BE}" sibTransId="{03652280-D4A9-41D5-8425-9763D5B2DB78}"/>
    <dgm:cxn modelId="{C1234F50-B911-417C-A2A7-1865E81425CE}" type="presOf" srcId="{F5DED3AE-0C14-4DE7-8F38-1F9C0C20B830}" destId="{F4EB4D9C-90D7-413B-95C2-E534DE8BF0A5}" srcOrd="0" destOrd="0" presId="urn:microsoft.com/office/officeart/2005/8/layout/lProcess3"/>
    <dgm:cxn modelId="{09BAC657-C9DF-4CE5-A078-669A8DBF8AD5}" type="presOf" srcId="{B82448CF-6B40-481E-AD07-15874BB7A835}" destId="{B4C0A6F9-E898-41DD-9058-76E86258E1FE}" srcOrd="0" destOrd="0" presId="urn:microsoft.com/office/officeart/2005/8/layout/lProcess3"/>
    <dgm:cxn modelId="{F2C3DA7D-4488-404A-8688-5E1B797D83C1}" type="presOf" srcId="{38C5B443-1858-43A7-A6DD-6AD7CE3E19AE}" destId="{5E7B847C-533A-4F48-AF02-A53463814AC2}" srcOrd="0" destOrd="0" presId="urn:microsoft.com/office/officeart/2005/8/layout/lProcess3"/>
    <dgm:cxn modelId="{5ED63388-A162-4CD7-A4A4-4DE4B7F639DC}" type="presOf" srcId="{1EC62B30-47B8-498B-B2D6-B2ED43CBCEBB}" destId="{47D46504-6314-453D-BC7B-1E4E7921C91E}" srcOrd="0" destOrd="0" presId="urn:microsoft.com/office/officeart/2005/8/layout/lProcess3"/>
    <dgm:cxn modelId="{92AFA493-7726-4597-ABC4-2AA8CEEA0CA5}" srcId="{4EE94E2A-5F5E-44E1-951D-E443B69C7E5D}" destId="{07E64D62-4EEB-4AE5-9D03-D1B1476A0FEA}" srcOrd="2" destOrd="0" parTransId="{99F0EE74-2CFC-41E1-8238-C8C069683E2E}" sibTransId="{2DD14FE5-4E88-405B-9831-48B199C24581}"/>
    <dgm:cxn modelId="{1D5C3DA4-3551-4631-8907-02EE0B0BF9A3}" srcId="{81E2A84B-83B4-4F8E-B535-8556120F6F9F}" destId="{F5DED3AE-0C14-4DE7-8F38-1F9C0C20B830}" srcOrd="1" destOrd="0" parTransId="{B719B0DE-020C-4918-9A96-5EA4CBBD303C}" sibTransId="{9CAA767A-F4D1-4A6F-A2F2-7EF5625CDA40}"/>
    <dgm:cxn modelId="{0C12C6AB-8B9E-4CB6-A142-0F84CDECD71D}" srcId="{4EE94E2A-5F5E-44E1-951D-E443B69C7E5D}" destId="{ED5AB87C-E8AF-4B34-955E-60AAEE3B8FEF}" srcOrd="1" destOrd="0" parTransId="{0F1EFF1C-D4AF-412E-A23E-7F33D2F0261C}" sibTransId="{4B3AD7E5-8EB7-4CB4-8312-A3E37628597C}"/>
    <dgm:cxn modelId="{1AA7D0AC-0378-4D36-AA61-833573E468E3}" srcId="{4EE94E2A-5F5E-44E1-951D-E443B69C7E5D}" destId="{81E2A84B-83B4-4F8E-B535-8556120F6F9F}" srcOrd="0" destOrd="0" parTransId="{2036B88F-8702-489F-94FF-D78FB8E47956}" sibTransId="{029BFBD4-7688-46D4-A6AB-A10C6F262367}"/>
    <dgm:cxn modelId="{2AA8D2AC-A186-471F-A5C1-ABEC7DB7EE63}" type="presOf" srcId="{81E2A84B-83B4-4F8E-B535-8556120F6F9F}" destId="{FFC3605A-E295-4B93-9C21-930C26D597F8}" srcOrd="0" destOrd="0" presId="urn:microsoft.com/office/officeart/2005/8/layout/lProcess3"/>
    <dgm:cxn modelId="{60846EB9-B716-4341-A0E5-82FB59DB2438}" srcId="{07E64D62-4EEB-4AE5-9D03-D1B1476A0FEA}" destId="{E191DBAA-6DD9-4D88-B2E2-737A88A9CE88}" srcOrd="1" destOrd="0" parTransId="{033E9D81-C3FE-475A-BB89-5ABF2AF9DC5B}" sibTransId="{7B5C3E67-FFC7-4544-B806-93647A3DB213}"/>
    <dgm:cxn modelId="{493F66BE-3B18-4285-9207-35F0FC9466D9}" type="presOf" srcId="{8F53E0E7-179D-44CC-8347-488EAFB5A9F5}" destId="{9565C981-17B2-46C9-9883-CCB362351697}" srcOrd="0" destOrd="0" presId="urn:microsoft.com/office/officeart/2005/8/layout/lProcess3"/>
    <dgm:cxn modelId="{BCDC72C2-728C-42F3-B164-662CDC2CBF4F}" srcId="{ED5AB87C-E8AF-4B34-955E-60AAEE3B8FEF}" destId="{8F53E0E7-179D-44CC-8347-488EAFB5A9F5}" srcOrd="1" destOrd="0" parTransId="{9B4745E1-AE8F-4808-9B8D-BB3D735B574F}" sibTransId="{96CFE46D-2AAB-45DF-9C38-D910D99BB7F6}"/>
    <dgm:cxn modelId="{1B6628C4-BFE0-4F42-8FB7-BCAD1E158EE8}" type="presOf" srcId="{36E0D116-3CAF-4A8D-AAAE-1A1CC6D299E1}" destId="{5CCDCD27-9AAA-4432-908B-66D3A393ADF2}" srcOrd="0" destOrd="0" presId="urn:microsoft.com/office/officeart/2005/8/layout/lProcess3"/>
    <dgm:cxn modelId="{C4F935DA-CCF2-4BB4-ABB9-22ACFB4B37F9}" type="presOf" srcId="{4EE94E2A-5F5E-44E1-951D-E443B69C7E5D}" destId="{BB0F59AA-DE77-4411-9008-8743F496E94D}" srcOrd="0" destOrd="0" presId="urn:microsoft.com/office/officeart/2005/8/layout/lProcess3"/>
    <dgm:cxn modelId="{6852E1E3-7B91-4E2E-987A-29512B32AB89}" srcId="{81E2A84B-83B4-4F8E-B535-8556120F6F9F}" destId="{4E0F71E2-5E21-4B8E-8B1E-108122EBDED3}" srcOrd="2" destOrd="0" parTransId="{5981AA55-7339-4011-A77A-6591758C655E}" sibTransId="{3D2706FD-7022-4961-8CED-D4E0495FCBA8}"/>
    <dgm:cxn modelId="{AFF86BEB-4A64-40D9-8035-F48816CFA37B}" srcId="{07E64D62-4EEB-4AE5-9D03-D1B1476A0FEA}" destId="{DA7AE1BB-1C92-45CA-8300-1C984F979C28}" srcOrd="4" destOrd="0" parTransId="{35CB9729-193F-4F54-A6F0-4BBB7EA713CE}" sibTransId="{ADD4BCEA-59DC-413F-A1C6-450BB5F13765}"/>
    <dgm:cxn modelId="{CB02E6F4-488B-4326-82BE-0F85E12CB0F0}" type="presOf" srcId="{ED5AB87C-E8AF-4B34-955E-60AAEE3B8FEF}" destId="{AD08A1EE-B61A-4E9E-870D-D94212BCE1BF}" srcOrd="0" destOrd="0" presId="urn:microsoft.com/office/officeart/2005/8/layout/lProcess3"/>
    <dgm:cxn modelId="{4BD866F6-A65E-4E99-A617-739C0EF9EC3A}" srcId="{81E2A84B-83B4-4F8E-B535-8556120F6F9F}" destId="{82F19617-BE99-41AE-A161-37D5132C1C47}" srcOrd="4" destOrd="0" parTransId="{F76C275B-B6FF-4708-8AE3-48BD8198D49F}" sibTransId="{8244299B-4B0F-4E83-83B8-CF42A416533E}"/>
    <dgm:cxn modelId="{B4C038FF-49E2-4621-ADF6-232142FCF89F}" type="presOf" srcId="{DA7AE1BB-1C92-45CA-8300-1C984F979C28}" destId="{82F11E6C-2298-44C7-B545-6C0B87CC9F00}" srcOrd="0" destOrd="0" presId="urn:microsoft.com/office/officeart/2005/8/layout/lProcess3"/>
    <dgm:cxn modelId="{262FE813-7DCD-40D9-9C86-7F2F44A6E2C5}" type="presParOf" srcId="{BB0F59AA-DE77-4411-9008-8743F496E94D}" destId="{EA14112D-1A26-4A34-B080-42FB9B8593E6}" srcOrd="0" destOrd="0" presId="urn:microsoft.com/office/officeart/2005/8/layout/lProcess3"/>
    <dgm:cxn modelId="{C8FF4DF2-3F3A-4477-B22D-20FD2DD631F7}" type="presParOf" srcId="{EA14112D-1A26-4A34-B080-42FB9B8593E6}" destId="{FFC3605A-E295-4B93-9C21-930C26D597F8}" srcOrd="0" destOrd="0" presId="urn:microsoft.com/office/officeart/2005/8/layout/lProcess3"/>
    <dgm:cxn modelId="{2EF54919-8436-434E-B539-B8FA0C28580B}" type="presParOf" srcId="{EA14112D-1A26-4A34-B080-42FB9B8593E6}" destId="{DFB2AE49-95A3-4DC1-8D86-8D136D39B8FA}" srcOrd="1" destOrd="0" presId="urn:microsoft.com/office/officeart/2005/8/layout/lProcess3"/>
    <dgm:cxn modelId="{5AE336A0-C549-4BCF-9B24-97399E0EF70D}" type="presParOf" srcId="{EA14112D-1A26-4A34-B080-42FB9B8593E6}" destId="{C70C231C-EB18-4843-9AE6-D1077597BCE3}" srcOrd="2" destOrd="0" presId="urn:microsoft.com/office/officeart/2005/8/layout/lProcess3"/>
    <dgm:cxn modelId="{FFC3DBC1-496B-45A9-A7BF-80D4A16C0F54}" type="presParOf" srcId="{EA14112D-1A26-4A34-B080-42FB9B8593E6}" destId="{88565833-14B7-49F2-A556-29FBA141D546}" srcOrd="3" destOrd="0" presId="urn:microsoft.com/office/officeart/2005/8/layout/lProcess3"/>
    <dgm:cxn modelId="{025DEC7A-06BF-4946-A17D-165C88CB9EF6}" type="presParOf" srcId="{EA14112D-1A26-4A34-B080-42FB9B8593E6}" destId="{F4EB4D9C-90D7-413B-95C2-E534DE8BF0A5}" srcOrd="4" destOrd="0" presId="urn:microsoft.com/office/officeart/2005/8/layout/lProcess3"/>
    <dgm:cxn modelId="{D9637B62-196A-4E2E-95B2-F69278030BF6}" type="presParOf" srcId="{EA14112D-1A26-4A34-B080-42FB9B8593E6}" destId="{797908F7-A332-4008-A5C5-F8B5FE933A41}" srcOrd="5" destOrd="0" presId="urn:microsoft.com/office/officeart/2005/8/layout/lProcess3"/>
    <dgm:cxn modelId="{87E71218-851E-49CD-A478-F75F50BC5E55}" type="presParOf" srcId="{EA14112D-1A26-4A34-B080-42FB9B8593E6}" destId="{8A458846-4FC6-4634-9EA1-87E6EE25407C}" srcOrd="6" destOrd="0" presId="urn:microsoft.com/office/officeart/2005/8/layout/lProcess3"/>
    <dgm:cxn modelId="{9AD722CA-E568-4D41-81B1-697989122DDC}" type="presParOf" srcId="{EA14112D-1A26-4A34-B080-42FB9B8593E6}" destId="{7688DE8F-C58A-48EC-B36E-B2C5415B6581}" srcOrd="7" destOrd="0" presId="urn:microsoft.com/office/officeart/2005/8/layout/lProcess3"/>
    <dgm:cxn modelId="{2F955D2D-69CF-40FB-BB2E-A1645D029CD4}" type="presParOf" srcId="{EA14112D-1A26-4A34-B080-42FB9B8593E6}" destId="{5CCDCD27-9AAA-4432-908B-66D3A393ADF2}" srcOrd="8" destOrd="0" presId="urn:microsoft.com/office/officeart/2005/8/layout/lProcess3"/>
    <dgm:cxn modelId="{7D3F5501-2242-457A-B319-FC9596A38633}" type="presParOf" srcId="{EA14112D-1A26-4A34-B080-42FB9B8593E6}" destId="{3E1090E4-B2BF-4AFA-B5E9-BCD81C86DEC9}" srcOrd="9" destOrd="0" presId="urn:microsoft.com/office/officeart/2005/8/layout/lProcess3"/>
    <dgm:cxn modelId="{3B251753-E360-4E33-820F-A40DADF813C2}" type="presParOf" srcId="{EA14112D-1A26-4A34-B080-42FB9B8593E6}" destId="{C761B19E-4017-4ACC-9389-3A6F31884FA8}" srcOrd="10" destOrd="0" presId="urn:microsoft.com/office/officeart/2005/8/layout/lProcess3"/>
    <dgm:cxn modelId="{20AA5E61-3CF6-4F7C-A8BA-BFBCED29D0BE}" type="presParOf" srcId="{BB0F59AA-DE77-4411-9008-8743F496E94D}" destId="{957621D9-10B8-4753-BE63-72EBFC1C426F}" srcOrd="1" destOrd="0" presId="urn:microsoft.com/office/officeart/2005/8/layout/lProcess3"/>
    <dgm:cxn modelId="{D7BD31B2-B186-4119-A93E-8AC1ECB04721}" type="presParOf" srcId="{BB0F59AA-DE77-4411-9008-8743F496E94D}" destId="{A2E2DA66-D6F2-4AAC-8114-4A84AFEB5736}" srcOrd="2" destOrd="0" presId="urn:microsoft.com/office/officeart/2005/8/layout/lProcess3"/>
    <dgm:cxn modelId="{1CC950E0-A5E9-4925-80A2-5C1C627387EC}" type="presParOf" srcId="{A2E2DA66-D6F2-4AAC-8114-4A84AFEB5736}" destId="{AD08A1EE-B61A-4E9E-870D-D94212BCE1BF}" srcOrd="0" destOrd="0" presId="urn:microsoft.com/office/officeart/2005/8/layout/lProcess3"/>
    <dgm:cxn modelId="{FAE08A8F-7259-467D-86DD-173B4B9ABBD9}" type="presParOf" srcId="{A2E2DA66-D6F2-4AAC-8114-4A84AFEB5736}" destId="{B130F370-5C1A-467C-BEFB-F1734891B163}" srcOrd="1" destOrd="0" presId="urn:microsoft.com/office/officeart/2005/8/layout/lProcess3"/>
    <dgm:cxn modelId="{FC7259B8-CA0C-4EC8-BAB9-7150049DAE2D}" type="presParOf" srcId="{A2E2DA66-D6F2-4AAC-8114-4A84AFEB5736}" destId="{B4C0A6F9-E898-41DD-9058-76E86258E1FE}" srcOrd="2" destOrd="0" presId="urn:microsoft.com/office/officeart/2005/8/layout/lProcess3"/>
    <dgm:cxn modelId="{DBF747D9-72F2-4B28-A989-4B734D549C39}" type="presParOf" srcId="{A2E2DA66-D6F2-4AAC-8114-4A84AFEB5736}" destId="{8872D434-E45B-4B3A-A179-D5519AFE1310}" srcOrd="3" destOrd="0" presId="urn:microsoft.com/office/officeart/2005/8/layout/lProcess3"/>
    <dgm:cxn modelId="{A16167C0-A49C-4DB6-8469-D018243244A9}" type="presParOf" srcId="{A2E2DA66-D6F2-4AAC-8114-4A84AFEB5736}" destId="{9565C981-17B2-46C9-9883-CCB362351697}" srcOrd="4" destOrd="0" presId="urn:microsoft.com/office/officeart/2005/8/layout/lProcess3"/>
    <dgm:cxn modelId="{6BDC6B21-75FB-4F3F-B6A8-80C88FA65D45}" type="presParOf" srcId="{A2E2DA66-D6F2-4AAC-8114-4A84AFEB5736}" destId="{15D8B04E-63E8-42C7-83C6-E0F5F409D78B}" srcOrd="5" destOrd="0" presId="urn:microsoft.com/office/officeart/2005/8/layout/lProcess3"/>
    <dgm:cxn modelId="{7B12651E-7076-4A21-BAE3-7AE45B8639BC}" type="presParOf" srcId="{A2E2DA66-D6F2-4AAC-8114-4A84AFEB5736}" destId="{F4F537FB-0A5C-47AD-AD49-418B48C23EB6}" srcOrd="6" destOrd="0" presId="urn:microsoft.com/office/officeart/2005/8/layout/lProcess3"/>
    <dgm:cxn modelId="{DA21B6E8-EFD3-4C27-87E5-734102E7E0DD}" type="presParOf" srcId="{A2E2DA66-D6F2-4AAC-8114-4A84AFEB5736}" destId="{5C33129F-F2AA-4737-898A-E23529FE43CA}" srcOrd="7" destOrd="0" presId="urn:microsoft.com/office/officeart/2005/8/layout/lProcess3"/>
    <dgm:cxn modelId="{D1F1F198-5BF3-4EC9-82C2-7E2D12C3C205}" type="presParOf" srcId="{A2E2DA66-D6F2-4AAC-8114-4A84AFEB5736}" destId="{53BCF283-5D90-423F-8018-F3C36AABBB67}" srcOrd="8" destOrd="0" presId="urn:microsoft.com/office/officeart/2005/8/layout/lProcess3"/>
    <dgm:cxn modelId="{C599251F-5883-4D7B-8399-1D31C6A066CF}" type="presParOf" srcId="{A2E2DA66-D6F2-4AAC-8114-4A84AFEB5736}" destId="{140F9626-B8AF-45EC-A642-171623487B18}" srcOrd="9" destOrd="0" presId="urn:microsoft.com/office/officeart/2005/8/layout/lProcess3"/>
    <dgm:cxn modelId="{CD07F25B-7015-4C1E-A36D-8F1B9C740B0F}" type="presParOf" srcId="{A2E2DA66-D6F2-4AAC-8114-4A84AFEB5736}" destId="{47D46504-6314-453D-BC7B-1E4E7921C91E}" srcOrd="10" destOrd="0" presId="urn:microsoft.com/office/officeart/2005/8/layout/lProcess3"/>
    <dgm:cxn modelId="{64DA4248-967C-4305-9186-6B11FAF35C48}" type="presParOf" srcId="{BB0F59AA-DE77-4411-9008-8743F496E94D}" destId="{445BF074-C5A6-4C37-A129-C8F6D8FF0F1B}" srcOrd="3" destOrd="0" presId="urn:microsoft.com/office/officeart/2005/8/layout/lProcess3"/>
    <dgm:cxn modelId="{134F7F6F-7F9D-4DFC-970C-CFC3B0C82A41}" type="presParOf" srcId="{BB0F59AA-DE77-4411-9008-8743F496E94D}" destId="{DCB505BA-D02E-4BCC-ADF1-7B92E139C828}" srcOrd="4" destOrd="0" presId="urn:microsoft.com/office/officeart/2005/8/layout/lProcess3"/>
    <dgm:cxn modelId="{8A38BDF8-ADE1-49C8-82A1-80A5CE5E1CDB}" type="presParOf" srcId="{DCB505BA-D02E-4BCC-ADF1-7B92E139C828}" destId="{2208B286-54CB-4D2C-AE2C-29FE191EDA6E}" srcOrd="0" destOrd="0" presId="urn:microsoft.com/office/officeart/2005/8/layout/lProcess3"/>
    <dgm:cxn modelId="{E80525D5-7D7C-4E2F-97F6-F36E1B4159DC}" type="presParOf" srcId="{DCB505BA-D02E-4BCC-ADF1-7B92E139C828}" destId="{F156059C-3C0A-4B4C-8835-A66B617C4A25}" srcOrd="1" destOrd="0" presId="urn:microsoft.com/office/officeart/2005/8/layout/lProcess3"/>
    <dgm:cxn modelId="{762B02BC-FF89-46AC-BB1C-5C98551CDD4E}" type="presParOf" srcId="{DCB505BA-D02E-4BCC-ADF1-7B92E139C828}" destId="{5E7B847C-533A-4F48-AF02-A53463814AC2}" srcOrd="2" destOrd="0" presId="urn:microsoft.com/office/officeart/2005/8/layout/lProcess3"/>
    <dgm:cxn modelId="{D7385A76-F2EC-4AC1-9951-1426EAC838ED}" type="presParOf" srcId="{DCB505BA-D02E-4BCC-ADF1-7B92E139C828}" destId="{4766087D-206D-4C7B-AEC3-A2DF11CD3019}" srcOrd="3" destOrd="0" presId="urn:microsoft.com/office/officeart/2005/8/layout/lProcess3"/>
    <dgm:cxn modelId="{653D47B6-B08C-44F4-85B6-175AB4A19339}" type="presParOf" srcId="{DCB505BA-D02E-4BCC-ADF1-7B92E139C828}" destId="{F668E639-5A9F-4966-8C59-2A640FB759B7}" srcOrd="4" destOrd="0" presId="urn:microsoft.com/office/officeart/2005/8/layout/lProcess3"/>
    <dgm:cxn modelId="{4635842D-A1F8-4FA2-A057-7BDB5AE42EDE}" type="presParOf" srcId="{DCB505BA-D02E-4BCC-ADF1-7B92E139C828}" destId="{E9457100-14F9-4142-ABA5-5D1B5129777A}" srcOrd="5" destOrd="0" presId="urn:microsoft.com/office/officeart/2005/8/layout/lProcess3"/>
    <dgm:cxn modelId="{4CF03EB9-8360-4E6C-AB77-CBDE19EE6810}" type="presParOf" srcId="{DCB505BA-D02E-4BCC-ADF1-7B92E139C828}" destId="{D4035B12-4969-4E6E-B7B2-82DF87D302C4}" srcOrd="6" destOrd="0" presId="urn:microsoft.com/office/officeart/2005/8/layout/lProcess3"/>
    <dgm:cxn modelId="{036F7A6D-0B37-4D21-AE86-B58D9B4E9A1E}" type="presParOf" srcId="{DCB505BA-D02E-4BCC-ADF1-7B92E139C828}" destId="{51D12E4E-A3E7-4EAD-8D62-50A78A8A384B}" srcOrd="7" destOrd="0" presId="urn:microsoft.com/office/officeart/2005/8/layout/lProcess3"/>
    <dgm:cxn modelId="{0E798004-99EF-4E63-8F16-7429AD3AB351}" type="presParOf" srcId="{DCB505BA-D02E-4BCC-ADF1-7B92E139C828}" destId="{5F9935C1-7405-438C-8903-FD5FF0290A6A}" srcOrd="8" destOrd="0" presId="urn:microsoft.com/office/officeart/2005/8/layout/lProcess3"/>
    <dgm:cxn modelId="{EA92F255-B47D-4420-A261-01DC9909B646}" type="presParOf" srcId="{DCB505BA-D02E-4BCC-ADF1-7B92E139C828}" destId="{1DD4AEB9-E770-4D2C-AD85-C5CF2251BB34}" srcOrd="9" destOrd="0" presId="urn:microsoft.com/office/officeart/2005/8/layout/lProcess3"/>
    <dgm:cxn modelId="{BC02FB73-13FB-4AB0-AE83-7B8B261CAFCE}" type="presParOf" srcId="{DCB505BA-D02E-4BCC-ADF1-7B92E139C828}" destId="{82F11E6C-2298-44C7-B545-6C0B87CC9F00}" srcOrd="10" destOrd="0" presId="urn:microsoft.com/office/officeart/2005/8/layout/lProcess3"/>
  </dgm:cxnLst>
  <dgm:bg/>
  <dgm:whole/>
  <dgm:extLst>
    <a:ext uri="http://schemas.microsoft.com/office/drawing/2008/diagram">
      <dsp:dataModelExt xmlns:dsp="http://schemas.microsoft.com/office/drawing/2008/diagram" relId="rId117"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FE15123-7FAF-402C-8C62-0581B4D5AF03}"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99CBDCCD-C057-4E19-B89F-5D096D327546}">
      <dgm:prSet phldrT="[Text]" custT="1"/>
      <dgm:spPr>
        <a:xfrm>
          <a:off x="586" y="22056"/>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cs-CZ" sz="1100" b="1">
              <a:solidFill>
                <a:sysClr val="windowText" lastClr="000000"/>
              </a:solidFill>
              <a:latin typeface="Calibri" panose="020F0502020204030204"/>
              <a:ea typeface="+mn-ea"/>
              <a:cs typeface="+mn-cs"/>
            </a:rPr>
            <a:t>Celkem</a:t>
          </a:r>
        </a:p>
      </dgm:t>
    </dgm:pt>
    <dgm:pt modelId="{AB801CC2-68D2-485C-8317-5DFC8996A0CC}" type="parTrans" cxnId="{EB708D5E-F22F-490A-97F5-9FED893EFC9E}">
      <dgm:prSet/>
      <dgm:spPr/>
      <dgm:t>
        <a:bodyPr/>
        <a:lstStyle/>
        <a:p>
          <a:endParaRPr lang="cs-CZ"/>
        </a:p>
      </dgm:t>
    </dgm:pt>
    <dgm:pt modelId="{E9F3C65B-2E00-4B16-8A0A-AE306F8EE49F}" type="sibTrans" cxnId="{EB708D5E-F22F-490A-97F5-9FED893EFC9E}">
      <dgm:prSet/>
      <dgm:spPr/>
      <dgm:t>
        <a:bodyPr/>
        <a:lstStyle/>
        <a:p>
          <a:endParaRPr lang="cs-CZ"/>
        </a:p>
      </dgm:t>
    </dgm:pt>
    <dgm:pt modelId="{A7719BE1-8A9C-4186-A551-89F32B507E5E}">
      <dgm:prSet phldrT="[Text]" custT="1"/>
      <dgm:spPr>
        <a:xfrm>
          <a:off x="1048212"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b="1">
              <a:solidFill>
                <a:sysClr val="windowText" lastClr="000000">
                  <a:hueOff val="0"/>
                  <a:satOff val="0"/>
                  <a:lumOff val="0"/>
                  <a:alphaOff val="0"/>
                </a:sysClr>
              </a:solidFill>
              <a:latin typeface="Calibri" panose="020F0502020204030204"/>
              <a:ea typeface="+mn-ea"/>
              <a:cs typeface="+mn-cs"/>
            </a:rPr>
            <a:t>21 512</a:t>
          </a:r>
        </a:p>
      </dgm:t>
    </dgm:pt>
    <dgm:pt modelId="{7AB93CF6-7795-43EE-A7DE-0C0C203C407E}" type="parTrans" cxnId="{0A09692C-ABF1-4BBE-B732-29156880126F}">
      <dgm:prSet/>
      <dgm:spPr/>
      <dgm:t>
        <a:bodyPr/>
        <a:lstStyle/>
        <a:p>
          <a:endParaRPr lang="cs-CZ"/>
        </a:p>
      </dgm:t>
    </dgm:pt>
    <dgm:pt modelId="{BA7BF0C5-055C-4154-8660-5AEE3D8332A8}" type="sibTrans" cxnId="{0A09692C-ABF1-4BBE-B732-29156880126F}">
      <dgm:prSet/>
      <dgm:spPr/>
      <dgm:t>
        <a:bodyPr/>
        <a:lstStyle/>
        <a:p>
          <a:endParaRPr lang="cs-CZ"/>
        </a:p>
      </dgm:t>
    </dgm:pt>
    <dgm:pt modelId="{9693A787-6D15-42F4-B77D-5FE8AD6EBAEE}">
      <dgm:prSet phldrT="[Text]" custT="1"/>
      <dgm:spPr>
        <a:xfrm>
          <a:off x="1907747"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b="1">
              <a:solidFill>
                <a:sysClr val="windowText" lastClr="000000"/>
              </a:solidFill>
              <a:latin typeface="Calibri" panose="020F0502020204030204"/>
              <a:ea typeface="+mn-ea"/>
              <a:cs typeface="+mn-cs"/>
            </a:rPr>
            <a:t>31 812</a:t>
          </a:r>
        </a:p>
      </dgm:t>
    </dgm:pt>
    <dgm:pt modelId="{8FB69403-9C35-49EA-9A07-54BF2F33992F}" type="parTrans" cxnId="{F0B7141E-EABA-4F9E-A807-E8126A4C8965}">
      <dgm:prSet/>
      <dgm:spPr/>
      <dgm:t>
        <a:bodyPr/>
        <a:lstStyle/>
        <a:p>
          <a:endParaRPr lang="cs-CZ"/>
        </a:p>
      </dgm:t>
    </dgm:pt>
    <dgm:pt modelId="{2DB9AF4B-3F49-47A3-A6E3-552C698FE78F}" type="sibTrans" cxnId="{F0B7141E-EABA-4F9E-A807-E8126A4C8965}">
      <dgm:prSet/>
      <dgm:spPr/>
      <dgm:t>
        <a:bodyPr/>
        <a:lstStyle/>
        <a:p>
          <a:endParaRPr lang="cs-CZ"/>
        </a:p>
      </dgm:t>
    </dgm:pt>
    <dgm:pt modelId="{6324C0FA-3A73-46A0-8170-D46D76F77763}">
      <dgm:prSet custT="1"/>
      <dgm:spPr>
        <a:xfrm>
          <a:off x="2767283"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b="1">
              <a:solidFill>
                <a:sysClr val="windowText" lastClr="000000">
                  <a:hueOff val="0"/>
                  <a:satOff val="0"/>
                  <a:lumOff val="0"/>
                  <a:alphaOff val="0"/>
                </a:sysClr>
              </a:solidFill>
              <a:latin typeface="Calibri" panose="020F0502020204030204"/>
              <a:ea typeface="+mn-ea"/>
              <a:cs typeface="+mn-cs"/>
            </a:rPr>
            <a:t>23 228</a:t>
          </a:r>
        </a:p>
      </dgm:t>
    </dgm:pt>
    <dgm:pt modelId="{D78436F8-391B-423C-A848-FDE0C4637226}" type="parTrans" cxnId="{B60FDC14-E8B9-4336-BE85-55D7520A794E}">
      <dgm:prSet/>
      <dgm:spPr/>
      <dgm:t>
        <a:bodyPr/>
        <a:lstStyle/>
        <a:p>
          <a:endParaRPr lang="cs-CZ"/>
        </a:p>
      </dgm:t>
    </dgm:pt>
    <dgm:pt modelId="{452B0523-F346-43D3-AA20-D1AB4106D3EC}" type="sibTrans" cxnId="{B60FDC14-E8B9-4336-BE85-55D7520A794E}">
      <dgm:prSet/>
      <dgm:spPr/>
      <dgm:t>
        <a:bodyPr/>
        <a:lstStyle/>
        <a:p>
          <a:endParaRPr lang="cs-CZ"/>
        </a:p>
      </dgm:t>
    </dgm:pt>
    <dgm:pt modelId="{CBD77DEB-9E5E-41C8-A33A-BBA9A9F27000}">
      <dgm:prSet custT="1"/>
      <dgm:spPr>
        <a:xfrm>
          <a:off x="3626818"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b="1">
              <a:solidFill>
                <a:sysClr val="windowText" lastClr="000000">
                  <a:hueOff val="0"/>
                  <a:satOff val="0"/>
                  <a:lumOff val="0"/>
                  <a:alphaOff val="0"/>
                </a:sysClr>
              </a:solidFill>
              <a:latin typeface="Calibri" panose="020F0502020204030204"/>
              <a:ea typeface="+mn-ea"/>
              <a:cs typeface="+mn-cs"/>
            </a:rPr>
            <a:t>8 662</a:t>
          </a:r>
        </a:p>
      </dgm:t>
    </dgm:pt>
    <dgm:pt modelId="{D6241025-E556-4529-BA4E-93E2D6F14CBB}" type="parTrans" cxnId="{85D672FE-1EAE-42A7-948A-87F7E32338F0}">
      <dgm:prSet/>
      <dgm:spPr/>
      <dgm:t>
        <a:bodyPr/>
        <a:lstStyle/>
        <a:p>
          <a:endParaRPr lang="cs-CZ"/>
        </a:p>
      </dgm:t>
    </dgm:pt>
    <dgm:pt modelId="{9C688E26-1CE6-4CCE-A5BC-3CD974DC3DB7}" type="sibTrans" cxnId="{85D672FE-1EAE-42A7-948A-87F7E32338F0}">
      <dgm:prSet/>
      <dgm:spPr/>
      <dgm:t>
        <a:bodyPr/>
        <a:lstStyle/>
        <a:p>
          <a:endParaRPr lang="cs-CZ"/>
        </a:p>
      </dgm:t>
    </dgm:pt>
    <dgm:pt modelId="{697D74B5-164F-4523-9EB8-068C141BAE99}">
      <dgm:prSet custT="1"/>
      <dgm:spPr>
        <a:xfrm>
          <a:off x="4486354"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cs-CZ" sz="1100" b="1">
              <a:solidFill>
                <a:sysClr val="windowText" lastClr="000000">
                  <a:hueOff val="0"/>
                  <a:satOff val="0"/>
                  <a:lumOff val="0"/>
                  <a:alphaOff val="0"/>
                </a:sysClr>
              </a:solidFill>
              <a:latin typeface="Calibri" panose="020F0502020204030204"/>
              <a:ea typeface="+mn-ea"/>
              <a:cs typeface="+mn-cs"/>
            </a:rPr>
            <a:t>-647 336</a:t>
          </a:r>
        </a:p>
      </dgm:t>
    </dgm:pt>
    <dgm:pt modelId="{A4B018D6-9E9A-443A-83CC-F5A32365AA9D}" type="parTrans" cxnId="{0B08C85A-0B0A-4E53-91BA-8EED0004F47D}">
      <dgm:prSet/>
      <dgm:spPr/>
      <dgm:t>
        <a:bodyPr/>
        <a:lstStyle/>
        <a:p>
          <a:endParaRPr lang="cs-CZ"/>
        </a:p>
      </dgm:t>
    </dgm:pt>
    <dgm:pt modelId="{B16E2857-CF10-48A8-AB6E-8E92116F0D1C}" type="sibTrans" cxnId="{0B08C85A-0B0A-4E53-91BA-8EED0004F47D}">
      <dgm:prSet/>
      <dgm:spPr/>
      <dgm:t>
        <a:bodyPr/>
        <a:lstStyle/>
        <a:p>
          <a:endParaRPr lang="cs-CZ"/>
        </a:p>
      </dgm:t>
    </dgm:pt>
    <dgm:pt modelId="{11F53D60-3B4D-49A8-AA70-42130CEED73E}" type="pres">
      <dgm:prSet presAssocID="{3FE15123-7FAF-402C-8C62-0581B4D5AF03}" presName="Name0" presStyleCnt="0">
        <dgm:presLayoutVars>
          <dgm:chPref val="3"/>
          <dgm:dir/>
          <dgm:animLvl val="lvl"/>
          <dgm:resizeHandles/>
        </dgm:presLayoutVars>
      </dgm:prSet>
      <dgm:spPr/>
    </dgm:pt>
    <dgm:pt modelId="{EBAD76A3-2E83-44DC-8CC9-BB7C41740D55}" type="pres">
      <dgm:prSet presAssocID="{99CBDCCD-C057-4E19-B89F-5D096D327546}" presName="horFlow" presStyleCnt="0"/>
      <dgm:spPr/>
    </dgm:pt>
    <dgm:pt modelId="{EF1DC1FF-37E6-4D22-903D-C40D7155981A}" type="pres">
      <dgm:prSet presAssocID="{99CBDCCD-C057-4E19-B89F-5D096D327546}" presName="bigChev" presStyleLbl="node1" presStyleIdx="0" presStyleCnt="1"/>
      <dgm:spPr/>
    </dgm:pt>
    <dgm:pt modelId="{F9AF54B6-3455-4637-A651-DBC35989F99D}" type="pres">
      <dgm:prSet presAssocID="{7AB93CF6-7795-43EE-A7DE-0C0C203C407E}" presName="parTrans" presStyleCnt="0"/>
      <dgm:spPr/>
    </dgm:pt>
    <dgm:pt modelId="{795EA0FA-8F4C-4AEF-9E6F-FFF73A806215}" type="pres">
      <dgm:prSet presAssocID="{A7719BE1-8A9C-4186-A551-89F32B507E5E}" presName="node" presStyleLbl="alignAccFollowNode1" presStyleIdx="0" presStyleCnt="5">
        <dgm:presLayoutVars>
          <dgm:bulletEnabled val="1"/>
        </dgm:presLayoutVars>
      </dgm:prSet>
      <dgm:spPr/>
    </dgm:pt>
    <dgm:pt modelId="{E3619FA4-7DA6-4D03-8128-4FCAF7CD7115}" type="pres">
      <dgm:prSet presAssocID="{BA7BF0C5-055C-4154-8660-5AEE3D8332A8}" presName="sibTrans" presStyleCnt="0"/>
      <dgm:spPr/>
    </dgm:pt>
    <dgm:pt modelId="{614352CE-87D5-4EC6-9D26-DCAF85997F48}" type="pres">
      <dgm:prSet presAssocID="{9693A787-6D15-42F4-B77D-5FE8AD6EBAEE}" presName="node" presStyleLbl="alignAccFollowNode1" presStyleIdx="1" presStyleCnt="5">
        <dgm:presLayoutVars>
          <dgm:bulletEnabled val="1"/>
        </dgm:presLayoutVars>
      </dgm:prSet>
      <dgm:spPr/>
    </dgm:pt>
    <dgm:pt modelId="{C593C82C-86CA-4EA9-AD7D-7D6C6A9B34EC}" type="pres">
      <dgm:prSet presAssocID="{2DB9AF4B-3F49-47A3-A6E3-552C698FE78F}" presName="sibTrans" presStyleCnt="0"/>
      <dgm:spPr/>
    </dgm:pt>
    <dgm:pt modelId="{347FAFA1-A626-4666-A1E9-1ED092697994}" type="pres">
      <dgm:prSet presAssocID="{6324C0FA-3A73-46A0-8170-D46D76F77763}" presName="node" presStyleLbl="alignAccFollowNode1" presStyleIdx="2" presStyleCnt="5">
        <dgm:presLayoutVars>
          <dgm:bulletEnabled val="1"/>
        </dgm:presLayoutVars>
      </dgm:prSet>
      <dgm:spPr/>
    </dgm:pt>
    <dgm:pt modelId="{2055FD1A-399E-4263-9B0B-FCB36D82DE9F}" type="pres">
      <dgm:prSet presAssocID="{452B0523-F346-43D3-AA20-D1AB4106D3EC}" presName="sibTrans" presStyleCnt="0"/>
      <dgm:spPr/>
    </dgm:pt>
    <dgm:pt modelId="{2C994B9F-7FD2-403D-8F41-A21CC4C52D54}" type="pres">
      <dgm:prSet presAssocID="{CBD77DEB-9E5E-41C8-A33A-BBA9A9F27000}" presName="node" presStyleLbl="alignAccFollowNode1" presStyleIdx="3" presStyleCnt="5">
        <dgm:presLayoutVars>
          <dgm:bulletEnabled val="1"/>
        </dgm:presLayoutVars>
      </dgm:prSet>
      <dgm:spPr/>
    </dgm:pt>
    <dgm:pt modelId="{A0C320A5-1A4A-4D1F-88CC-1658BDF03A26}" type="pres">
      <dgm:prSet presAssocID="{9C688E26-1CE6-4CCE-A5BC-3CD974DC3DB7}" presName="sibTrans" presStyleCnt="0"/>
      <dgm:spPr/>
    </dgm:pt>
    <dgm:pt modelId="{6BB3AE19-1697-43CE-AD3A-5F796D8A64D1}" type="pres">
      <dgm:prSet presAssocID="{697D74B5-164F-4523-9EB8-068C141BAE99}" presName="node" presStyleLbl="alignAccFollowNode1" presStyleIdx="4" presStyleCnt="5">
        <dgm:presLayoutVars>
          <dgm:bulletEnabled val="1"/>
        </dgm:presLayoutVars>
      </dgm:prSet>
      <dgm:spPr/>
    </dgm:pt>
  </dgm:ptLst>
  <dgm:cxnLst>
    <dgm:cxn modelId="{D26D7B0D-663A-4CFC-ABCE-72F8D6672951}" type="presOf" srcId="{CBD77DEB-9E5E-41C8-A33A-BBA9A9F27000}" destId="{2C994B9F-7FD2-403D-8F41-A21CC4C52D54}" srcOrd="0" destOrd="0" presId="urn:microsoft.com/office/officeart/2005/8/layout/lProcess3"/>
    <dgm:cxn modelId="{B60FDC14-E8B9-4336-BE85-55D7520A794E}" srcId="{99CBDCCD-C057-4E19-B89F-5D096D327546}" destId="{6324C0FA-3A73-46A0-8170-D46D76F77763}" srcOrd="2" destOrd="0" parTransId="{D78436F8-391B-423C-A848-FDE0C4637226}" sibTransId="{452B0523-F346-43D3-AA20-D1AB4106D3EC}"/>
    <dgm:cxn modelId="{F0B7141E-EABA-4F9E-A807-E8126A4C8965}" srcId="{99CBDCCD-C057-4E19-B89F-5D096D327546}" destId="{9693A787-6D15-42F4-B77D-5FE8AD6EBAEE}" srcOrd="1" destOrd="0" parTransId="{8FB69403-9C35-49EA-9A07-54BF2F33992F}" sibTransId="{2DB9AF4B-3F49-47A3-A6E3-552C698FE78F}"/>
    <dgm:cxn modelId="{0A09692C-ABF1-4BBE-B732-29156880126F}" srcId="{99CBDCCD-C057-4E19-B89F-5D096D327546}" destId="{A7719BE1-8A9C-4186-A551-89F32B507E5E}" srcOrd="0" destOrd="0" parTransId="{7AB93CF6-7795-43EE-A7DE-0C0C203C407E}" sibTransId="{BA7BF0C5-055C-4154-8660-5AEE3D8332A8}"/>
    <dgm:cxn modelId="{EB708D5E-F22F-490A-97F5-9FED893EFC9E}" srcId="{3FE15123-7FAF-402C-8C62-0581B4D5AF03}" destId="{99CBDCCD-C057-4E19-B89F-5D096D327546}" srcOrd="0" destOrd="0" parTransId="{AB801CC2-68D2-485C-8317-5DFC8996A0CC}" sibTransId="{E9F3C65B-2E00-4B16-8A0A-AE306F8EE49F}"/>
    <dgm:cxn modelId="{4614F665-B664-427D-BE5F-AB505B5A97B8}" type="presOf" srcId="{99CBDCCD-C057-4E19-B89F-5D096D327546}" destId="{EF1DC1FF-37E6-4D22-903D-C40D7155981A}" srcOrd="0" destOrd="0" presId="urn:microsoft.com/office/officeart/2005/8/layout/lProcess3"/>
    <dgm:cxn modelId="{99F98973-8C3D-46C4-9F69-5DBE487A76B1}" type="presOf" srcId="{A7719BE1-8A9C-4186-A551-89F32B507E5E}" destId="{795EA0FA-8F4C-4AEF-9E6F-FFF73A806215}" srcOrd="0" destOrd="0" presId="urn:microsoft.com/office/officeart/2005/8/layout/lProcess3"/>
    <dgm:cxn modelId="{4CEAF878-EF09-4D3D-B725-F8796CF4C227}" type="presOf" srcId="{9693A787-6D15-42F4-B77D-5FE8AD6EBAEE}" destId="{614352CE-87D5-4EC6-9D26-DCAF85997F48}" srcOrd="0" destOrd="0" presId="urn:microsoft.com/office/officeart/2005/8/layout/lProcess3"/>
    <dgm:cxn modelId="{0B08C85A-0B0A-4E53-91BA-8EED0004F47D}" srcId="{99CBDCCD-C057-4E19-B89F-5D096D327546}" destId="{697D74B5-164F-4523-9EB8-068C141BAE99}" srcOrd="4" destOrd="0" parTransId="{A4B018D6-9E9A-443A-83CC-F5A32365AA9D}" sibTransId="{B16E2857-CF10-48A8-AB6E-8E92116F0D1C}"/>
    <dgm:cxn modelId="{BCDFC58E-C554-45BB-8339-5603545DFD92}" type="presOf" srcId="{697D74B5-164F-4523-9EB8-068C141BAE99}" destId="{6BB3AE19-1697-43CE-AD3A-5F796D8A64D1}" srcOrd="0" destOrd="0" presId="urn:microsoft.com/office/officeart/2005/8/layout/lProcess3"/>
    <dgm:cxn modelId="{1E1A3ABD-5C24-439C-9A47-BDF068535B86}" type="presOf" srcId="{3FE15123-7FAF-402C-8C62-0581B4D5AF03}" destId="{11F53D60-3B4D-49A8-AA70-42130CEED73E}" srcOrd="0" destOrd="0" presId="urn:microsoft.com/office/officeart/2005/8/layout/lProcess3"/>
    <dgm:cxn modelId="{176834E3-BDD5-4623-A650-75BA504F0C24}" type="presOf" srcId="{6324C0FA-3A73-46A0-8170-D46D76F77763}" destId="{347FAFA1-A626-4666-A1E9-1ED092697994}" srcOrd="0" destOrd="0" presId="urn:microsoft.com/office/officeart/2005/8/layout/lProcess3"/>
    <dgm:cxn modelId="{85D672FE-1EAE-42A7-948A-87F7E32338F0}" srcId="{99CBDCCD-C057-4E19-B89F-5D096D327546}" destId="{CBD77DEB-9E5E-41C8-A33A-BBA9A9F27000}" srcOrd="3" destOrd="0" parTransId="{D6241025-E556-4529-BA4E-93E2D6F14CBB}" sibTransId="{9C688E26-1CE6-4CCE-A5BC-3CD974DC3DB7}"/>
    <dgm:cxn modelId="{EF2AD0A1-0320-4778-AD04-7DFC0D2455C4}" type="presParOf" srcId="{11F53D60-3B4D-49A8-AA70-42130CEED73E}" destId="{EBAD76A3-2E83-44DC-8CC9-BB7C41740D55}" srcOrd="0" destOrd="0" presId="urn:microsoft.com/office/officeart/2005/8/layout/lProcess3"/>
    <dgm:cxn modelId="{99590DD6-C1DE-4A88-ACCB-D4A8F752F39A}" type="presParOf" srcId="{EBAD76A3-2E83-44DC-8CC9-BB7C41740D55}" destId="{EF1DC1FF-37E6-4D22-903D-C40D7155981A}" srcOrd="0" destOrd="0" presId="urn:microsoft.com/office/officeart/2005/8/layout/lProcess3"/>
    <dgm:cxn modelId="{98FAFD7B-329C-4AE4-9FE4-7A82F6DA987D}" type="presParOf" srcId="{EBAD76A3-2E83-44DC-8CC9-BB7C41740D55}" destId="{F9AF54B6-3455-4637-A651-DBC35989F99D}" srcOrd="1" destOrd="0" presId="urn:microsoft.com/office/officeart/2005/8/layout/lProcess3"/>
    <dgm:cxn modelId="{3FC4EA3F-AC61-4188-B1BF-709937E32911}" type="presParOf" srcId="{EBAD76A3-2E83-44DC-8CC9-BB7C41740D55}" destId="{795EA0FA-8F4C-4AEF-9E6F-FFF73A806215}" srcOrd="2" destOrd="0" presId="urn:microsoft.com/office/officeart/2005/8/layout/lProcess3"/>
    <dgm:cxn modelId="{9B95B463-FB5D-4244-8760-C652C48DD85B}" type="presParOf" srcId="{EBAD76A3-2E83-44DC-8CC9-BB7C41740D55}" destId="{E3619FA4-7DA6-4D03-8128-4FCAF7CD7115}" srcOrd="3" destOrd="0" presId="urn:microsoft.com/office/officeart/2005/8/layout/lProcess3"/>
    <dgm:cxn modelId="{BA458BCA-6519-4D6D-8497-828E032C63A2}" type="presParOf" srcId="{EBAD76A3-2E83-44DC-8CC9-BB7C41740D55}" destId="{614352CE-87D5-4EC6-9D26-DCAF85997F48}" srcOrd="4" destOrd="0" presId="urn:microsoft.com/office/officeart/2005/8/layout/lProcess3"/>
    <dgm:cxn modelId="{6613E2E4-83C9-447F-BB3C-80DC8BC78180}" type="presParOf" srcId="{EBAD76A3-2E83-44DC-8CC9-BB7C41740D55}" destId="{C593C82C-86CA-4EA9-AD7D-7D6C6A9B34EC}" srcOrd="5" destOrd="0" presId="urn:microsoft.com/office/officeart/2005/8/layout/lProcess3"/>
    <dgm:cxn modelId="{D0324244-B85E-444E-9777-22AC07926F3C}" type="presParOf" srcId="{EBAD76A3-2E83-44DC-8CC9-BB7C41740D55}" destId="{347FAFA1-A626-4666-A1E9-1ED092697994}" srcOrd="6" destOrd="0" presId="urn:microsoft.com/office/officeart/2005/8/layout/lProcess3"/>
    <dgm:cxn modelId="{4355D34A-B1C1-4068-B812-D020DE49448E}" type="presParOf" srcId="{EBAD76A3-2E83-44DC-8CC9-BB7C41740D55}" destId="{2055FD1A-399E-4263-9B0B-FCB36D82DE9F}" srcOrd="7" destOrd="0" presId="urn:microsoft.com/office/officeart/2005/8/layout/lProcess3"/>
    <dgm:cxn modelId="{7A98D489-8267-4E54-AA5F-2D268511D874}" type="presParOf" srcId="{EBAD76A3-2E83-44DC-8CC9-BB7C41740D55}" destId="{2C994B9F-7FD2-403D-8F41-A21CC4C52D54}" srcOrd="8" destOrd="0" presId="urn:microsoft.com/office/officeart/2005/8/layout/lProcess3"/>
    <dgm:cxn modelId="{15F18688-D3FC-40FB-984F-62232C8BCF8F}" type="presParOf" srcId="{EBAD76A3-2E83-44DC-8CC9-BB7C41740D55}" destId="{A0C320A5-1A4A-4D1F-88CC-1658BDF03A26}" srcOrd="9" destOrd="0" presId="urn:microsoft.com/office/officeart/2005/8/layout/lProcess3"/>
    <dgm:cxn modelId="{27C1FEF3-3DE9-4878-9364-B93481415554}" type="presParOf" srcId="{EBAD76A3-2E83-44DC-8CC9-BB7C41740D55}" destId="{6BB3AE19-1697-43CE-AD3A-5F796D8A64D1}" srcOrd="10" destOrd="0" presId="urn:microsoft.com/office/officeart/2005/8/layout/lProcess3"/>
  </dgm:cxnLst>
  <dgm:bg/>
  <dgm:whole/>
  <dgm:extLst>
    <a:ext uri="http://schemas.microsoft.com/office/drawing/2008/diagram">
      <dsp:dataModelExt xmlns:dsp="http://schemas.microsoft.com/office/drawing/2008/diagram" relId="rId122"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dgm:spPr>
      <dgm:t>
        <a:bodyPr/>
        <a:lstStyle/>
        <a:p>
          <a:r>
            <a:rPr lang="cs-CZ" sz="1050" b="1">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dgm:spPr>
      <dgm:t>
        <a:bodyPr/>
        <a:lstStyle/>
        <a:p>
          <a:r>
            <a:rPr lang="cs-CZ" sz="1000" b="1">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dgm:spPr>
      <dgm:t>
        <a:bodyPr/>
        <a:lstStyle/>
        <a:p>
          <a:r>
            <a:rPr lang="cs-CZ" sz="1000" b="1">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dgm:spPr>
      <dgm:t>
        <a:bodyPr/>
        <a:lstStyle/>
        <a:p>
          <a:r>
            <a:rPr lang="cs-CZ" sz="1050" b="1">
              <a:latin typeface="Calibri" panose="020F0502020204030204"/>
              <a:ea typeface="+mn-ea"/>
              <a:cs typeface="+mn-cs"/>
            </a:rPr>
            <a:t>Smlouva                           č. S-285-160/2018</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dgm:spPr>
      <dgm:t>
        <a:bodyPr/>
        <a:lstStyle/>
        <a:p>
          <a:r>
            <a:rPr lang="cs-CZ" sz="1000">
              <a:latin typeface="Calibri" panose="020F0502020204030204"/>
              <a:ea typeface="+mn-ea"/>
              <a:cs typeface="+mn-cs"/>
            </a:rPr>
            <a:t>70 262</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dgm:spPr>
      <dgm:t>
        <a:bodyPr/>
        <a:lstStyle/>
        <a:p>
          <a:r>
            <a:rPr lang="cs-CZ" sz="1000">
              <a:latin typeface="Calibri" panose="020F0502020204030204"/>
              <a:ea typeface="+mn-ea"/>
              <a:cs typeface="+mn-cs"/>
            </a:rPr>
            <a:t>72 968</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3DB0DA9-CF9F-48FB-8A4E-B16B996859CC}">
      <dgm:prSet custT="1"/>
      <dgm:spPr>
        <a:xfrm>
          <a:off x="3053833" y="491045"/>
          <a:ext cx="830898" cy="332359"/>
        </a:xfrm>
        <a:prstGeom prst="chevron">
          <a:avLst/>
        </a:prstGeom>
      </dgm:spPr>
      <dgm:t>
        <a:bodyPr/>
        <a:lstStyle/>
        <a:p>
          <a:r>
            <a:rPr lang="cs-CZ" sz="1000">
              <a:latin typeface="Calibri" panose="020F0502020204030204"/>
              <a:ea typeface="+mn-ea"/>
              <a:cs typeface="+mn-cs"/>
            </a:rPr>
            <a:t>88 509</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dgm:spPr>
      <dgm:t>
        <a:bodyPr/>
        <a:lstStyle/>
        <a:p>
          <a:r>
            <a:rPr lang="cs-CZ" sz="1000">
              <a:latin typeface="Calibri" panose="020F0502020204030204"/>
              <a:ea typeface="+mn-ea"/>
              <a:cs typeface="+mn-cs"/>
            </a:rPr>
            <a:t>68 337</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B7ECE7B1-DE09-4B35-B3EF-F552934AFCE8}">
      <dgm:prSet custT="1"/>
      <dgm:spPr>
        <a:xfrm>
          <a:off x="3053833" y="34551"/>
          <a:ext cx="830898" cy="332359"/>
        </a:xfrm>
        <a:prstGeom prst="chevron">
          <a:avLst/>
        </a:prstGeom>
      </dgm:spPr>
      <dgm:t>
        <a:bodyPr/>
        <a:lstStyle/>
        <a:p>
          <a:r>
            <a:rPr lang="cs-CZ" sz="1000" b="1">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B62A07CB-3EFA-46D4-B983-264441964367}">
      <dgm:prSet custT="1"/>
      <dgm:spPr>
        <a:xfrm>
          <a:off x="1624687" y="34551"/>
          <a:ext cx="830898" cy="332359"/>
        </a:xfrm>
        <a:prstGeom prst="chevron">
          <a:avLst/>
        </a:prstGeom>
      </dgm:spPr>
      <dgm:t>
        <a:bodyPr/>
        <a:lstStyle/>
        <a:p>
          <a:r>
            <a:rPr lang="cs-CZ" sz="1000" b="1">
              <a:latin typeface="Calibri" panose="020F0502020204030204"/>
              <a:ea typeface="+mn-ea"/>
              <a:cs typeface="+mn-cs"/>
            </a:rPr>
            <a:t>do r. 2019</a:t>
          </a:r>
        </a:p>
      </dgm:t>
    </dgm:pt>
    <dgm:pt modelId="{86BFB788-3F63-4576-8E20-CC6A3656E461}" type="sibTrans" cxnId="{7A54F410-46BF-4BC4-8EA6-774AA8D2CE63}">
      <dgm:prSet/>
      <dgm:spPr/>
      <dgm:t>
        <a:bodyPr/>
        <a:lstStyle/>
        <a:p>
          <a:endParaRPr lang="cs-CZ"/>
        </a:p>
      </dgm:t>
    </dgm:pt>
    <dgm:pt modelId="{DA6DDA27-2107-4270-A3BD-1C78B27962E5}" type="parTrans" cxnId="{7A54F410-46BF-4BC4-8EA6-774AA8D2CE63}">
      <dgm:prSet/>
      <dgm:spPr/>
      <dgm:t>
        <a:bodyPr/>
        <a:lstStyle/>
        <a:p>
          <a:endParaRPr lang="cs-CZ"/>
        </a:p>
      </dgm:t>
    </dgm:pt>
    <dgm:pt modelId="{9F6AD232-91D9-428D-A514-5855536CA218}">
      <dgm:prSet phldrT="[Text]" custT="1"/>
      <dgm:spPr>
        <a:xfrm>
          <a:off x="4482979" y="491045"/>
          <a:ext cx="830898" cy="332359"/>
        </a:xfrm>
      </dgm:spPr>
      <dgm:t>
        <a:bodyPr/>
        <a:lstStyle/>
        <a:p>
          <a:r>
            <a:rPr lang="cs-CZ" sz="1000">
              <a:latin typeface="Calibri" panose="020F0502020204030204"/>
              <a:ea typeface="+mn-ea"/>
              <a:cs typeface="+mn-cs"/>
            </a:rPr>
            <a:t>112 246</a:t>
          </a:r>
        </a:p>
      </dgm:t>
    </dgm:pt>
    <dgm:pt modelId="{013114EF-D384-4714-BC76-C270070218DD}" type="parTrans" cxnId="{45B48C2E-A748-49AE-A1F5-E9912740DF86}">
      <dgm:prSet/>
      <dgm:spPr/>
      <dgm:t>
        <a:bodyPr/>
        <a:lstStyle/>
        <a:p>
          <a:endParaRPr lang="cs-CZ"/>
        </a:p>
      </dgm:t>
    </dgm:pt>
    <dgm:pt modelId="{164E4465-D6F2-4D17-929F-6691DD360ED4}" type="sibTrans" cxnId="{45B48C2E-A748-49AE-A1F5-E9912740DF86}">
      <dgm:prSet/>
      <dgm:spPr/>
      <dgm:t>
        <a:bodyPr/>
        <a:lstStyle/>
        <a:p>
          <a:endParaRPr lang="cs-CZ"/>
        </a:p>
      </dgm:t>
    </dgm:pt>
    <dgm:pt modelId="{214F834B-7A30-4A7C-8A1E-54CFFF6C565B}">
      <dgm:prSet custT="1"/>
      <dgm:spPr>
        <a:xfrm>
          <a:off x="1624687" y="34551"/>
          <a:ext cx="830898" cy="332359"/>
        </a:xfrm>
      </dgm:spPr>
      <dgm:t>
        <a:bodyPr/>
        <a:lstStyle/>
        <a:p>
          <a:r>
            <a:rPr lang="cs-CZ" sz="1000" b="1">
              <a:latin typeface="Calibri" panose="020F0502020204030204"/>
              <a:ea typeface="+mn-ea"/>
              <a:cs typeface="+mn-cs"/>
            </a:rPr>
            <a:t>2020</a:t>
          </a:r>
        </a:p>
      </dgm:t>
    </dgm:pt>
    <dgm:pt modelId="{F0F7D511-19CA-41E3-87FE-F1956443E64A}" type="parTrans" cxnId="{F03E47FD-0C19-4937-BD40-3B6982B0972E}">
      <dgm:prSet/>
      <dgm:spPr/>
      <dgm:t>
        <a:bodyPr/>
        <a:lstStyle/>
        <a:p>
          <a:endParaRPr lang="cs-CZ"/>
        </a:p>
      </dgm:t>
    </dgm:pt>
    <dgm:pt modelId="{7F35EDF3-CBC2-4FDF-83EB-8BE82DC0A04B}" type="sibTrans" cxnId="{F03E47FD-0C19-4937-BD40-3B6982B0972E}">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2" custScaleX="136224"/>
      <dgm:spPr/>
    </dgm:pt>
    <dgm:pt modelId="{16F8A479-D000-4689-AA45-88FB35BD20E7}" type="pres">
      <dgm:prSet presAssocID="{DA6DDA27-2107-4270-A3BD-1C78B27962E5}" presName="parTrans" presStyleCnt="0"/>
      <dgm:spPr/>
    </dgm:pt>
    <dgm:pt modelId="{9CF25B67-FA31-41AE-B4EF-CCD2718072B3}" type="pres">
      <dgm:prSet presAssocID="{B62A07CB-3EFA-46D4-B983-264441964367}" presName="node" presStyleLbl="alignAccFollowNode1" presStyleIdx="0" presStyleCnt="10">
        <dgm:presLayoutVars>
          <dgm:bulletEnabled val="1"/>
        </dgm:presLayoutVars>
      </dgm:prSet>
      <dgm:spPr/>
    </dgm:pt>
    <dgm:pt modelId="{CF2A569A-A5DD-47B4-A8A4-2F55658E3B6D}" type="pres">
      <dgm:prSet presAssocID="{86BFB788-3F63-4576-8E20-CC6A3656E461}" presName="sibTrans" presStyleCnt="0"/>
      <dgm:spPr/>
    </dgm:pt>
    <dgm:pt modelId="{704439E7-7DF2-425A-A50C-DA2DA2E6F8ED}" type="pres">
      <dgm:prSet presAssocID="{214F834B-7A30-4A7C-8A1E-54CFFF6C565B}" presName="node" presStyleLbl="alignAccFollowNode1" presStyleIdx="1" presStyleCnt="10">
        <dgm:presLayoutVars>
          <dgm:bulletEnabled val="1"/>
        </dgm:presLayoutVars>
      </dgm:prSet>
      <dgm:spPr>
        <a:prstGeom prst="chevron">
          <a:avLst/>
        </a:prstGeom>
      </dgm:spPr>
    </dgm:pt>
    <dgm:pt modelId="{F6C18B68-CEAF-49D6-982F-6560BB559D69}" type="pres">
      <dgm:prSet presAssocID="{7F35EDF3-CBC2-4FDF-83EB-8BE82DC0A04B}" presName="sibTrans" presStyleCnt="0"/>
      <dgm:spPr/>
    </dgm:pt>
    <dgm:pt modelId="{9783D7DD-9297-4972-8B5A-E2BE8A6720CA}" type="pres">
      <dgm:prSet presAssocID="{B7ECE7B1-DE09-4B35-B3EF-F552934AFCE8}" presName="node" presStyleLbl="alignAccFollowNode1" presStyleIdx="2" presStyleCnt="10">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3" presStyleCnt="10">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4" presStyleCnt="10">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2" custScaleX="135605"/>
      <dgm:spPr/>
    </dgm:pt>
    <dgm:pt modelId="{61ACC0E5-6DB5-4C48-961E-4E73AFD0F72C}" type="pres">
      <dgm:prSet presAssocID="{987134DD-5B78-4BCA-9259-DE628B8E685E}" presName="parTrans" presStyleCnt="0"/>
      <dgm:spPr/>
    </dgm:pt>
    <dgm:pt modelId="{58F31D09-ADCD-4DC9-8221-D1D9CF855BAD}" type="pres">
      <dgm:prSet presAssocID="{8745A055-D09D-4C9C-BC6F-FA2A4CB4E11F}" presName="node" presStyleLbl="alignAccFollowNode1" presStyleIdx="5" presStyleCnt="10">
        <dgm:presLayoutVars>
          <dgm:bulletEnabled val="1"/>
        </dgm:presLayoutVars>
      </dgm:prSet>
      <dgm:spPr/>
    </dgm:pt>
    <dgm:pt modelId="{F926AF39-E7BE-4E11-9D22-C62449B0D6F5}" type="pres">
      <dgm:prSet presAssocID="{E1A6CB3E-3E8F-47BA-95FF-025EA5275374}" presName="sibTrans" presStyleCnt="0"/>
      <dgm:spPr/>
    </dgm:pt>
    <dgm:pt modelId="{1D04C8CC-6EFD-46D0-BB1C-70E60B93513A}" type="pres">
      <dgm:prSet presAssocID="{F3DB0DA9-CF9F-48FB-8A4E-B16B996859CC}" presName="node" presStyleLbl="alignAccFollowNode1" presStyleIdx="6" presStyleCnt="10">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7" presStyleCnt="10">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8" presStyleCnt="10">
        <dgm:presLayoutVars>
          <dgm:bulletEnabled val="1"/>
        </dgm:presLayoutVars>
      </dgm:prSet>
      <dgm:spPr/>
    </dgm:pt>
    <dgm:pt modelId="{141A120D-6817-47B9-8610-717D1794A74A}" type="pres">
      <dgm:prSet presAssocID="{530A1608-B48A-4847-B17E-FBE47F647A54}" presName="sibTrans" presStyleCnt="0"/>
      <dgm:spPr/>
    </dgm:pt>
    <dgm:pt modelId="{3CEE6A7F-7896-4564-927F-AF7EEC6A4BD8}" type="pres">
      <dgm:prSet presAssocID="{9F6AD232-91D9-428D-A514-5855536CA218}" presName="node" presStyleLbl="alignAccFollowNode1" presStyleIdx="9" presStyleCnt="10">
        <dgm:presLayoutVars>
          <dgm:bulletEnabled val="1"/>
        </dgm:presLayoutVars>
      </dgm:prSet>
      <dgm:spPr>
        <a:prstGeom prst="chevron">
          <a:avLst/>
        </a:prstGeom>
      </dgm:spPr>
    </dgm:pt>
  </dgm:ptLst>
  <dgm:cxnLst>
    <dgm:cxn modelId="{310D0001-5C72-4109-8616-4A75DBE70CB6}" srcId="{E6F261A4-C73A-49D8-96F2-76C8A05FBA61}" destId="{A026A503-5385-48CD-9960-7890BC01BF17}" srcOrd="0" destOrd="0" parTransId="{0CACBDA1-35FC-4014-986E-1E38A531BB1B}" sibTransId="{C1D54371-DD1A-4DF8-B817-3EBA22BA4E2D}"/>
    <dgm:cxn modelId="{7A54F410-46BF-4BC4-8EA6-774AA8D2CE63}" srcId="{A026A503-5385-48CD-9960-7890BC01BF17}" destId="{B62A07CB-3EFA-46D4-B983-264441964367}" srcOrd="0" destOrd="0" parTransId="{DA6DDA27-2107-4270-A3BD-1C78B27962E5}" sibTransId="{86BFB788-3F63-4576-8E20-CC6A3656E461}"/>
    <dgm:cxn modelId="{50C4D418-E3EE-43BA-8DBE-EA09E0166175}" srcId="{60CC8BA2-67B8-4B5C-8F83-24E2D147DDF5}" destId="{C00F4E8D-2D97-4332-8A25-D515248152D2}" srcOrd="2"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45B48C2E-A748-49AE-A1F5-E9912740DF86}" srcId="{60CC8BA2-67B8-4B5C-8F83-24E2D147DDF5}" destId="{9F6AD232-91D9-428D-A514-5855536CA218}" srcOrd="4" destOrd="0" parTransId="{013114EF-D384-4714-BC76-C270070218DD}" sibTransId="{164E4465-D6F2-4D17-929F-6691DD360ED4}"/>
    <dgm:cxn modelId="{81368935-D9C8-4FD2-94D9-578AF782F3C7}" srcId="{A026A503-5385-48CD-9960-7890BC01BF17}" destId="{B7ECE7B1-DE09-4B35-B3EF-F552934AFCE8}" srcOrd="2" destOrd="0" parTransId="{A9C9CEC0-A762-4343-9FD1-C949E5188B85}" sibTransId="{10B5F909-84D1-4EDB-9013-6CD0F76DFEA1}"/>
    <dgm:cxn modelId="{A8944B36-099E-467F-98E4-83062C67CC15}" type="presOf" srcId="{9F6AD232-91D9-428D-A514-5855536CA218}" destId="{3CEE6A7F-7896-4564-927F-AF7EEC6A4BD8}" srcOrd="0" destOrd="0" presId="urn:microsoft.com/office/officeart/2005/8/layout/lProcess3"/>
    <dgm:cxn modelId="{F8BA8E3A-2853-464E-89AE-903440A0A8AA}" srcId="{A026A503-5385-48CD-9960-7890BC01BF17}" destId="{66B9B487-B0DE-49D5-B890-8F4F7B485182}" srcOrd="4" destOrd="0" parTransId="{7FA1863C-6AE1-48F3-8E6A-CFD3A81B8D40}" sibTransId="{58E13964-C168-4927-B940-CFEC71CDC639}"/>
    <dgm:cxn modelId="{E402EC3C-50C0-4C67-9C4A-7E95117C6BB2}" type="presOf" srcId="{214F834B-7A30-4A7C-8A1E-54CFFF6C565B}" destId="{704439E7-7DF2-425A-A50C-DA2DA2E6F8ED}" srcOrd="0" destOrd="0" presId="urn:microsoft.com/office/officeart/2005/8/layout/lProcess3"/>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0" destOrd="0" parTransId="{987134DD-5B78-4BCA-9259-DE628B8E685E}" sibTransId="{E1A6CB3E-3E8F-47BA-95FF-025EA5275374}"/>
    <dgm:cxn modelId="{9AAF8E5A-DC3B-4AFE-BF2B-0CA982D4A873}" srcId="{A026A503-5385-48CD-9960-7890BC01BF17}" destId="{81B96AF2-AF7C-4C6D-BF8F-26DA405E6181}" srcOrd="3"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3" destOrd="0" parTransId="{209BC680-4E03-4850-8AA8-C4A94E922D15}" sibTransId="{530A1608-B48A-4847-B17E-FBE47F647A54}"/>
    <dgm:cxn modelId="{12DF8CA0-2202-48D3-BFED-52239A8BF490}" srcId="{60CC8BA2-67B8-4B5C-8F83-24E2D147DDF5}" destId="{F3DB0DA9-CF9F-48FB-8A4E-B16B996859CC}" srcOrd="1"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F03E47FD-0C19-4937-BD40-3B6982B0972E}" srcId="{A026A503-5385-48CD-9960-7890BC01BF17}" destId="{214F834B-7A30-4A7C-8A1E-54CFFF6C565B}" srcOrd="1" destOrd="0" parTransId="{F0F7D511-19CA-41E3-87FE-F1956443E64A}" sibTransId="{7F35EDF3-CBC2-4FDF-83EB-8BE82DC0A04B}"/>
    <dgm:cxn modelId="{9F384BFF-2582-42FB-AA89-C1DF4BFA2F8A}" type="presOf" srcId="{F3DB0DA9-CF9F-48FB-8A4E-B16B996859CC}" destId="{1D04C8CC-6EFD-46D0-BB1C-70E60B93513A}" srcOrd="0" destOrd="0" presId="urn:microsoft.com/office/officeart/2005/8/layout/lProcess3"/>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B389D454-ED53-415C-8C92-78346729BA71}" type="presParOf" srcId="{7AFA005C-24EB-425D-AA59-994D2BCA7851}" destId="{16F8A479-D000-4689-AA45-88FB35BD20E7}" srcOrd="1" destOrd="0" presId="urn:microsoft.com/office/officeart/2005/8/layout/lProcess3"/>
    <dgm:cxn modelId="{E2308CAE-70E6-43D3-8275-F70F4D1B821B}" type="presParOf" srcId="{7AFA005C-24EB-425D-AA59-994D2BCA7851}" destId="{9CF25B67-FA31-41AE-B4EF-CCD2718072B3}" srcOrd="2" destOrd="0" presId="urn:microsoft.com/office/officeart/2005/8/layout/lProcess3"/>
    <dgm:cxn modelId="{5C1B932C-235D-4F1A-9AE4-FBE0C0741DCC}" type="presParOf" srcId="{7AFA005C-24EB-425D-AA59-994D2BCA7851}" destId="{CF2A569A-A5DD-47B4-A8A4-2F55658E3B6D}" srcOrd="3" destOrd="0" presId="urn:microsoft.com/office/officeart/2005/8/layout/lProcess3"/>
    <dgm:cxn modelId="{D9D40530-D471-45FD-A18B-88405B88AD0D}" type="presParOf" srcId="{7AFA005C-24EB-425D-AA59-994D2BCA7851}" destId="{704439E7-7DF2-425A-A50C-DA2DA2E6F8ED}" srcOrd="4" destOrd="0" presId="urn:microsoft.com/office/officeart/2005/8/layout/lProcess3"/>
    <dgm:cxn modelId="{A501A9EB-DC14-4716-A4A6-06D8638B11C7}" type="presParOf" srcId="{7AFA005C-24EB-425D-AA59-994D2BCA7851}" destId="{F6C18B68-CEAF-49D6-982F-6560BB559D69}" srcOrd="5" destOrd="0" presId="urn:microsoft.com/office/officeart/2005/8/layout/lProcess3"/>
    <dgm:cxn modelId="{817DB98E-76EC-43EC-A793-E225BB82EC22}" type="presParOf" srcId="{7AFA005C-24EB-425D-AA59-994D2BCA7851}" destId="{9783D7DD-9297-4972-8B5A-E2BE8A6720CA}" srcOrd="6" destOrd="0" presId="urn:microsoft.com/office/officeart/2005/8/layout/lProcess3"/>
    <dgm:cxn modelId="{75D27544-63C6-4DC2-A041-AA8A2E6ECBCE}" type="presParOf" srcId="{7AFA005C-24EB-425D-AA59-994D2BCA7851}" destId="{595C3FF3-1CE2-4857-857D-24F27C9A7A01}" srcOrd="7" destOrd="0" presId="urn:microsoft.com/office/officeart/2005/8/layout/lProcess3"/>
    <dgm:cxn modelId="{D24CC84D-6544-41E1-BD00-53D4E9FEA428}" type="presParOf" srcId="{7AFA005C-24EB-425D-AA59-994D2BCA7851}" destId="{1A805A11-34B2-4547-9AC3-D38054F91140}" srcOrd="8" destOrd="0" presId="urn:microsoft.com/office/officeart/2005/8/layout/lProcess3"/>
    <dgm:cxn modelId="{E11EDD92-E80E-4A97-B356-E8B1E0B92849}" type="presParOf" srcId="{7AFA005C-24EB-425D-AA59-994D2BCA7851}" destId="{170943A2-07FD-4ED6-B58F-4E78324785DA}" srcOrd="9" destOrd="0" presId="urn:microsoft.com/office/officeart/2005/8/layout/lProcess3"/>
    <dgm:cxn modelId="{6B8782E3-72D3-4D4A-B59B-56F04F4C3BBE}" type="presParOf" srcId="{7AFA005C-24EB-425D-AA59-994D2BCA7851}" destId="{E8FE0132-567C-48E3-8786-55757C8F10C4}" srcOrd="10"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F1D6ECB5-FEF8-4992-A0B9-22F11A924EEC}" type="presParOf" srcId="{46382AFD-95FC-4564-A1AD-95C56098B8F7}" destId="{61ACC0E5-6DB5-4C48-961E-4E73AFD0F72C}" srcOrd="1" destOrd="0" presId="urn:microsoft.com/office/officeart/2005/8/layout/lProcess3"/>
    <dgm:cxn modelId="{057BC54A-0FEE-4424-895F-E36957DC6163}" type="presParOf" srcId="{46382AFD-95FC-4564-A1AD-95C56098B8F7}" destId="{58F31D09-ADCD-4DC9-8221-D1D9CF855BAD}" srcOrd="2" destOrd="0" presId="urn:microsoft.com/office/officeart/2005/8/layout/lProcess3"/>
    <dgm:cxn modelId="{0782C071-60FB-4447-91C9-27630AD1C5CA}" type="presParOf" srcId="{46382AFD-95FC-4564-A1AD-95C56098B8F7}" destId="{F926AF39-E7BE-4E11-9D22-C62449B0D6F5}" srcOrd="3" destOrd="0" presId="urn:microsoft.com/office/officeart/2005/8/layout/lProcess3"/>
    <dgm:cxn modelId="{12E0D335-A7F9-4071-A638-35E7FC2D0473}" type="presParOf" srcId="{46382AFD-95FC-4564-A1AD-95C56098B8F7}" destId="{1D04C8CC-6EFD-46D0-BB1C-70E60B93513A}" srcOrd="4" destOrd="0" presId="urn:microsoft.com/office/officeart/2005/8/layout/lProcess3"/>
    <dgm:cxn modelId="{65D41940-96AE-4BB8-8400-1448CC4346E4}" type="presParOf" srcId="{46382AFD-95FC-4564-A1AD-95C56098B8F7}" destId="{ACF4825D-F322-47DC-8BCE-FA35DB4619D6}" srcOrd="5" destOrd="0" presId="urn:microsoft.com/office/officeart/2005/8/layout/lProcess3"/>
    <dgm:cxn modelId="{FE60B3C6-AADC-4DA9-B0A5-9F1EBF1B9B06}" type="presParOf" srcId="{46382AFD-95FC-4564-A1AD-95C56098B8F7}" destId="{13C9CD02-249A-42BA-89EA-061EDDC086D7}" srcOrd="6" destOrd="0" presId="urn:microsoft.com/office/officeart/2005/8/layout/lProcess3"/>
    <dgm:cxn modelId="{F48B0157-5ACA-40C7-B996-536DB78C2FEA}" type="presParOf" srcId="{46382AFD-95FC-4564-A1AD-95C56098B8F7}" destId="{412FD5E1-6105-4277-8502-29E6E714906A}" srcOrd="7" destOrd="0" presId="urn:microsoft.com/office/officeart/2005/8/layout/lProcess3"/>
    <dgm:cxn modelId="{45DA59A1-0878-4066-8783-79CD9368F04F}" type="presParOf" srcId="{46382AFD-95FC-4564-A1AD-95C56098B8F7}" destId="{10D62D9A-AAE0-458C-9095-B2BB7F451ACB}" srcOrd="8" destOrd="0" presId="urn:microsoft.com/office/officeart/2005/8/layout/lProcess3"/>
    <dgm:cxn modelId="{98C9A3BA-4447-4873-A708-4D9671130C8C}" type="presParOf" srcId="{46382AFD-95FC-4564-A1AD-95C56098B8F7}" destId="{141A120D-6817-47B9-8610-717D1794A74A}" srcOrd="9" destOrd="0" presId="urn:microsoft.com/office/officeart/2005/8/layout/lProcess3"/>
    <dgm:cxn modelId="{2F8A2DF8-1AF6-45B5-B27C-E09561EF653D}" type="presParOf" srcId="{46382AFD-95FC-4564-A1AD-95C56098B8F7}" destId="{3CEE6A7F-7896-4564-927F-AF7EEC6A4BD8}" srcOrd="10" destOrd="0" presId="urn:microsoft.com/office/officeart/2005/8/layout/lProcess3"/>
  </dgm:cxnLst>
  <dgm:bg/>
  <dgm:whole/>
  <dgm:extLst>
    <a:ext uri="http://schemas.microsoft.com/office/drawing/2008/diagram">
      <dsp:dataModelExt xmlns:dsp="http://schemas.microsoft.com/office/drawing/2008/diagram" relId="rId132"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dgm:spPr>
      <dgm:t>
        <a:bodyPr/>
        <a:lstStyle/>
        <a:p>
          <a:r>
            <a:rPr lang="cs-CZ" sz="1050" b="1">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dgm:spPr>
      <dgm:t>
        <a:bodyPr/>
        <a:lstStyle/>
        <a:p>
          <a:r>
            <a:rPr lang="cs-CZ" sz="1000" b="1">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dgm:spPr>
      <dgm:t>
        <a:bodyPr/>
        <a:lstStyle/>
        <a:p>
          <a:r>
            <a:rPr lang="cs-CZ" sz="1000" b="1">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dgm:spPr>
      <dgm:t>
        <a:bodyPr/>
        <a:lstStyle/>
        <a:p>
          <a:r>
            <a:rPr lang="cs-CZ" sz="1050" b="1">
              <a:latin typeface="Calibri" panose="020F0502020204030204"/>
              <a:ea typeface="+mn-ea"/>
              <a:cs typeface="+mn-cs"/>
            </a:rPr>
            <a:t>Smlouva                           č. S-8-330/2017</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dgm:spPr>
      <dgm:t>
        <a:bodyPr/>
        <a:lstStyle/>
        <a:p>
          <a:r>
            <a:rPr lang="cs-CZ" sz="1000">
              <a:latin typeface="Calibri" panose="020F0502020204030204"/>
              <a:ea typeface="+mn-ea"/>
              <a:cs typeface="+mn-cs"/>
            </a:rPr>
            <a:t>51 040</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dgm:spPr>
      <dgm:t>
        <a:bodyPr/>
        <a:lstStyle/>
        <a:p>
          <a:r>
            <a:rPr lang="cs-CZ" sz="1000">
              <a:latin typeface="Calibri" panose="020F0502020204030204"/>
              <a:ea typeface="+mn-ea"/>
              <a:cs typeface="+mn-cs"/>
            </a:rPr>
            <a:t>56 484</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3DB0DA9-CF9F-48FB-8A4E-B16B996859CC}">
      <dgm:prSet custT="1"/>
      <dgm:spPr>
        <a:xfrm>
          <a:off x="3053833" y="491045"/>
          <a:ext cx="830898" cy="332359"/>
        </a:xfrm>
        <a:prstGeom prst="chevron">
          <a:avLst/>
        </a:prstGeom>
      </dgm:spPr>
      <dgm:t>
        <a:bodyPr/>
        <a:lstStyle/>
        <a:p>
          <a:r>
            <a:rPr lang="cs-CZ" sz="1000">
              <a:latin typeface="Calibri" panose="020F0502020204030204"/>
              <a:ea typeface="+mn-ea"/>
              <a:cs typeface="+mn-cs"/>
            </a:rPr>
            <a:t>48 340</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dgm:spPr>
      <dgm:t>
        <a:bodyPr/>
        <a:lstStyle/>
        <a:p>
          <a:r>
            <a:rPr lang="cs-CZ" sz="1000">
              <a:latin typeface="Calibri" panose="020F0502020204030204"/>
              <a:ea typeface="+mn-ea"/>
              <a:cs typeface="+mn-cs"/>
            </a:rPr>
            <a:t>98 993</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B7ECE7B1-DE09-4B35-B3EF-F552934AFCE8}">
      <dgm:prSet custT="1"/>
      <dgm:spPr>
        <a:xfrm>
          <a:off x="3053833" y="34551"/>
          <a:ext cx="830898" cy="332359"/>
        </a:xfrm>
        <a:prstGeom prst="chevron">
          <a:avLst/>
        </a:prstGeom>
      </dgm:spPr>
      <dgm:t>
        <a:bodyPr/>
        <a:lstStyle/>
        <a:p>
          <a:r>
            <a:rPr lang="cs-CZ" sz="1000" b="1">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dgm:spPr>
      <dgm:t>
        <a:bodyPr/>
        <a:lstStyle/>
        <a:p>
          <a:r>
            <a:rPr lang="cs-CZ" sz="1000" b="1">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dgm:spPr>
      <dgm:t>
        <a:bodyPr/>
        <a:lstStyle/>
        <a:p>
          <a:r>
            <a:rPr lang="cs-CZ" sz="1000" b="1">
              <a:latin typeface="Calibri" panose="020F0502020204030204"/>
              <a:ea typeface="+mn-ea"/>
              <a:cs typeface="+mn-cs"/>
            </a:rPr>
            <a:t>do r. 2019</a:t>
          </a:r>
        </a:p>
      </dgm:t>
    </dgm:pt>
    <dgm:pt modelId="{86BFB788-3F63-4576-8E20-CC6A3656E461}" type="sibTrans" cxnId="{7A54F410-46BF-4BC4-8EA6-774AA8D2CE63}">
      <dgm:prSet/>
      <dgm:spPr/>
      <dgm:t>
        <a:bodyPr/>
        <a:lstStyle/>
        <a:p>
          <a:endParaRPr lang="cs-CZ"/>
        </a:p>
      </dgm:t>
    </dgm:pt>
    <dgm:pt modelId="{DA6DDA27-2107-4270-A3BD-1C78B27962E5}" type="parTrans" cxnId="{7A54F410-46BF-4BC4-8EA6-774AA8D2CE63}">
      <dgm:prSet/>
      <dgm:spPr/>
      <dgm:t>
        <a:bodyPr/>
        <a:lstStyle/>
        <a:p>
          <a:endParaRPr lang="cs-CZ"/>
        </a:p>
      </dgm:t>
    </dgm:pt>
    <dgm:pt modelId="{9F6AD232-91D9-428D-A514-5855536CA218}">
      <dgm:prSet phldrT="[Text]" custT="1"/>
      <dgm:spPr>
        <a:xfrm>
          <a:off x="4482979" y="491045"/>
          <a:ext cx="830898" cy="332359"/>
        </a:xfrm>
      </dgm:spPr>
      <dgm:t>
        <a:bodyPr/>
        <a:lstStyle/>
        <a:p>
          <a:r>
            <a:rPr lang="cs-CZ" sz="1000">
              <a:latin typeface="Calibri" panose="020F0502020204030204"/>
              <a:ea typeface="+mn-ea"/>
              <a:cs typeface="+mn-cs"/>
            </a:rPr>
            <a:t>59 077</a:t>
          </a:r>
        </a:p>
      </dgm:t>
    </dgm:pt>
    <dgm:pt modelId="{164E4465-D6F2-4D17-929F-6691DD360ED4}" type="sibTrans" cxnId="{45B48C2E-A748-49AE-A1F5-E9912740DF86}">
      <dgm:prSet/>
      <dgm:spPr/>
      <dgm:t>
        <a:bodyPr/>
        <a:lstStyle/>
        <a:p>
          <a:endParaRPr lang="cs-CZ"/>
        </a:p>
      </dgm:t>
    </dgm:pt>
    <dgm:pt modelId="{013114EF-D384-4714-BC76-C270070218DD}" type="parTrans" cxnId="{45B48C2E-A748-49AE-A1F5-E9912740DF86}">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2" custScaleX="136224"/>
      <dgm:spPr/>
    </dgm:pt>
    <dgm:pt modelId="{16F8A479-D000-4689-AA45-88FB35BD20E7}" type="pres">
      <dgm:prSet presAssocID="{DA6DDA27-2107-4270-A3BD-1C78B27962E5}" presName="parTrans" presStyleCnt="0"/>
      <dgm:spPr/>
    </dgm:pt>
    <dgm:pt modelId="{9CF25B67-FA31-41AE-B4EF-CCD2718072B3}" type="pres">
      <dgm:prSet presAssocID="{B62A07CB-3EFA-46D4-B983-264441964367}" presName="node" presStyleLbl="alignAccFollowNode1" presStyleIdx="0" presStyleCnt="10">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1" presStyleCnt="10">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2" presStyleCnt="10">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3" presStyleCnt="10">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4" presStyleCnt="10">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2" custScaleX="135605"/>
      <dgm:spPr/>
    </dgm:pt>
    <dgm:pt modelId="{61ACC0E5-6DB5-4C48-961E-4E73AFD0F72C}" type="pres">
      <dgm:prSet presAssocID="{987134DD-5B78-4BCA-9259-DE628B8E685E}" presName="parTrans" presStyleCnt="0"/>
      <dgm:spPr/>
    </dgm:pt>
    <dgm:pt modelId="{58F31D09-ADCD-4DC9-8221-D1D9CF855BAD}" type="pres">
      <dgm:prSet presAssocID="{8745A055-D09D-4C9C-BC6F-FA2A4CB4E11F}" presName="node" presStyleLbl="alignAccFollowNode1" presStyleIdx="5" presStyleCnt="10">
        <dgm:presLayoutVars>
          <dgm:bulletEnabled val="1"/>
        </dgm:presLayoutVars>
      </dgm:prSet>
      <dgm:spPr/>
    </dgm:pt>
    <dgm:pt modelId="{F926AF39-E7BE-4E11-9D22-C62449B0D6F5}" type="pres">
      <dgm:prSet presAssocID="{E1A6CB3E-3E8F-47BA-95FF-025EA5275374}" presName="sibTrans" presStyleCnt="0"/>
      <dgm:spPr/>
    </dgm:pt>
    <dgm:pt modelId="{1D04C8CC-6EFD-46D0-BB1C-70E60B93513A}" type="pres">
      <dgm:prSet presAssocID="{F3DB0DA9-CF9F-48FB-8A4E-B16B996859CC}" presName="node" presStyleLbl="alignAccFollowNode1" presStyleIdx="6" presStyleCnt="10">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7" presStyleCnt="10">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8" presStyleCnt="10">
        <dgm:presLayoutVars>
          <dgm:bulletEnabled val="1"/>
        </dgm:presLayoutVars>
      </dgm:prSet>
      <dgm:spPr/>
    </dgm:pt>
    <dgm:pt modelId="{141A120D-6817-47B9-8610-717D1794A74A}" type="pres">
      <dgm:prSet presAssocID="{530A1608-B48A-4847-B17E-FBE47F647A54}" presName="sibTrans" presStyleCnt="0"/>
      <dgm:spPr/>
    </dgm:pt>
    <dgm:pt modelId="{3CEE6A7F-7896-4564-927F-AF7EEC6A4BD8}" type="pres">
      <dgm:prSet presAssocID="{9F6AD232-91D9-428D-A514-5855536CA218}" presName="node" presStyleLbl="alignAccFollowNode1" presStyleIdx="9" presStyleCnt="10">
        <dgm:presLayoutVars>
          <dgm:bulletEnabled val="1"/>
        </dgm:presLayoutVars>
      </dgm:prSet>
      <dgm:spPr>
        <a:prstGeom prst="chevron">
          <a:avLst/>
        </a:prstGeom>
      </dgm:spPr>
    </dgm:pt>
  </dgm:ptLst>
  <dgm:cxnLst>
    <dgm:cxn modelId="{310D0001-5C72-4109-8616-4A75DBE70CB6}" srcId="{E6F261A4-C73A-49D8-96F2-76C8A05FBA61}" destId="{A026A503-5385-48CD-9960-7890BC01BF17}" srcOrd="0" destOrd="0" parTransId="{0CACBDA1-35FC-4014-986E-1E38A531BB1B}" sibTransId="{C1D54371-DD1A-4DF8-B817-3EBA22BA4E2D}"/>
    <dgm:cxn modelId="{7A54F410-46BF-4BC4-8EA6-774AA8D2CE63}" srcId="{A026A503-5385-48CD-9960-7890BC01BF17}" destId="{B62A07CB-3EFA-46D4-B983-264441964367}" srcOrd="0" destOrd="0" parTransId="{DA6DDA27-2107-4270-A3BD-1C78B27962E5}" sibTransId="{86BFB788-3F63-4576-8E20-CC6A3656E461}"/>
    <dgm:cxn modelId="{50C4D418-E3EE-43BA-8DBE-EA09E0166175}" srcId="{60CC8BA2-67B8-4B5C-8F83-24E2D147DDF5}" destId="{C00F4E8D-2D97-4332-8A25-D515248152D2}" srcOrd="2"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45B48C2E-A748-49AE-A1F5-E9912740DF86}" srcId="{60CC8BA2-67B8-4B5C-8F83-24E2D147DDF5}" destId="{9F6AD232-91D9-428D-A514-5855536CA218}" srcOrd="4" destOrd="0" parTransId="{013114EF-D384-4714-BC76-C270070218DD}" sibTransId="{164E4465-D6F2-4D17-929F-6691DD360ED4}"/>
    <dgm:cxn modelId="{81368935-D9C8-4FD2-94D9-578AF782F3C7}" srcId="{A026A503-5385-48CD-9960-7890BC01BF17}" destId="{B7ECE7B1-DE09-4B35-B3EF-F552934AFCE8}" srcOrd="2" destOrd="0" parTransId="{A9C9CEC0-A762-4343-9FD1-C949E5188B85}" sibTransId="{10B5F909-84D1-4EDB-9013-6CD0F76DFEA1}"/>
    <dgm:cxn modelId="{A8944B36-099E-467F-98E4-83062C67CC15}" type="presOf" srcId="{9F6AD232-91D9-428D-A514-5855536CA218}" destId="{3CEE6A7F-7896-4564-927F-AF7EEC6A4BD8}" srcOrd="0" destOrd="0" presId="urn:microsoft.com/office/officeart/2005/8/layout/lProcess3"/>
    <dgm:cxn modelId="{F8BA8E3A-2853-464E-89AE-903440A0A8AA}" srcId="{A026A503-5385-48CD-9960-7890BC01BF17}" destId="{66B9B487-B0DE-49D5-B890-8F4F7B485182}" srcOrd="4"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0" destOrd="0" parTransId="{987134DD-5B78-4BCA-9259-DE628B8E685E}" sibTransId="{E1A6CB3E-3E8F-47BA-95FF-025EA5275374}"/>
    <dgm:cxn modelId="{9AAF8E5A-DC3B-4AFE-BF2B-0CA982D4A873}" srcId="{A026A503-5385-48CD-9960-7890BC01BF17}" destId="{81B96AF2-AF7C-4C6D-BF8F-26DA405E6181}" srcOrd="3"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3" destOrd="0" parTransId="{209BC680-4E03-4850-8AA8-C4A94E922D15}" sibTransId="{530A1608-B48A-4847-B17E-FBE47F647A54}"/>
    <dgm:cxn modelId="{12DF8CA0-2202-48D3-BFED-52239A8BF490}" srcId="{60CC8BA2-67B8-4B5C-8F83-24E2D147DDF5}" destId="{F3DB0DA9-CF9F-48FB-8A4E-B16B996859CC}" srcOrd="1"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1"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9F384BFF-2582-42FB-AA89-C1DF4BFA2F8A}" type="presOf" srcId="{F3DB0DA9-CF9F-48FB-8A4E-B16B996859CC}" destId="{1D04C8CC-6EFD-46D0-BB1C-70E60B93513A}" srcOrd="0" destOrd="0" presId="urn:microsoft.com/office/officeart/2005/8/layout/lProcess3"/>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B389D454-ED53-415C-8C92-78346729BA71}" type="presParOf" srcId="{7AFA005C-24EB-425D-AA59-994D2BCA7851}" destId="{16F8A479-D000-4689-AA45-88FB35BD20E7}" srcOrd="1" destOrd="0" presId="urn:microsoft.com/office/officeart/2005/8/layout/lProcess3"/>
    <dgm:cxn modelId="{E2308CAE-70E6-43D3-8275-F70F4D1B821B}" type="presParOf" srcId="{7AFA005C-24EB-425D-AA59-994D2BCA7851}" destId="{9CF25B67-FA31-41AE-B4EF-CCD2718072B3}" srcOrd="2" destOrd="0" presId="urn:microsoft.com/office/officeart/2005/8/layout/lProcess3"/>
    <dgm:cxn modelId="{5C1B932C-235D-4F1A-9AE4-FBE0C0741DCC}" type="presParOf" srcId="{7AFA005C-24EB-425D-AA59-994D2BCA7851}" destId="{CF2A569A-A5DD-47B4-A8A4-2F55658E3B6D}" srcOrd="3" destOrd="0" presId="urn:microsoft.com/office/officeart/2005/8/layout/lProcess3"/>
    <dgm:cxn modelId="{5299EB9E-9611-4C80-9C7F-367781513D99}" type="presParOf" srcId="{7AFA005C-24EB-425D-AA59-994D2BCA7851}" destId="{ED3FB9E6-0BAA-4702-B8CA-920A66AFC02F}" srcOrd="4" destOrd="0" presId="urn:microsoft.com/office/officeart/2005/8/layout/lProcess3"/>
    <dgm:cxn modelId="{0EF39BA9-C529-41BC-BE86-013E7B281E2A}" type="presParOf" srcId="{7AFA005C-24EB-425D-AA59-994D2BCA7851}" destId="{3121E4B7-F3A0-42BA-AD82-8FDFE22D4AC6}" srcOrd="5" destOrd="0" presId="urn:microsoft.com/office/officeart/2005/8/layout/lProcess3"/>
    <dgm:cxn modelId="{817DB98E-76EC-43EC-A793-E225BB82EC22}" type="presParOf" srcId="{7AFA005C-24EB-425D-AA59-994D2BCA7851}" destId="{9783D7DD-9297-4972-8B5A-E2BE8A6720CA}" srcOrd="6" destOrd="0" presId="urn:microsoft.com/office/officeart/2005/8/layout/lProcess3"/>
    <dgm:cxn modelId="{75D27544-63C6-4DC2-A041-AA8A2E6ECBCE}" type="presParOf" srcId="{7AFA005C-24EB-425D-AA59-994D2BCA7851}" destId="{595C3FF3-1CE2-4857-857D-24F27C9A7A01}" srcOrd="7" destOrd="0" presId="urn:microsoft.com/office/officeart/2005/8/layout/lProcess3"/>
    <dgm:cxn modelId="{D24CC84D-6544-41E1-BD00-53D4E9FEA428}" type="presParOf" srcId="{7AFA005C-24EB-425D-AA59-994D2BCA7851}" destId="{1A805A11-34B2-4547-9AC3-D38054F91140}" srcOrd="8" destOrd="0" presId="urn:microsoft.com/office/officeart/2005/8/layout/lProcess3"/>
    <dgm:cxn modelId="{E11EDD92-E80E-4A97-B356-E8B1E0B92849}" type="presParOf" srcId="{7AFA005C-24EB-425D-AA59-994D2BCA7851}" destId="{170943A2-07FD-4ED6-B58F-4E78324785DA}" srcOrd="9" destOrd="0" presId="urn:microsoft.com/office/officeart/2005/8/layout/lProcess3"/>
    <dgm:cxn modelId="{6B8782E3-72D3-4D4A-B59B-56F04F4C3BBE}" type="presParOf" srcId="{7AFA005C-24EB-425D-AA59-994D2BCA7851}" destId="{E8FE0132-567C-48E3-8786-55757C8F10C4}" srcOrd="10"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F1D6ECB5-FEF8-4992-A0B9-22F11A924EEC}" type="presParOf" srcId="{46382AFD-95FC-4564-A1AD-95C56098B8F7}" destId="{61ACC0E5-6DB5-4C48-961E-4E73AFD0F72C}" srcOrd="1" destOrd="0" presId="urn:microsoft.com/office/officeart/2005/8/layout/lProcess3"/>
    <dgm:cxn modelId="{057BC54A-0FEE-4424-895F-E36957DC6163}" type="presParOf" srcId="{46382AFD-95FC-4564-A1AD-95C56098B8F7}" destId="{58F31D09-ADCD-4DC9-8221-D1D9CF855BAD}" srcOrd="2" destOrd="0" presId="urn:microsoft.com/office/officeart/2005/8/layout/lProcess3"/>
    <dgm:cxn modelId="{0782C071-60FB-4447-91C9-27630AD1C5CA}" type="presParOf" srcId="{46382AFD-95FC-4564-A1AD-95C56098B8F7}" destId="{F926AF39-E7BE-4E11-9D22-C62449B0D6F5}" srcOrd="3" destOrd="0" presId="urn:microsoft.com/office/officeart/2005/8/layout/lProcess3"/>
    <dgm:cxn modelId="{12E0D335-A7F9-4071-A638-35E7FC2D0473}" type="presParOf" srcId="{46382AFD-95FC-4564-A1AD-95C56098B8F7}" destId="{1D04C8CC-6EFD-46D0-BB1C-70E60B93513A}" srcOrd="4" destOrd="0" presId="urn:microsoft.com/office/officeart/2005/8/layout/lProcess3"/>
    <dgm:cxn modelId="{65D41940-96AE-4BB8-8400-1448CC4346E4}" type="presParOf" srcId="{46382AFD-95FC-4564-A1AD-95C56098B8F7}" destId="{ACF4825D-F322-47DC-8BCE-FA35DB4619D6}" srcOrd="5" destOrd="0" presId="urn:microsoft.com/office/officeart/2005/8/layout/lProcess3"/>
    <dgm:cxn modelId="{FE60B3C6-AADC-4DA9-B0A5-9F1EBF1B9B06}" type="presParOf" srcId="{46382AFD-95FC-4564-A1AD-95C56098B8F7}" destId="{13C9CD02-249A-42BA-89EA-061EDDC086D7}" srcOrd="6" destOrd="0" presId="urn:microsoft.com/office/officeart/2005/8/layout/lProcess3"/>
    <dgm:cxn modelId="{F48B0157-5ACA-40C7-B996-536DB78C2FEA}" type="presParOf" srcId="{46382AFD-95FC-4564-A1AD-95C56098B8F7}" destId="{412FD5E1-6105-4277-8502-29E6E714906A}" srcOrd="7" destOrd="0" presId="urn:microsoft.com/office/officeart/2005/8/layout/lProcess3"/>
    <dgm:cxn modelId="{45DA59A1-0878-4066-8783-79CD9368F04F}" type="presParOf" srcId="{46382AFD-95FC-4564-A1AD-95C56098B8F7}" destId="{10D62D9A-AAE0-458C-9095-B2BB7F451ACB}" srcOrd="8" destOrd="0" presId="urn:microsoft.com/office/officeart/2005/8/layout/lProcess3"/>
    <dgm:cxn modelId="{98C9A3BA-4447-4873-A708-4D9671130C8C}" type="presParOf" srcId="{46382AFD-95FC-4564-A1AD-95C56098B8F7}" destId="{141A120D-6817-47B9-8610-717D1794A74A}" srcOrd="9" destOrd="0" presId="urn:microsoft.com/office/officeart/2005/8/layout/lProcess3"/>
    <dgm:cxn modelId="{2F8A2DF8-1AF6-45B5-B27C-E09561EF653D}" type="presParOf" srcId="{46382AFD-95FC-4564-A1AD-95C56098B8F7}" destId="{3CEE6A7F-7896-4564-927F-AF7EEC6A4BD8}" srcOrd="10" destOrd="0" presId="urn:microsoft.com/office/officeart/2005/8/layout/lProcess3"/>
  </dgm:cxnLst>
  <dgm:bg/>
  <dgm:whole/>
  <dgm:extLst>
    <a:ext uri="http://schemas.microsoft.com/office/drawing/2008/diagram">
      <dsp:dataModelExt xmlns:dsp="http://schemas.microsoft.com/office/drawing/2008/diagram" relId="rId137"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dgm:spPr>
      <dgm:t>
        <a:bodyPr/>
        <a:lstStyle/>
        <a:p>
          <a:r>
            <a:rPr lang="cs-CZ" sz="1050" b="1">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dgm:spPr>
      <dgm:t>
        <a:bodyPr/>
        <a:lstStyle/>
        <a:p>
          <a:r>
            <a:rPr lang="cs-CZ" sz="1000" b="1">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dgm:spPr>
      <dgm:t>
        <a:bodyPr/>
        <a:lstStyle/>
        <a:p>
          <a:r>
            <a:rPr lang="cs-CZ" sz="1000" b="1">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dgm:spPr>
      <dgm:t>
        <a:bodyPr/>
        <a:lstStyle/>
        <a:p>
          <a:r>
            <a:rPr lang="cs-CZ" sz="1050" b="1">
              <a:latin typeface="Calibri" panose="020F0502020204030204"/>
              <a:ea typeface="+mn-ea"/>
              <a:cs typeface="+mn-cs"/>
            </a:rPr>
            <a:t>Smlouva                           č. S-303-150/2019</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dgm:spPr>
      <dgm:t>
        <a:bodyPr/>
        <a:lstStyle/>
        <a:p>
          <a:r>
            <a:rPr lang="cs-CZ" sz="1000">
              <a:latin typeface="Calibri" panose="020F0502020204030204"/>
              <a:ea typeface="+mn-ea"/>
              <a:cs typeface="+mn-cs"/>
            </a:rPr>
            <a:t>61 370</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dgm:spPr>
      <dgm:t>
        <a:bodyPr/>
        <a:lstStyle/>
        <a:p>
          <a:r>
            <a:rPr lang="cs-CZ" sz="1000">
              <a:latin typeface="Calibri" panose="020F0502020204030204"/>
              <a:ea typeface="+mn-ea"/>
              <a:cs typeface="+mn-cs"/>
            </a:rPr>
            <a:t>72 142</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3DB0DA9-CF9F-48FB-8A4E-B16B996859CC}">
      <dgm:prSet custT="1"/>
      <dgm:spPr>
        <a:xfrm>
          <a:off x="3053833" y="491045"/>
          <a:ext cx="830898" cy="332359"/>
        </a:xfrm>
        <a:prstGeom prst="chevron">
          <a:avLst/>
        </a:prstGeom>
      </dgm:spPr>
      <dgm:t>
        <a:bodyPr/>
        <a:lstStyle/>
        <a:p>
          <a:r>
            <a:rPr lang="cs-CZ" sz="1000">
              <a:latin typeface="Calibri" panose="020F0502020204030204"/>
              <a:ea typeface="+mn-ea"/>
              <a:cs typeface="+mn-cs"/>
            </a:rPr>
            <a:t>13 960</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dgm:spPr>
      <dgm:t>
        <a:bodyPr/>
        <a:lstStyle/>
        <a:p>
          <a:r>
            <a:rPr lang="cs-CZ" sz="1000">
              <a:latin typeface="Calibri" panose="020F0502020204030204"/>
              <a:ea typeface="+mn-ea"/>
              <a:cs typeface="+mn-cs"/>
            </a:rPr>
            <a:t>0</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B7ECE7B1-DE09-4B35-B3EF-F552934AFCE8}">
      <dgm:prSet custT="1"/>
      <dgm:spPr>
        <a:xfrm>
          <a:off x="3053833" y="34551"/>
          <a:ext cx="830898" cy="332359"/>
        </a:xfrm>
        <a:prstGeom prst="chevron">
          <a:avLst/>
        </a:prstGeom>
      </dgm:spPr>
      <dgm:t>
        <a:bodyPr/>
        <a:lstStyle/>
        <a:p>
          <a:r>
            <a:rPr lang="cs-CZ" sz="1000" b="1">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dgm:spPr>
      <dgm:t>
        <a:bodyPr/>
        <a:lstStyle/>
        <a:p>
          <a:r>
            <a:rPr lang="cs-CZ" sz="1000" b="1">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dgm:spPr>
      <dgm:t>
        <a:bodyPr/>
        <a:lstStyle/>
        <a:p>
          <a:r>
            <a:rPr lang="cs-CZ" sz="1000" b="1">
              <a:latin typeface="Calibri" panose="020F0502020204030204"/>
              <a:ea typeface="+mn-ea"/>
              <a:cs typeface="+mn-cs"/>
            </a:rPr>
            <a:t>do r. 2019</a:t>
          </a:r>
        </a:p>
      </dgm:t>
    </dgm:pt>
    <dgm:pt modelId="{86BFB788-3F63-4576-8E20-CC6A3656E461}" type="sibTrans" cxnId="{7A54F410-46BF-4BC4-8EA6-774AA8D2CE63}">
      <dgm:prSet/>
      <dgm:spPr/>
      <dgm:t>
        <a:bodyPr/>
        <a:lstStyle/>
        <a:p>
          <a:endParaRPr lang="cs-CZ"/>
        </a:p>
      </dgm:t>
    </dgm:pt>
    <dgm:pt modelId="{DA6DDA27-2107-4270-A3BD-1C78B27962E5}" type="parTrans" cxnId="{7A54F410-46BF-4BC4-8EA6-774AA8D2CE63}">
      <dgm:prSet/>
      <dgm:spPr/>
      <dgm:t>
        <a:bodyPr/>
        <a:lstStyle/>
        <a:p>
          <a:endParaRPr lang="cs-CZ"/>
        </a:p>
      </dgm:t>
    </dgm:pt>
    <dgm:pt modelId="{9F6AD232-91D9-428D-A514-5855536CA218}">
      <dgm:prSet phldrT="[Text]" custT="1"/>
      <dgm:spPr>
        <a:xfrm>
          <a:off x="4482979" y="491045"/>
          <a:ext cx="830898" cy="332359"/>
        </a:xfrm>
      </dgm:spPr>
      <dgm:t>
        <a:bodyPr/>
        <a:lstStyle/>
        <a:p>
          <a:r>
            <a:rPr lang="cs-CZ" sz="1000">
              <a:latin typeface="Calibri" panose="020F0502020204030204"/>
              <a:ea typeface="+mn-ea"/>
              <a:cs typeface="+mn-cs"/>
            </a:rPr>
            <a:t>60 131</a:t>
          </a:r>
        </a:p>
      </dgm:t>
    </dgm:pt>
    <dgm:pt modelId="{013114EF-D384-4714-BC76-C270070218DD}" type="parTrans" cxnId="{45B48C2E-A748-49AE-A1F5-E9912740DF86}">
      <dgm:prSet/>
      <dgm:spPr/>
      <dgm:t>
        <a:bodyPr/>
        <a:lstStyle/>
        <a:p>
          <a:endParaRPr lang="cs-CZ"/>
        </a:p>
      </dgm:t>
    </dgm:pt>
    <dgm:pt modelId="{164E4465-D6F2-4D17-929F-6691DD360ED4}" type="sibTrans" cxnId="{45B48C2E-A748-49AE-A1F5-E9912740DF86}">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2" custScaleX="136224"/>
      <dgm:spPr/>
    </dgm:pt>
    <dgm:pt modelId="{16F8A479-D000-4689-AA45-88FB35BD20E7}" type="pres">
      <dgm:prSet presAssocID="{DA6DDA27-2107-4270-A3BD-1C78B27962E5}" presName="parTrans" presStyleCnt="0"/>
      <dgm:spPr/>
    </dgm:pt>
    <dgm:pt modelId="{9CF25B67-FA31-41AE-B4EF-CCD2718072B3}" type="pres">
      <dgm:prSet presAssocID="{B62A07CB-3EFA-46D4-B983-264441964367}" presName="node" presStyleLbl="alignAccFollowNode1" presStyleIdx="0" presStyleCnt="10">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1" presStyleCnt="10">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2" presStyleCnt="10" custLinFactNeighborX="21204">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3" presStyleCnt="10">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4" presStyleCnt="10">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2" custScaleX="135605"/>
      <dgm:spPr/>
    </dgm:pt>
    <dgm:pt modelId="{61ACC0E5-6DB5-4C48-961E-4E73AFD0F72C}" type="pres">
      <dgm:prSet presAssocID="{987134DD-5B78-4BCA-9259-DE628B8E685E}" presName="parTrans" presStyleCnt="0"/>
      <dgm:spPr/>
    </dgm:pt>
    <dgm:pt modelId="{58F31D09-ADCD-4DC9-8221-D1D9CF855BAD}" type="pres">
      <dgm:prSet presAssocID="{8745A055-D09D-4C9C-BC6F-FA2A4CB4E11F}" presName="node" presStyleLbl="alignAccFollowNode1" presStyleIdx="5" presStyleCnt="10">
        <dgm:presLayoutVars>
          <dgm:bulletEnabled val="1"/>
        </dgm:presLayoutVars>
      </dgm:prSet>
      <dgm:spPr/>
    </dgm:pt>
    <dgm:pt modelId="{F926AF39-E7BE-4E11-9D22-C62449B0D6F5}" type="pres">
      <dgm:prSet presAssocID="{E1A6CB3E-3E8F-47BA-95FF-025EA5275374}" presName="sibTrans" presStyleCnt="0"/>
      <dgm:spPr/>
    </dgm:pt>
    <dgm:pt modelId="{1D04C8CC-6EFD-46D0-BB1C-70E60B93513A}" type="pres">
      <dgm:prSet presAssocID="{F3DB0DA9-CF9F-48FB-8A4E-B16B996859CC}" presName="node" presStyleLbl="alignAccFollowNode1" presStyleIdx="6" presStyleCnt="10">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7" presStyleCnt="10">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8" presStyleCnt="10">
        <dgm:presLayoutVars>
          <dgm:bulletEnabled val="1"/>
        </dgm:presLayoutVars>
      </dgm:prSet>
      <dgm:spPr/>
    </dgm:pt>
    <dgm:pt modelId="{141A120D-6817-47B9-8610-717D1794A74A}" type="pres">
      <dgm:prSet presAssocID="{530A1608-B48A-4847-B17E-FBE47F647A54}" presName="sibTrans" presStyleCnt="0"/>
      <dgm:spPr/>
    </dgm:pt>
    <dgm:pt modelId="{3CEE6A7F-7896-4564-927F-AF7EEC6A4BD8}" type="pres">
      <dgm:prSet presAssocID="{9F6AD232-91D9-428D-A514-5855536CA218}" presName="node" presStyleLbl="alignAccFollowNode1" presStyleIdx="9" presStyleCnt="10">
        <dgm:presLayoutVars>
          <dgm:bulletEnabled val="1"/>
        </dgm:presLayoutVars>
      </dgm:prSet>
      <dgm:spPr>
        <a:prstGeom prst="chevron">
          <a:avLst/>
        </a:prstGeom>
      </dgm:spPr>
    </dgm:pt>
  </dgm:ptLst>
  <dgm:cxnLst>
    <dgm:cxn modelId="{310D0001-5C72-4109-8616-4A75DBE70CB6}" srcId="{E6F261A4-C73A-49D8-96F2-76C8A05FBA61}" destId="{A026A503-5385-48CD-9960-7890BC01BF17}" srcOrd="0" destOrd="0" parTransId="{0CACBDA1-35FC-4014-986E-1E38A531BB1B}" sibTransId="{C1D54371-DD1A-4DF8-B817-3EBA22BA4E2D}"/>
    <dgm:cxn modelId="{7A54F410-46BF-4BC4-8EA6-774AA8D2CE63}" srcId="{A026A503-5385-48CD-9960-7890BC01BF17}" destId="{B62A07CB-3EFA-46D4-B983-264441964367}" srcOrd="0" destOrd="0" parTransId="{DA6DDA27-2107-4270-A3BD-1C78B27962E5}" sibTransId="{86BFB788-3F63-4576-8E20-CC6A3656E461}"/>
    <dgm:cxn modelId="{50C4D418-E3EE-43BA-8DBE-EA09E0166175}" srcId="{60CC8BA2-67B8-4B5C-8F83-24E2D147DDF5}" destId="{C00F4E8D-2D97-4332-8A25-D515248152D2}" srcOrd="2"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45B48C2E-A748-49AE-A1F5-E9912740DF86}" srcId="{60CC8BA2-67B8-4B5C-8F83-24E2D147DDF5}" destId="{9F6AD232-91D9-428D-A514-5855536CA218}" srcOrd="4" destOrd="0" parTransId="{013114EF-D384-4714-BC76-C270070218DD}" sibTransId="{164E4465-D6F2-4D17-929F-6691DD360ED4}"/>
    <dgm:cxn modelId="{81368935-D9C8-4FD2-94D9-578AF782F3C7}" srcId="{A026A503-5385-48CD-9960-7890BC01BF17}" destId="{B7ECE7B1-DE09-4B35-B3EF-F552934AFCE8}" srcOrd="2" destOrd="0" parTransId="{A9C9CEC0-A762-4343-9FD1-C949E5188B85}" sibTransId="{10B5F909-84D1-4EDB-9013-6CD0F76DFEA1}"/>
    <dgm:cxn modelId="{A8944B36-099E-467F-98E4-83062C67CC15}" type="presOf" srcId="{9F6AD232-91D9-428D-A514-5855536CA218}" destId="{3CEE6A7F-7896-4564-927F-AF7EEC6A4BD8}" srcOrd="0" destOrd="0" presId="urn:microsoft.com/office/officeart/2005/8/layout/lProcess3"/>
    <dgm:cxn modelId="{F8BA8E3A-2853-464E-89AE-903440A0A8AA}" srcId="{A026A503-5385-48CD-9960-7890BC01BF17}" destId="{66B9B487-B0DE-49D5-B890-8F4F7B485182}" srcOrd="4"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0" destOrd="0" parTransId="{987134DD-5B78-4BCA-9259-DE628B8E685E}" sibTransId="{E1A6CB3E-3E8F-47BA-95FF-025EA5275374}"/>
    <dgm:cxn modelId="{9AAF8E5A-DC3B-4AFE-BF2B-0CA982D4A873}" srcId="{A026A503-5385-48CD-9960-7890BC01BF17}" destId="{81B96AF2-AF7C-4C6D-BF8F-26DA405E6181}" srcOrd="3"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3" destOrd="0" parTransId="{209BC680-4E03-4850-8AA8-C4A94E922D15}" sibTransId="{530A1608-B48A-4847-B17E-FBE47F647A54}"/>
    <dgm:cxn modelId="{12DF8CA0-2202-48D3-BFED-52239A8BF490}" srcId="{60CC8BA2-67B8-4B5C-8F83-24E2D147DDF5}" destId="{F3DB0DA9-CF9F-48FB-8A4E-B16B996859CC}" srcOrd="1"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1"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9F384BFF-2582-42FB-AA89-C1DF4BFA2F8A}" type="presOf" srcId="{F3DB0DA9-CF9F-48FB-8A4E-B16B996859CC}" destId="{1D04C8CC-6EFD-46D0-BB1C-70E60B93513A}" srcOrd="0" destOrd="0" presId="urn:microsoft.com/office/officeart/2005/8/layout/lProcess3"/>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B389D454-ED53-415C-8C92-78346729BA71}" type="presParOf" srcId="{7AFA005C-24EB-425D-AA59-994D2BCA7851}" destId="{16F8A479-D000-4689-AA45-88FB35BD20E7}" srcOrd="1" destOrd="0" presId="urn:microsoft.com/office/officeart/2005/8/layout/lProcess3"/>
    <dgm:cxn modelId="{E2308CAE-70E6-43D3-8275-F70F4D1B821B}" type="presParOf" srcId="{7AFA005C-24EB-425D-AA59-994D2BCA7851}" destId="{9CF25B67-FA31-41AE-B4EF-CCD2718072B3}" srcOrd="2" destOrd="0" presId="urn:microsoft.com/office/officeart/2005/8/layout/lProcess3"/>
    <dgm:cxn modelId="{5C1B932C-235D-4F1A-9AE4-FBE0C0741DCC}" type="presParOf" srcId="{7AFA005C-24EB-425D-AA59-994D2BCA7851}" destId="{CF2A569A-A5DD-47B4-A8A4-2F55658E3B6D}" srcOrd="3" destOrd="0" presId="urn:microsoft.com/office/officeart/2005/8/layout/lProcess3"/>
    <dgm:cxn modelId="{5299EB9E-9611-4C80-9C7F-367781513D99}" type="presParOf" srcId="{7AFA005C-24EB-425D-AA59-994D2BCA7851}" destId="{ED3FB9E6-0BAA-4702-B8CA-920A66AFC02F}" srcOrd="4" destOrd="0" presId="urn:microsoft.com/office/officeart/2005/8/layout/lProcess3"/>
    <dgm:cxn modelId="{0EF39BA9-C529-41BC-BE86-013E7B281E2A}" type="presParOf" srcId="{7AFA005C-24EB-425D-AA59-994D2BCA7851}" destId="{3121E4B7-F3A0-42BA-AD82-8FDFE22D4AC6}" srcOrd="5" destOrd="0" presId="urn:microsoft.com/office/officeart/2005/8/layout/lProcess3"/>
    <dgm:cxn modelId="{817DB98E-76EC-43EC-A793-E225BB82EC22}" type="presParOf" srcId="{7AFA005C-24EB-425D-AA59-994D2BCA7851}" destId="{9783D7DD-9297-4972-8B5A-E2BE8A6720CA}" srcOrd="6" destOrd="0" presId="urn:microsoft.com/office/officeart/2005/8/layout/lProcess3"/>
    <dgm:cxn modelId="{75D27544-63C6-4DC2-A041-AA8A2E6ECBCE}" type="presParOf" srcId="{7AFA005C-24EB-425D-AA59-994D2BCA7851}" destId="{595C3FF3-1CE2-4857-857D-24F27C9A7A01}" srcOrd="7" destOrd="0" presId="urn:microsoft.com/office/officeart/2005/8/layout/lProcess3"/>
    <dgm:cxn modelId="{D24CC84D-6544-41E1-BD00-53D4E9FEA428}" type="presParOf" srcId="{7AFA005C-24EB-425D-AA59-994D2BCA7851}" destId="{1A805A11-34B2-4547-9AC3-D38054F91140}" srcOrd="8" destOrd="0" presId="urn:microsoft.com/office/officeart/2005/8/layout/lProcess3"/>
    <dgm:cxn modelId="{E11EDD92-E80E-4A97-B356-E8B1E0B92849}" type="presParOf" srcId="{7AFA005C-24EB-425D-AA59-994D2BCA7851}" destId="{170943A2-07FD-4ED6-B58F-4E78324785DA}" srcOrd="9" destOrd="0" presId="urn:microsoft.com/office/officeart/2005/8/layout/lProcess3"/>
    <dgm:cxn modelId="{6B8782E3-72D3-4D4A-B59B-56F04F4C3BBE}" type="presParOf" srcId="{7AFA005C-24EB-425D-AA59-994D2BCA7851}" destId="{E8FE0132-567C-48E3-8786-55757C8F10C4}" srcOrd="10"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F1D6ECB5-FEF8-4992-A0B9-22F11A924EEC}" type="presParOf" srcId="{46382AFD-95FC-4564-A1AD-95C56098B8F7}" destId="{61ACC0E5-6DB5-4C48-961E-4E73AFD0F72C}" srcOrd="1" destOrd="0" presId="urn:microsoft.com/office/officeart/2005/8/layout/lProcess3"/>
    <dgm:cxn modelId="{057BC54A-0FEE-4424-895F-E36957DC6163}" type="presParOf" srcId="{46382AFD-95FC-4564-A1AD-95C56098B8F7}" destId="{58F31D09-ADCD-4DC9-8221-D1D9CF855BAD}" srcOrd="2" destOrd="0" presId="urn:microsoft.com/office/officeart/2005/8/layout/lProcess3"/>
    <dgm:cxn modelId="{0782C071-60FB-4447-91C9-27630AD1C5CA}" type="presParOf" srcId="{46382AFD-95FC-4564-A1AD-95C56098B8F7}" destId="{F926AF39-E7BE-4E11-9D22-C62449B0D6F5}" srcOrd="3" destOrd="0" presId="urn:microsoft.com/office/officeart/2005/8/layout/lProcess3"/>
    <dgm:cxn modelId="{12E0D335-A7F9-4071-A638-35E7FC2D0473}" type="presParOf" srcId="{46382AFD-95FC-4564-A1AD-95C56098B8F7}" destId="{1D04C8CC-6EFD-46D0-BB1C-70E60B93513A}" srcOrd="4" destOrd="0" presId="urn:microsoft.com/office/officeart/2005/8/layout/lProcess3"/>
    <dgm:cxn modelId="{65D41940-96AE-4BB8-8400-1448CC4346E4}" type="presParOf" srcId="{46382AFD-95FC-4564-A1AD-95C56098B8F7}" destId="{ACF4825D-F322-47DC-8BCE-FA35DB4619D6}" srcOrd="5" destOrd="0" presId="urn:microsoft.com/office/officeart/2005/8/layout/lProcess3"/>
    <dgm:cxn modelId="{FE60B3C6-AADC-4DA9-B0A5-9F1EBF1B9B06}" type="presParOf" srcId="{46382AFD-95FC-4564-A1AD-95C56098B8F7}" destId="{13C9CD02-249A-42BA-89EA-061EDDC086D7}" srcOrd="6" destOrd="0" presId="urn:microsoft.com/office/officeart/2005/8/layout/lProcess3"/>
    <dgm:cxn modelId="{F48B0157-5ACA-40C7-B996-536DB78C2FEA}" type="presParOf" srcId="{46382AFD-95FC-4564-A1AD-95C56098B8F7}" destId="{412FD5E1-6105-4277-8502-29E6E714906A}" srcOrd="7" destOrd="0" presId="urn:microsoft.com/office/officeart/2005/8/layout/lProcess3"/>
    <dgm:cxn modelId="{45DA59A1-0878-4066-8783-79CD9368F04F}" type="presParOf" srcId="{46382AFD-95FC-4564-A1AD-95C56098B8F7}" destId="{10D62D9A-AAE0-458C-9095-B2BB7F451ACB}" srcOrd="8" destOrd="0" presId="urn:microsoft.com/office/officeart/2005/8/layout/lProcess3"/>
    <dgm:cxn modelId="{98C9A3BA-4447-4873-A708-4D9671130C8C}" type="presParOf" srcId="{46382AFD-95FC-4564-A1AD-95C56098B8F7}" destId="{141A120D-6817-47B9-8610-717D1794A74A}" srcOrd="9" destOrd="0" presId="urn:microsoft.com/office/officeart/2005/8/layout/lProcess3"/>
    <dgm:cxn modelId="{2F8A2DF8-1AF6-45B5-B27C-E09561EF653D}" type="presParOf" srcId="{46382AFD-95FC-4564-A1AD-95C56098B8F7}" destId="{3CEE6A7F-7896-4564-927F-AF7EEC6A4BD8}" srcOrd="10" destOrd="0" presId="urn:microsoft.com/office/officeart/2005/8/layout/lProcess3"/>
  </dgm:cxnLst>
  <dgm:bg/>
  <dgm:whole/>
  <dgm:extLst>
    <a:ext uri="http://schemas.microsoft.com/office/drawing/2008/diagram">
      <dsp:dataModelExt xmlns:dsp="http://schemas.microsoft.com/office/drawing/2008/diagram" relId="rId142"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E6F261A4-C73A-49D8-96F2-76C8A05FBA61}" type="doc">
      <dgm:prSet loTypeId="urn:microsoft.com/office/officeart/2005/8/layout/lProcess3" loCatId="process" qsTypeId="urn:microsoft.com/office/officeart/2005/8/quickstyle/simple1" qsCatId="simple" csTypeId="urn:microsoft.com/office/officeart/2005/8/colors/accent1_2" csCatId="accent1" phldr="1"/>
      <dgm:spPr/>
      <dgm:t>
        <a:bodyPr/>
        <a:lstStyle/>
        <a:p>
          <a:endParaRPr lang="cs-CZ"/>
        </a:p>
      </dgm:t>
    </dgm:pt>
    <dgm:pt modelId="{A026A503-5385-48CD-9960-7890BC01BF17}">
      <dgm:prSet phldrT="[Text]" custT="1"/>
      <dgm:spPr>
        <a:xfrm>
          <a:off x="39171" y="514"/>
          <a:ext cx="1001083" cy="400433"/>
        </a:xfrm>
        <a:prstGeom prst="chevron">
          <a:avLst/>
        </a:prstGeom>
      </dgm:spPr>
      <dgm:t>
        <a:bodyPr/>
        <a:lstStyle/>
        <a:p>
          <a:r>
            <a:rPr lang="cs-CZ" sz="1050" b="1">
              <a:latin typeface="Calibri" panose="020F0502020204030204"/>
              <a:ea typeface="+mn-ea"/>
              <a:cs typeface="+mn-cs"/>
            </a:rPr>
            <a:t>Rok</a:t>
          </a:r>
        </a:p>
      </dgm:t>
    </dgm:pt>
    <dgm:pt modelId="{0CACBDA1-35FC-4014-986E-1E38A531BB1B}" type="parTrans" cxnId="{310D0001-5C72-4109-8616-4A75DBE70CB6}">
      <dgm:prSet/>
      <dgm:spPr/>
      <dgm:t>
        <a:bodyPr/>
        <a:lstStyle/>
        <a:p>
          <a:endParaRPr lang="cs-CZ"/>
        </a:p>
      </dgm:t>
    </dgm:pt>
    <dgm:pt modelId="{C1D54371-DD1A-4DF8-B817-3EBA22BA4E2D}" type="sibTrans" cxnId="{310D0001-5C72-4109-8616-4A75DBE70CB6}">
      <dgm:prSet/>
      <dgm:spPr/>
      <dgm:t>
        <a:bodyPr/>
        <a:lstStyle/>
        <a:p>
          <a:endParaRPr lang="cs-CZ"/>
        </a:p>
      </dgm:t>
    </dgm:pt>
    <dgm:pt modelId="{81B96AF2-AF7C-4C6D-BF8F-26DA405E6181}">
      <dgm:prSet phldrT="[Text]" custT="1"/>
      <dgm:spPr>
        <a:xfrm>
          <a:off x="3768406" y="34551"/>
          <a:ext cx="830898" cy="332359"/>
        </a:xfrm>
        <a:prstGeom prst="chevron">
          <a:avLst/>
        </a:prstGeom>
      </dgm:spPr>
      <dgm:t>
        <a:bodyPr/>
        <a:lstStyle/>
        <a:p>
          <a:r>
            <a:rPr lang="cs-CZ" sz="1000" b="1">
              <a:latin typeface="Calibri" panose="020F0502020204030204"/>
              <a:ea typeface="+mn-ea"/>
              <a:cs typeface="+mn-cs"/>
            </a:rPr>
            <a:t>2022</a:t>
          </a:r>
        </a:p>
      </dgm:t>
    </dgm:pt>
    <dgm:pt modelId="{AD82D527-DD6E-4E9A-B44B-54B079235F2C}" type="parTrans" cxnId="{9AAF8E5A-DC3B-4AFE-BF2B-0CA982D4A873}">
      <dgm:prSet/>
      <dgm:spPr/>
      <dgm:t>
        <a:bodyPr/>
        <a:lstStyle/>
        <a:p>
          <a:endParaRPr lang="cs-CZ"/>
        </a:p>
      </dgm:t>
    </dgm:pt>
    <dgm:pt modelId="{771A892D-6EB9-4285-9CFD-B5317C551BE9}" type="sibTrans" cxnId="{9AAF8E5A-DC3B-4AFE-BF2B-0CA982D4A873}">
      <dgm:prSet/>
      <dgm:spPr/>
      <dgm:t>
        <a:bodyPr/>
        <a:lstStyle/>
        <a:p>
          <a:endParaRPr lang="cs-CZ"/>
        </a:p>
      </dgm:t>
    </dgm:pt>
    <dgm:pt modelId="{66B9B487-B0DE-49D5-B890-8F4F7B485182}">
      <dgm:prSet phldrT="[Text]" custT="1"/>
      <dgm:spPr>
        <a:xfrm>
          <a:off x="4482979" y="34551"/>
          <a:ext cx="830898" cy="332359"/>
        </a:xfrm>
        <a:prstGeom prst="chevron">
          <a:avLst/>
        </a:prstGeom>
      </dgm:spPr>
      <dgm:t>
        <a:bodyPr/>
        <a:lstStyle/>
        <a:p>
          <a:r>
            <a:rPr lang="cs-CZ" sz="1000" b="1">
              <a:latin typeface="Calibri" panose="020F0502020204030204"/>
              <a:ea typeface="+mn-ea"/>
              <a:cs typeface="+mn-cs"/>
            </a:rPr>
            <a:t>2023</a:t>
          </a:r>
        </a:p>
      </dgm:t>
    </dgm:pt>
    <dgm:pt modelId="{7FA1863C-6AE1-48F3-8E6A-CFD3A81B8D40}" type="parTrans" cxnId="{F8BA8E3A-2853-464E-89AE-903440A0A8AA}">
      <dgm:prSet/>
      <dgm:spPr/>
      <dgm:t>
        <a:bodyPr/>
        <a:lstStyle/>
        <a:p>
          <a:endParaRPr lang="cs-CZ"/>
        </a:p>
      </dgm:t>
    </dgm:pt>
    <dgm:pt modelId="{58E13964-C168-4927-B940-CFEC71CDC639}" type="sibTrans" cxnId="{F8BA8E3A-2853-464E-89AE-903440A0A8AA}">
      <dgm:prSet/>
      <dgm:spPr/>
      <dgm:t>
        <a:bodyPr/>
        <a:lstStyle/>
        <a:p>
          <a:endParaRPr lang="cs-CZ"/>
        </a:p>
      </dgm:t>
    </dgm:pt>
    <dgm:pt modelId="{60CC8BA2-67B8-4B5C-8F83-24E2D147DDF5}">
      <dgm:prSet phldrT="[Text]" custT="1"/>
      <dgm:spPr>
        <a:xfrm>
          <a:off x="39171" y="457008"/>
          <a:ext cx="1001083" cy="400433"/>
        </a:xfrm>
        <a:prstGeom prst="chevron">
          <a:avLst/>
        </a:prstGeom>
      </dgm:spPr>
      <dgm:t>
        <a:bodyPr/>
        <a:lstStyle/>
        <a:p>
          <a:r>
            <a:rPr lang="cs-CZ" sz="1050" b="1">
              <a:latin typeface="Calibri" panose="020F0502020204030204"/>
              <a:ea typeface="+mn-ea"/>
              <a:cs typeface="+mn-cs"/>
            </a:rPr>
            <a:t>Smlouva                           č. S-288-330/2019</a:t>
          </a:r>
        </a:p>
      </dgm:t>
    </dgm:pt>
    <dgm:pt modelId="{4FE4AC6E-25B0-4A31-96B2-951F4F04BB2A}" type="parTrans" cxnId="{788DEECD-195F-4334-A6DB-A5C1CE128989}">
      <dgm:prSet/>
      <dgm:spPr/>
      <dgm:t>
        <a:bodyPr/>
        <a:lstStyle/>
        <a:p>
          <a:endParaRPr lang="cs-CZ"/>
        </a:p>
      </dgm:t>
    </dgm:pt>
    <dgm:pt modelId="{0F9CA53D-4714-4BD6-93B0-1F7225E044B8}" type="sibTrans" cxnId="{788DEECD-195F-4334-A6DB-A5C1CE128989}">
      <dgm:prSet/>
      <dgm:spPr/>
      <dgm:t>
        <a:bodyPr/>
        <a:lstStyle/>
        <a:p>
          <a:endParaRPr lang="cs-CZ"/>
        </a:p>
      </dgm:t>
    </dgm:pt>
    <dgm:pt modelId="{C00F4E8D-2D97-4332-8A25-D515248152D2}">
      <dgm:prSet phldrT="[Text]" custT="1"/>
      <dgm:spPr>
        <a:xfrm>
          <a:off x="3768406" y="491045"/>
          <a:ext cx="830898" cy="332359"/>
        </a:xfrm>
        <a:prstGeom prst="chevron">
          <a:avLst/>
        </a:prstGeom>
      </dgm:spPr>
      <dgm:t>
        <a:bodyPr/>
        <a:lstStyle/>
        <a:p>
          <a:r>
            <a:rPr lang="cs-CZ" sz="1000">
              <a:latin typeface="Calibri" panose="020F0502020204030204"/>
              <a:ea typeface="+mn-ea"/>
              <a:cs typeface="+mn-cs"/>
            </a:rPr>
            <a:t>72 884</a:t>
          </a:r>
        </a:p>
      </dgm:t>
    </dgm:pt>
    <dgm:pt modelId="{8CE3F335-ECDE-4FE1-95C9-782C64482161}" type="parTrans" cxnId="{50C4D418-E3EE-43BA-8DBE-EA09E0166175}">
      <dgm:prSet/>
      <dgm:spPr/>
      <dgm:t>
        <a:bodyPr/>
        <a:lstStyle/>
        <a:p>
          <a:endParaRPr lang="cs-CZ"/>
        </a:p>
      </dgm:t>
    </dgm:pt>
    <dgm:pt modelId="{C3D59508-ADB3-4433-BEA0-51BEB0A8B6D4}" type="sibTrans" cxnId="{50C4D418-E3EE-43BA-8DBE-EA09E0166175}">
      <dgm:prSet/>
      <dgm:spPr/>
      <dgm:t>
        <a:bodyPr/>
        <a:lstStyle/>
        <a:p>
          <a:endParaRPr lang="cs-CZ"/>
        </a:p>
      </dgm:t>
    </dgm:pt>
    <dgm:pt modelId="{CAF6F21B-3906-41F8-B2AB-B7FFFE3FD598}">
      <dgm:prSet phldrT="[Text]" custT="1"/>
      <dgm:spPr>
        <a:xfrm>
          <a:off x="4482979" y="491045"/>
          <a:ext cx="830898" cy="332359"/>
        </a:xfrm>
        <a:prstGeom prst="chevron">
          <a:avLst/>
        </a:prstGeom>
      </dgm:spPr>
      <dgm:t>
        <a:bodyPr/>
        <a:lstStyle/>
        <a:p>
          <a:r>
            <a:rPr lang="cs-CZ" sz="1000">
              <a:latin typeface="Calibri" panose="020F0502020204030204"/>
              <a:ea typeface="+mn-ea"/>
              <a:cs typeface="+mn-cs"/>
            </a:rPr>
            <a:t>71 564</a:t>
          </a:r>
        </a:p>
      </dgm:t>
    </dgm:pt>
    <dgm:pt modelId="{209BC680-4E03-4850-8AA8-C4A94E922D15}" type="parTrans" cxnId="{59B2BD99-0B9A-41B0-84CA-C90F5FF949FB}">
      <dgm:prSet/>
      <dgm:spPr/>
      <dgm:t>
        <a:bodyPr/>
        <a:lstStyle/>
        <a:p>
          <a:endParaRPr lang="cs-CZ"/>
        </a:p>
      </dgm:t>
    </dgm:pt>
    <dgm:pt modelId="{530A1608-B48A-4847-B17E-FBE47F647A54}" type="sibTrans" cxnId="{59B2BD99-0B9A-41B0-84CA-C90F5FF949FB}">
      <dgm:prSet/>
      <dgm:spPr/>
      <dgm:t>
        <a:bodyPr/>
        <a:lstStyle/>
        <a:p>
          <a:endParaRPr lang="cs-CZ"/>
        </a:p>
      </dgm:t>
    </dgm:pt>
    <dgm:pt modelId="{F3DB0DA9-CF9F-48FB-8A4E-B16B996859CC}">
      <dgm:prSet custT="1"/>
      <dgm:spPr>
        <a:xfrm>
          <a:off x="3053833" y="491045"/>
          <a:ext cx="830898" cy="332359"/>
        </a:xfrm>
        <a:prstGeom prst="chevron">
          <a:avLst/>
        </a:prstGeom>
      </dgm:spPr>
      <dgm:t>
        <a:bodyPr/>
        <a:lstStyle/>
        <a:p>
          <a:r>
            <a:rPr lang="cs-CZ" sz="1000">
              <a:latin typeface="Calibri" panose="020F0502020204030204"/>
              <a:ea typeface="+mn-ea"/>
              <a:cs typeface="+mn-cs"/>
            </a:rPr>
            <a:t>13 236</a:t>
          </a:r>
        </a:p>
      </dgm:t>
    </dgm:pt>
    <dgm:pt modelId="{0854CE45-7FC6-4E77-9DA9-9913B3056DE0}" type="parTrans" cxnId="{12DF8CA0-2202-48D3-BFED-52239A8BF490}">
      <dgm:prSet/>
      <dgm:spPr/>
      <dgm:t>
        <a:bodyPr/>
        <a:lstStyle/>
        <a:p>
          <a:endParaRPr lang="cs-CZ"/>
        </a:p>
      </dgm:t>
    </dgm:pt>
    <dgm:pt modelId="{21C7D472-EB8A-4E6A-A2D7-6612009717C0}" type="sibTrans" cxnId="{12DF8CA0-2202-48D3-BFED-52239A8BF490}">
      <dgm:prSet/>
      <dgm:spPr/>
      <dgm:t>
        <a:bodyPr/>
        <a:lstStyle/>
        <a:p>
          <a:endParaRPr lang="cs-CZ"/>
        </a:p>
      </dgm:t>
    </dgm:pt>
    <dgm:pt modelId="{8745A055-D09D-4C9C-BC6F-FA2A4CB4E11F}">
      <dgm:prSet custT="1"/>
      <dgm:spPr>
        <a:xfrm>
          <a:off x="1624687" y="491045"/>
          <a:ext cx="830898" cy="332359"/>
        </a:xfrm>
        <a:prstGeom prst="chevron">
          <a:avLst/>
        </a:prstGeom>
      </dgm:spPr>
      <dgm:t>
        <a:bodyPr/>
        <a:lstStyle/>
        <a:p>
          <a:r>
            <a:rPr lang="cs-CZ" sz="1000">
              <a:latin typeface="Calibri" panose="020F0502020204030204"/>
              <a:ea typeface="+mn-ea"/>
              <a:cs typeface="+mn-cs"/>
            </a:rPr>
            <a:t>0</a:t>
          </a:r>
        </a:p>
      </dgm:t>
    </dgm:pt>
    <dgm:pt modelId="{987134DD-5B78-4BCA-9259-DE628B8E685E}" type="parTrans" cxnId="{BC879767-BDFA-421A-816B-382D123B8E33}">
      <dgm:prSet/>
      <dgm:spPr/>
      <dgm:t>
        <a:bodyPr/>
        <a:lstStyle/>
        <a:p>
          <a:endParaRPr lang="cs-CZ"/>
        </a:p>
      </dgm:t>
    </dgm:pt>
    <dgm:pt modelId="{E1A6CB3E-3E8F-47BA-95FF-025EA5275374}" type="sibTrans" cxnId="{BC879767-BDFA-421A-816B-382D123B8E33}">
      <dgm:prSet/>
      <dgm:spPr/>
      <dgm:t>
        <a:bodyPr/>
        <a:lstStyle/>
        <a:p>
          <a:endParaRPr lang="cs-CZ"/>
        </a:p>
      </dgm:t>
    </dgm:pt>
    <dgm:pt modelId="{B7ECE7B1-DE09-4B35-B3EF-F552934AFCE8}">
      <dgm:prSet custT="1"/>
      <dgm:spPr>
        <a:xfrm>
          <a:off x="3053833" y="34551"/>
          <a:ext cx="830898" cy="332359"/>
        </a:xfrm>
        <a:prstGeom prst="chevron">
          <a:avLst/>
        </a:prstGeom>
      </dgm:spPr>
      <dgm:t>
        <a:bodyPr/>
        <a:lstStyle/>
        <a:p>
          <a:r>
            <a:rPr lang="cs-CZ" sz="1000" b="1">
              <a:latin typeface="Calibri" panose="020F0502020204030204"/>
              <a:ea typeface="+mn-ea"/>
              <a:cs typeface="+mn-cs"/>
            </a:rPr>
            <a:t>2021</a:t>
          </a:r>
        </a:p>
      </dgm:t>
    </dgm:pt>
    <dgm:pt modelId="{A9C9CEC0-A762-4343-9FD1-C949E5188B85}" type="parTrans" cxnId="{81368935-D9C8-4FD2-94D9-578AF782F3C7}">
      <dgm:prSet/>
      <dgm:spPr/>
      <dgm:t>
        <a:bodyPr/>
        <a:lstStyle/>
        <a:p>
          <a:endParaRPr lang="cs-CZ"/>
        </a:p>
      </dgm:t>
    </dgm:pt>
    <dgm:pt modelId="{10B5F909-84D1-4EDB-9013-6CD0F76DFEA1}" type="sibTrans" cxnId="{81368935-D9C8-4FD2-94D9-578AF782F3C7}">
      <dgm:prSet/>
      <dgm:spPr/>
      <dgm:t>
        <a:bodyPr/>
        <a:lstStyle/>
        <a:p>
          <a:endParaRPr lang="cs-CZ"/>
        </a:p>
      </dgm:t>
    </dgm:pt>
    <dgm:pt modelId="{DAAA9872-243F-4FBA-A9B5-0C33C6FF9FED}">
      <dgm:prSet custT="1"/>
      <dgm:spPr>
        <a:xfrm>
          <a:off x="2339260" y="34551"/>
          <a:ext cx="830898" cy="332359"/>
        </a:xfrm>
        <a:prstGeom prst="chevron">
          <a:avLst/>
        </a:prstGeom>
      </dgm:spPr>
      <dgm:t>
        <a:bodyPr/>
        <a:lstStyle/>
        <a:p>
          <a:r>
            <a:rPr lang="cs-CZ" sz="1000" b="1">
              <a:latin typeface="Calibri" panose="020F0502020204030204"/>
              <a:ea typeface="+mn-ea"/>
              <a:cs typeface="+mn-cs"/>
            </a:rPr>
            <a:t>2020</a:t>
          </a:r>
        </a:p>
      </dgm:t>
    </dgm:pt>
    <dgm:pt modelId="{F0D51326-1AAF-45E5-855B-F61F14B3F1CE}" type="parTrans" cxnId="{C83A4FF6-2E5C-4D69-B5C6-FDBC626DDCCA}">
      <dgm:prSet/>
      <dgm:spPr/>
      <dgm:t>
        <a:bodyPr/>
        <a:lstStyle/>
        <a:p>
          <a:endParaRPr lang="cs-CZ"/>
        </a:p>
      </dgm:t>
    </dgm:pt>
    <dgm:pt modelId="{F3F31F2A-B146-4CF6-A0BA-EB5ADDDAC501}" type="sibTrans" cxnId="{C83A4FF6-2E5C-4D69-B5C6-FDBC626DDCCA}">
      <dgm:prSet/>
      <dgm:spPr/>
      <dgm:t>
        <a:bodyPr/>
        <a:lstStyle/>
        <a:p>
          <a:endParaRPr lang="cs-CZ"/>
        </a:p>
      </dgm:t>
    </dgm:pt>
    <dgm:pt modelId="{B62A07CB-3EFA-46D4-B983-264441964367}">
      <dgm:prSet custT="1"/>
      <dgm:spPr>
        <a:xfrm>
          <a:off x="1624687" y="34551"/>
          <a:ext cx="830898" cy="332359"/>
        </a:xfrm>
        <a:prstGeom prst="chevron">
          <a:avLst/>
        </a:prstGeom>
      </dgm:spPr>
      <dgm:t>
        <a:bodyPr/>
        <a:lstStyle/>
        <a:p>
          <a:r>
            <a:rPr lang="cs-CZ" sz="1000" b="1">
              <a:latin typeface="Calibri" panose="020F0502020204030204"/>
              <a:ea typeface="+mn-ea"/>
              <a:cs typeface="+mn-cs"/>
            </a:rPr>
            <a:t>do r. 2019</a:t>
          </a:r>
        </a:p>
      </dgm:t>
    </dgm:pt>
    <dgm:pt modelId="{86BFB788-3F63-4576-8E20-CC6A3656E461}" type="sibTrans" cxnId="{7A54F410-46BF-4BC4-8EA6-774AA8D2CE63}">
      <dgm:prSet/>
      <dgm:spPr/>
      <dgm:t>
        <a:bodyPr/>
        <a:lstStyle/>
        <a:p>
          <a:endParaRPr lang="cs-CZ"/>
        </a:p>
      </dgm:t>
    </dgm:pt>
    <dgm:pt modelId="{DA6DDA27-2107-4270-A3BD-1C78B27962E5}" type="parTrans" cxnId="{7A54F410-46BF-4BC4-8EA6-774AA8D2CE63}">
      <dgm:prSet/>
      <dgm:spPr/>
      <dgm:t>
        <a:bodyPr/>
        <a:lstStyle/>
        <a:p>
          <a:endParaRPr lang="cs-CZ"/>
        </a:p>
      </dgm:t>
    </dgm:pt>
    <dgm:pt modelId="{9F6AD232-91D9-428D-A514-5855536CA218}">
      <dgm:prSet phldrT="[Text]" custT="1"/>
      <dgm:spPr>
        <a:xfrm>
          <a:off x="4482979" y="491045"/>
          <a:ext cx="830898" cy="332359"/>
        </a:xfrm>
      </dgm:spPr>
      <dgm:t>
        <a:bodyPr/>
        <a:lstStyle/>
        <a:p>
          <a:r>
            <a:rPr lang="cs-CZ" sz="1000">
              <a:latin typeface="Calibri" panose="020F0502020204030204"/>
              <a:ea typeface="+mn-ea"/>
              <a:cs typeface="+mn-cs"/>
            </a:rPr>
            <a:t>78 016</a:t>
          </a:r>
        </a:p>
      </dgm:t>
    </dgm:pt>
    <dgm:pt modelId="{013114EF-D384-4714-BC76-C270070218DD}" type="parTrans" cxnId="{45B48C2E-A748-49AE-A1F5-E9912740DF86}">
      <dgm:prSet/>
      <dgm:spPr/>
      <dgm:t>
        <a:bodyPr/>
        <a:lstStyle/>
        <a:p>
          <a:endParaRPr lang="cs-CZ"/>
        </a:p>
      </dgm:t>
    </dgm:pt>
    <dgm:pt modelId="{164E4465-D6F2-4D17-929F-6691DD360ED4}" type="sibTrans" cxnId="{45B48C2E-A748-49AE-A1F5-E9912740DF86}">
      <dgm:prSet/>
      <dgm:spPr/>
      <dgm:t>
        <a:bodyPr/>
        <a:lstStyle/>
        <a:p>
          <a:endParaRPr lang="cs-CZ"/>
        </a:p>
      </dgm:t>
    </dgm:pt>
    <dgm:pt modelId="{AABEC067-B163-4BF4-8A60-BD081BE42642}" type="pres">
      <dgm:prSet presAssocID="{E6F261A4-C73A-49D8-96F2-76C8A05FBA61}" presName="Name0" presStyleCnt="0">
        <dgm:presLayoutVars>
          <dgm:chPref val="3"/>
          <dgm:dir/>
          <dgm:animLvl val="lvl"/>
          <dgm:resizeHandles/>
        </dgm:presLayoutVars>
      </dgm:prSet>
      <dgm:spPr/>
    </dgm:pt>
    <dgm:pt modelId="{7AFA005C-24EB-425D-AA59-994D2BCA7851}" type="pres">
      <dgm:prSet presAssocID="{A026A503-5385-48CD-9960-7890BC01BF17}" presName="horFlow" presStyleCnt="0"/>
      <dgm:spPr/>
    </dgm:pt>
    <dgm:pt modelId="{8A9385DA-13DB-4725-92A6-A8A61AD2AF5B}" type="pres">
      <dgm:prSet presAssocID="{A026A503-5385-48CD-9960-7890BC01BF17}" presName="bigChev" presStyleLbl="node1" presStyleIdx="0" presStyleCnt="2" custScaleX="136224"/>
      <dgm:spPr/>
    </dgm:pt>
    <dgm:pt modelId="{16F8A479-D000-4689-AA45-88FB35BD20E7}" type="pres">
      <dgm:prSet presAssocID="{DA6DDA27-2107-4270-A3BD-1C78B27962E5}" presName="parTrans" presStyleCnt="0"/>
      <dgm:spPr/>
    </dgm:pt>
    <dgm:pt modelId="{9CF25B67-FA31-41AE-B4EF-CCD2718072B3}" type="pres">
      <dgm:prSet presAssocID="{B62A07CB-3EFA-46D4-B983-264441964367}" presName="node" presStyleLbl="alignAccFollowNode1" presStyleIdx="0" presStyleCnt="10">
        <dgm:presLayoutVars>
          <dgm:bulletEnabled val="1"/>
        </dgm:presLayoutVars>
      </dgm:prSet>
      <dgm:spPr/>
    </dgm:pt>
    <dgm:pt modelId="{CF2A569A-A5DD-47B4-A8A4-2F55658E3B6D}" type="pres">
      <dgm:prSet presAssocID="{86BFB788-3F63-4576-8E20-CC6A3656E461}" presName="sibTrans" presStyleCnt="0"/>
      <dgm:spPr/>
    </dgm:pt>
    <dgm:pt modelId="{ED3FB9E6-0BAA-4702-B8CA-920A66AFC02F}" type="pres">
      <dgm:prSet presAssocID="{DAAA9872-243F-4FBA-A9B5-0C33C6FF9FED}" presName="node" presStyleLbl="alignAccFollowNode1" presStyleIdx="1" presStyleCnt="10">
        <dgm:presLayoutVars>
          <dgm:bulletEnabled val="1"/>
        </dgm:presLayoutVars>
      </dgm:prSet>
      <dgm:spPr/>
    </dgm:pt>
    <dgm:pt modelId="{3121E4B7-F3A0-42BA-AD82-8FDFE22D4AC6}" type="pres">
      <dgm:prSet presAssocID="{F3F31F2A-B146-4CF6-A0BA-EB5ADDDAC501}" presName="sibTrans" presStyleCnt="0"/>
      <dgm:spPr/>
    </dgm:pt>
    <dgm:pt modelId="{9783D7DD-9297-4972-8B5A-E2BE8A6720CA}" type="pres">
      <dgm:prSet presAssocID="{B7ECE7B1-DE09-4B35-B3EF-F552934AFCE8}" presName="node" presStyleLbl="alignAccFollowNode1" presStyleIdx="2" presStyleCnt="10">
        <dgm:presLayoutVars>
          <dgm:bulletEnabled val="1"/>
        </dgm:presLayoutVars>
      </dgm:prSet>
      <dgm:spPr/>
    </dgm:pt>
    <dgm:pt modelId="{595C3FF3-1CE2-4857-857D-24F27C9A7A01}" type="pres">
      <dgm:prSet presAssocID="{10B5F909-84D1-4EDB-9013-6CD0F76DFEA1}" presName="sibTrans" presStyleCnt="0"/>
      <dgm:spPr/>
    </dgm:pt>
    <dgm:pt modelId="{1A805A11-34B2-4547-9AC3-D38054F91140}" type="pres">
      <dgm:prSet presAssocID="{81B96AF2-AF7C-4C6D-BF8F-26DA405E6181}" presName="node" presStyleLbl="alignAccFollowNode1" presStyleIdx="3" presStyleCnt="10">
        <dgm:presLayoutVars>
          <dgm:bulletEnabled val="1"/>
        </dgm:presLayoutVars>
      </dgm:prSet>
      <dgm:spPr/>
    </dgm:pt>
    <dgm:pt modelId="{170943A2-07FD-4ED6-B58F-4E78324785DA}" type="pres">
      <dgm:prSet presAssocID="{771A892D-6EB9-4285-9CFD-B5317C551BE9}" presName="sibTrans" presStyleCnt="0"/>
      <dgm:spPr/>
    </dgm:pt>
    <dgm:pt modelId="{E8FE0132-567C-48E3-8786-55757C8F10C4}" type="pres">
      <dgm:prSet presAssocID="{66B9B487-B0DE-49D5-B890-8F4F7B485182}" presName="node" presStyleLbl="alignAccFollowNode1" presStyleIdx="4" presStyleCnt="10">
        <dgm:presLayoutVars>
          <dgm:bulletEnabled val="1"/>
        </dgm:presLayoutVars>
      </dgm:prSet>
      <dgm:spPr/>
    </dgm:pt>
    <dgm:pt modelId="{89E10068-A7B9-4405-BC86-B1B157E77FF0}" type="pres">
      <dgm:prSet presAssocID="{A026A503-5385-48CD-9960-7890BC01BF17}" presName="vSp" presStyleCnt="0"/>
      <dgm:spPr/>
    </dgm:pt>
    <dgm:pt modelId="{46382AFD-95FC-4564-A1AD-95C56098B8F7}" type="pres">
      <dgm:prSet presAssocID="{60CC8BA2-67B8-4B5C-8F83-24E2D147DDF5}" presName="horFlow" presStyleCnt="0"/>
      <dgm:spPr/>
    </dgm:pt>
    <dgm:pt modelId="{0F96687B-3F36-4593-85F5-A95695665BDF}" type="pres">
      <dgm:prSet presAssocID="{60CC8BA2-67B8-4B5C-8F83-24E2D147DDF5}" presName="bigChev" presStyleLbl="node1" presStyleIdx="1" presStyleCnt="2" custScaleX="135605"/>
      <dgm:spPr/>
    </dgm:pt>
    <dgm:pt modelId="{61ACC0E5-6DB5-4C48-961E-4E73AFD0F72C}" type="pres">
      <dgm:prSet presAssocID="{987134DD-5B78-4BCA-9259-DE628B8E685E}" presName="parTrans" presStyleCnt="0"/>
      <dgm:spPr/>
    </dgm:pt>
    <dgm:pt modelId="{58F31D09-ADCD-4DC9-8221-D1D9CF855BAD}" type="pres">
      <dgm:prSet presAssocID="{8745A055-D09D-4C9C-BC6F-FA2A4CB4E11F}" presName="node" presStyleLbl="alignAccFollowNode1" presStyleIdx="5" presStyleCnt="10">
        <dgm:presLayoutVars>
          <dgm:bulletEnabled val="1"/>
        </dgm:presLayoutVars>
      </dgm:prSet>
      <dgm:spPr/>
    </dgm:pt>
    <dgm:pt modelId="{F926AF39-E7BE-4E11-9D22-C62449B0D6F5}" type="pres">
      <dgm:prSet presAssocID="{E1A6CB3E-3E8F-47BA-95FF-025EA5275374}" presName="sibTrans" presStyleCnt="0"/>
      <dgm:spPr/>
    </dgm:pt>
    <dgm:pt modelId="{1D04C8CC-6EFD-46D0-BB1C-70E60B93513A}" type="pres">
      <dgm:prSet presAssocID="{F3DB0DA9-CF9F-48FB-8A4E-B16B996859CC}" presName="node" presStyleLbl="alignAccFollowNode1" presStyleIdx="6" presStyleCnt="10">
        <dgm:presLayoutVars>
          <dgm:bulletEnabled val="1"/>
        </dgm:presLayoutVars>
      </dgm:prSet>
      <dgm:spPr/>
    </dgm:pt>
    <dgm:pt modelId="{ACF4825D-F322-47DC-8BCE-FA35DB4619D6}" type="pres">
      <dgm:prSet presAssocID="{21C7D472-EB8A-4E6A-A2D7-6612009717C0}" presName="sibTrans" presStyleCnt="0"/>
      <dgm:spPr/>
    </dgm:pt>
    <dgm:pt modelId="{13C9CD02-249A-42BA-89EA-061EDDC086D7}" type="pres">
      <dgm:prSet presAssocID="{C00F4E8D-2D97-4332-8A25-D515248152D2}" presName="node" presStyleLbl="alignAccFollowNode1" presStyleIdx="7" presStyleCnt="10">
        <dgm:presLayoutVars>
          <dgm:bulletEnabled val="1"/>
        </dgm:presLayoutVars>
      </dgm:prSet>
      <dgm:spPr/>
    </dgm:pt>
    <dgm:pt modelId="{412FD5E1-6105-4277-8502-29E6E714906A}" type="pres">
      <dgm:prSet presAssocID="{C3D59508-ADB3-4433-BEA0-51BEB0A8B6D4}" presName="sibTrans" presStyleCnt="0"/>
      <dgm:spPr/>
    </dgm:pt>
    <dgm:pt modelId="{10D62D9A-AAE0-458C-9095-B2BB7F451ACB}" type="pres">
      <dgm:prSet presAssocID="{CAF6F21B-3906-41F8-B2AB-B7FFFE3FD598}" presName="node" presStyleLbl="alignAccFollowNode1" presStyleIdx="8" presStyleCnt="10">
        <dgm:presLayoutVars>
          <dgm:bulletEnabled val="1"/>
        </dgm:presLayoutVars>
      </dgm:prSet>
      <dgm:spPr/>
    </dgm:pt>
    <dgm:pt modelId="{141A120D-6817-47B9-8610-717D1794A74A}" type="pres">
      <dgm:prSet presAssocID="{530A1608-B48A-4847-B17E-FBE47F647A54}" presName="sibTrans" presStyleCnt="0"/>
      <dgm:spPr/>
    </dgm:pt>
    <dgm:pt modelId="{3CEE6A7F-7896-4564-927F-AF7EEC6A4BD8}" type="pres">
      <dgm:prSet presAssocID="{9F6AD232-91D9-428D-A514-5855536CA218}" presName="node" presStyleLbl="alignAccFollowNode1" presStyleIdx="9" presStyleCnt="10">
        <dgm:presLayoutVars>
          <dgm:bulletEnabled val="1"/>
        </dgm:presLayoutVars>
      </dgm:prSet>
      <dgm:spPr>
        <a:prstGeom prst="chevron">
          <a:avLst/>
        </a:prstGeom>
      </dgm:spPr>
    </dgm:pt>
  </dgm:ptLst>
  <dgm:cxnLst>
    <dgm:cxn modelId="{310D0001-5C72-4109-8616-4A75DBE70CB6}" srcId="{E6F261A4-C73A-49D8-96F2-76C8A05FBA61}" destId="{A026A503-5385-48CD-9960-7890BC01BF17}" srcOrd="0" destOrd="0" parTransId="{0CACBDA1-35FC-4014-986E-1E38A531BB1B}" sibTransId="{C1D54371-DD1A-4DF8-B817-3EBA22BA4E2D}"/>
    <dgm:cxn modelId="{7A54F410-46BF-4BC4-8EA6-774AA8D2CE63}" srcId="{A026A503-5385-48CD-9960-7890BC01BF17}" destId="{B62A07CB-3EFA-46D4-B983-264441964367}" srcOrd="0" destOrd="0" parTransId="{DA6DDA27-2107-4270-A3BD-1C78B27962E5}" sibTransId="{86BFB788-3F63-4576-8E20-CC6A3656E461}"/>
    <dgm:cxn modelId="{50C4D418-E3EE-43BA-8DBE-EA09E0166175}" srcId="{60CC8BA2-67B8-4B5C-8F83-24E2D147DDF5}" destId="{C00F4E8D-2D97-4332-8A25-D515248152D2}" srcOrd="2" destOrd="0" parTransId="{8CE3F335-ECDE-4FE1-95C9-782C64482161}" sibTransId="{C3D59508-ADB3-4433-BEA0-51BEB0A8B6D4}"/>
    <dgm:cxn modelId="{47B6CD29-356F-43A1-99A4-931E915C2950}" type="presOf" srcId="{66B9B487-B0DE-49D5-B890-8F4F7B485182}" destId="{E8FE0132-567C-48E3-8786-55757C8F10C4}" srcOrd="0" destOrd="0" presId="urn:microsoft.com/office/officeart/2005/8/layout/lProcess3"/>
    <dgm:cxn modelId="{45B48C2E-A748-49AE-A1F5-E9912740DF86}" srcId="{60CC8BA2-67B8-4B5C-8F83-24E2D147DDF5}" destId="{9F6AD232-91D9-428D-A514-5855536CA218}" srcOrd="4" destOrd="0" parTransId="{013114EF-D384-4714-BC76-C270070218DD}" sibTransId="{164E4465-D6F2-4D17-929F-6691DD360ED4}"/>
    <dgm:cxn modelId="{81368935-D9C8-4FD2-94D9-578AF782F3C7}" srcId="{A026A503-5385-48CD-9960-7890BC01BF17}" destId="{B7ECE7B1-DE09-4B35-B3EF-F552934AFCE8}" srcOrd="2" destOrd="0" parTransId="{A9C9CEC0-A762-4343-9FD1-C949E5188B85}" sibTransId="{10B5F909-84D1-4EDB-9013-6CD0F76DFEA1}"/>
    <dgm:cxn modelId="{A8944B36-099E-467F-98E4-83062C67CC15}" type="presOf" srcId="{9F6AD232-91D9-428D-A514-5855536CA218}" destId="{3CEE6A7F-7896-4564-927F-AF7EEC6A4BD8}" srcOrd="0" destOrd="0" presId="urn:microsoft.com/office/officeart/2005/8/layout/lProcess3"/>
    <dgm:cxn modelId="{F8BA8E3A-2853-464E-89AE-903440A0A8AA}" srcId="{A026A503-5385-48CD-9960-7890BC01BF17}" destId="{66B9B487-B0DE-49D5-B890-8F4F7B485182}" srcOrd="4" destOrd="0" parTransId="{7FA1863C-6AE1-48F3-8E6A-CFD3A81B8D40}" sibTransId="{58E13964-C168-4927-B940-CFEC71CDC639}"/>
    <dgm:cxn modelId="{1A2E8044-16E1-4145-BAA1-CADB66924A72}" type="presOf" srcId="{81B96AF2-AF7C-4C6D-BF8F-26DA405E6181}" destId="{1A805A11-34B2-4547-9AC3-D38054F91140}" srcOrd="0" destOrd="0" presId="urn:microsoft.com/office/officeart/2005/8/layout/lProcess3"/>
    <dgm:cxn modelId="{BC879767-BDFA-421A-816B-382D123B8E33}" srcId="{60CC8BA2-67B8-4B5C-8F83-24E2D147DDF5}" destId="{8745A055-D09D-4C9C-BC6F-FA2A4CB4E11F}" srcOrd="0" destOrd="0" parTransId="{987134DD-5B78-4BCA-9259-DE628B8E685E}" sibTransId="{E1A6CB3E-3E8F-47BA-95FF-025EA5275374}"/>
    <dgm:cxn modelId="{9AAF8E5A-DC3B-4AFE-BF2B-0CA982D4A873}" srcId="{A026A503-5385-48CD-9960-7890BC01BF17}" destId="{81B96AF2-AF7C-4C6D-BF8F-26DA405E6181}" srcOrd="3" destOrd="0" parTransId="{AD82D527-DD6E-4E9A-B44B-54B079235F2C}" sibTransId="{771A892D-6EB9-4285-9CFD-B5317C551BE9}"/>
    <dgm:cxn modelId="{BFAF4589-5CDA-4B05-B36F-90DDF4CBC507}" type="presOf" srcId="{8745A055-D09D-4C9C-BC6F-FA2A4CB4E11F}" destId="{58F31D09-ADCD-4DC9-8221-D1D9CF855BAD}" srcOrd="0" destOrd="0" presId="urn:microsoft.com/office/officeart/2005/8/layout/lProcess3"/>
    <dgm:cxn modelId="{4C00BE8F-DAC6-4F91-8222-5B37300C1F66}" type="presOf" srcId="{E6F261A4-C73A-49D8-96F2-76C8A05FBA61}" destId="{AABEC067-B163-4BF4-8A60-BD081BE42642}" srcOrd="0" destOrd="0" presId="urn:microsoft.com/office/officeart/2005/8/layout/lProcess3"/>
    <dgm:cxn modelId="{59B2BD99-0B9A-41B0-84CA-C90F5FF949FB}" srcId="{60CC8BA2-67B8-4B5C-8F83-24E2D147DDF5}" destId="{CAF6F21B-3906-41F8-B2AB-B7FFFE3FD598}" srcOrd="3" destOrd="0" parTransId="{209BC680-4E03-4850-8AA8-C4A94E922D15}" sibTransId="{530A1608-B48A-4847-B17E-FBE47F647A54}"/>
    <dgm:cxn modelId="{12DF8CA0-2202-48D3-BFED-52239A8BF490}" srcId="{60CC8BA2-67B8-4B5C-8F83-24E2D147DDF5}" destId="{F3DB0DA9-CF9F-48FB-8A4E-B16B996859CC}" srcOrd="1" destOrd="0" parTransId="{0854CE45-7FC6-4E77-9DA9-9913B3056DE0}" sibTransId="{21C7D472-EB8A-4E6A-A2D7-6612009717C0}"/>
    <dgm:cxn modelId="{6CBD9FC5-EE34-424A-8B53-A6D7CAA1A7FA}" type="presOf" srcId="{60CC8BA2-67B8-4B5C-8F83-24E2D147DDF5}" destId="{0F96687B-3F36-4593-85F5-A95695665BDF}" srcOrd="0" destOrd="0" presId="urn:microsoft.com/office/officeart/2005/8/layout/lProcess3"/>
    <dgm:cxn modelId="{F72873CC-D49D-4BAA-806C-94402B475A7B}" type="presOf" srcId="{B62A07CB-3EFA-46D4-B983-264441964367}" destId="{9CF25B67-FA31-41AE-B4EF-CCD2718072B3}" srcOrd="0" destOrd="0" presId="urn:microsoft.com/office/officeart/2005/8/layout/lProcess3"/>
    <dgm:cxn modelId="{788DEECD-195F-4334-A6DB-A5C1CE128989}" srcId="{E6F261A4-C73A-49D8-96F2-76C8A05FBA61}" destId="{60CC8BA2-67B8-4B5C-8F83-24E2D147DDF5}" srcOrd="1" destOrd="0" parTransId="{4FE4AC6E-25B0-4A31-96B2-951F4F04BB2A}" sibTransId="{0F9CA53D-4714-4BD6-93B0-1F7225E044B8}"/>
    <dgm:cxn modelId="{EA46C2D8-4834-44EA-BC32-B28101858896}" type="presOf" srcId="{CAF6F21B-3906-41F8-B2AB-B7FFFE3FD598}" destId="{10D62D9A-AAE0-458C-9095-B2BB7F451ACB}" srcOrd="0" destOrd="0" presId="urn:microsoft.com/office/officeart/2005/8/layout/lProcess3"/>
    <dgm:cxn modelId="{35B5B3E2-0469-47E1-BC18-E95F00E592EE}" type="presOf" srcId="{B7ECE7B1-DE09-4B35-B3EF-F552934AFCE8}" destId="{9783D7DD-9297-4972-8B5A-E2BE8A6720CA}" srcOrd="0" destOrd="0" presId="urn:microsoft.com/office/officeart/2005/8/layout/lProcess3"/>
    <dgm:cxn modelId="{8C593FEA-5FB5-44C0-AA1C-8ED23471B914}" type="presOf" srcId="{C00F4E8D-2D97-4332-8A25-D515248152D2}" destId="{13C9CD02-249A-42BA-89EA-061EDDC086D7}" srcOrd="0" destOrd="0" presId="urn:microsoft.com/office/officeart/2005/8/layout/lProcess3"/>
    <dgm:cxn modelId="{4AA0DDEC-44D1-45D9-BA1A-224F295AEDAD}" type="presOf" srcId="{A026A503-5385-48CD-9960-7890BC01BF17}" destId="{8A9385DA-13DB-4725-92A6-A8A61AD2AF5B}" srcOrd="0" destOrd="0" presId="urn:microsoft.com/office/officeart/2005/8/layout/lProcess3"/>
    <dgm:cxn modelId="{C83A4FF6-2E5C-4D69-B5C6-FDBC626DDCCA}" srcId="{A026A503-5385-48CD-9960-7890BC01BF17}" destId="{DAAA9872-243F-4FBA-A9B5-0C33C6FF9FED}" srcOrd="1" destOrd="0" parTransId="{F0D51326-1AAF-45E5-855B-F61F14B3F1CE}" sibTransId="{F3F31F2A-B146-4CF6-A0BA-EB5ADDDAC501}"/>
    <dgm:cxn modelId="{E51ABDF6-B2B8-491B-B661-69256461DF7D}" type="presOf" srcId="{DAAA9872-243F-4FBA-A9B5-0C33C6FF9FED}" destId="{ED3FB9E6-0BAA-4702-B8CA-920A66AFC02F}" srcOrd="0" destOrd="0" presId="urn:microsoft.com/office/officeart/2005/8/layout/lProcess3"/>
    <dgm:cxn modelId="{9F384BFF-2582-42FB-AA89-C1DF4BFA2F8A}" type="presOf" srcId="{F3DB0DA9-CF9F-48FB-8A4E-B16B996859CC}" destId="{1D04C8CC-6EFD-46D0-BB1C-70E60B93513A}" srcOrd="0" destOrd="0" presId="urn:microsoft.com/office/officeart/2005/8/layout/lProcess3"/>
    <dgm:cxn modelId="{C141BC62-2654-4D86-8EED-8C6626509590}" type="presParOf" srcId="{AABEC067-B163-4BF4-8A60-BD081BE42642}" destId="{7AFA005C-24EB-425D-AA59-994D2BCA7851}" srcOrd="0" destOrd="0" presId="urn:microsoft.com/office/officeart/2005/8/layout/lProcess3"/>
    <dgm:cxn modelId="{AE19F1C9-7580-4FE6-838E-93C6912B4E84}" type="presParOf" srcId="{7AFA005C-24EB-425D-AA59-994D2BCA7851}" destId="{8A9385DA-13DB-4725-92A6-A8A61AD2AF5B}" srcOrd="0" destOrd="0" presId="urn:microsoft.com/office/officeart/2005/8/layout/lProcess3"/>
    <dgm:cxn modelId="{B389D454-ED53-415C-8C92-78346729BA71}" type="presParOf" srcId="{7AFA005C-24EB-425D-AA59-994D2BCA7851}" destId="{16F8A479-D000-4689-AA45-88FB35BD20E7}" srcOrd="1" destOrd="0" presId="urn:microsoft.com/office/officeart/2005/8/layout/lProcess3"/>
    <dgm:cxn modelId="{E2308CAE-70E6-43D3-8275-F70F4D1B821B}" type="presParOf" srcId="{7AFA005C-24EB-425D-AA59-994D2BCA7851}" destId="{9CF25B67-FA31-41AE-B4EF-CCD2718072B3}" srcOrd="2" destOrd="0" presId="urn:microsoft.com/office/officeart/2005/8/layout/lProcess3"/>
    <dgm:cxn modelId="{5C1B932C-235D-4F1A-9AE4-FBE0C0741DCC}" type="presParOf" srcId="{7AFA005C-24EB-425D-AA59-994D2BCA7851}" destId="{CF2A569A-A5DD-47B4-A8A4-2F55658E3B6D}" srcOrd="3" destOrd="0" presId="urn:microsoft.com/office/officeart/2005/8/layout/lProcess3"/>
    <dgm:cxn modelId="{5299EB9E-9611-4C80-9C7F-367781513D99}" type="presParOf" srcId="{7AFA005C-24EB-425D-AA59-994D2BCA7851}" destId="{ED3FB9E6-0BAA-4702-B8CA-920A66AFC02F}" srcOrd="4" destOrd="0" presId="urn:microsoft.com/office/officeart/2005/8/layout/lProcess3"/>
    <dgm:cxn modelId="{0EF39BA9-C529-41BC-BE86-013E7B281E2A}" type="presParOf" srcId="{7AFA005C-24EB-425D-AA59-994D2BCA7851}" destId="{3121E4B7-F3A0-42BA-AD82-8FDFE22D4AC6}" srcOrd="5" destOrd="0" presId="urn:microsoft.com/office/officeart/2005/8/layout/lProcess3"/>
    <dgm:cxn modelId="{817DB98E-76EC-43EC-A793-E225BB82EC22}" type="presParOf" srcId="{7AFA005C-24EB-425D-AA59-994D2BCA7851}" destId="{9783D7DD-9297-4972-8B5A-E2BE8A6720CA}" srcOrd="6" destOrd="0" presId="urn:microsoft.com/office/officeart/2005/8/layout/lProcess3"/>
    <dgm:cxn modelId="{75D27544-63C6-4DC2-A041-AA8A2E6ECBCE}" type="presParOf" srcId="{7AFA005C-24EB-425D-AA59-994D2BCA7851}" destId="{595C3FF3-1CE2-4857-857D-24F27C9A7A01}" srcOrd="7" destOrd="0" presId="urn:microsoft.com/office/officeart/2005/8/layout/lProcess3"/>
    <dgm:cxn modelId="{D24CC84D-6544-41E1-BD00-53D4E9FEA428}" type="presParOf" srcId="{7AFA005C-24EB-425D-AA59-994D2BCA7851}" destId="{1A805A11-34B2-4547-9AC3-D38054F91140}" srcOrd="8" destOrd="0" presId="urn:microsoft.com/office/officeart/2005/8/layout/lProcess3"/>
    <dgm:cxn modelId="{E11EDD92-E80E-4A97-B356-E8B1E0B92849}" type="presParOf" srcId="{7AFA005C-24EB-425D-AA59-994D2BCA7851}" destId="{170943A2-07FD-4ED6-B58F-4E78324785DA}" srcOrd="9" destOrd="0" presId="urn:microsoft.com/office/officeart/2005/8/layout/lProcess3"/>
    <dgm:cxn modelId="{6B8782E3-72D3-4D4A-B59B-56F04F4C3BBE}" type="presParOf" srcId="{7AFA005C-24EB-425D-AA59-994D2BCA7851}" destId="{E8FE0132-567C-48E3-8786-55757C8F10C4}" srcOrd="10" destOrd="0" presId="urn:microsoft.com/office/officeart/2005/8/layout/lProcess3"/>
    <dgm:cxn modelId="{900C3715-6E4D-469D-873E-8227668464E4}" type="presParOf" srcId="{AABEC067-B163-4BF4-8A60-BD081BE42642}" destId="{89E10068-A7B9-4405-BC86-B1B157E77FF0}" srcOrd="1" destOrd="0" presId="urn:microsoft.com/office/officeart/2005/8/layout/lProcess3"/>
    <dgm:cxn modelId="{13F6FF2E-92E7-484A-9C6A-8B7059FCC8A6}" type="presParOf" srcId="{AABEC067-B163-4BF4-8A60-BD081BE42642}" destId="{46382AFD-95FC-4564-A1AD-95C56098B8F7}" srcOrd="2" destOrd="0" presId="urn:microsoft.com/office/officeart/2005/8/layout/lProcess3"/>
    <dgm:cxn modelId="{AFAEDE09-8666-4FA0-BDA4-AE482871263F}" type="presParOf" srcId="{46382AFD-95FC-4564-A1AD-95C56098B8F7}" destId="{0F96687B-3F36-4593-85F5-A95695665BDF}" srcOrd="0" destOrd="0" presId="urn:microsoft.com/office/officeart/2005/8/layout/lProcess3"/>
    <dgm:cxn modelId="{F1D6ECB5-FEF8-4992-A0B9-22F11A924EEC}" type="presParOf" srcId="{46382AFD-95FC-4564-A1AD-95C56098B8F7}" destId="{61ACC0E5-6DB5-4C48-961E-4E73AFD0F72C}" srcOrd="1" destOrd="0" presId="urn:microsoft.com/office/officeart/2005/8/layout/lProcess3"/>
    <dgm:cxn modelId="{057BC54A-0FEE-4424-895F-E36957DC6163}" type="presParOf" srcId="{46382AFD-95FC-4564-A1AD-95C56098B8F7}" destId="{58F31D09-ADCD-4DC9-8221-D1D9CF855BAD}" srcOrd="2" destOrd="0" presId="urn:microsoft.com/office/officeart/2005/8/layout/lProcess3"/>
    <dgm:cxn modelId="{0782C071-60FB-4447-91C9-27630AD1C5CA}" type="presParOf" srcId="{46382AFD-95FC-4564-A1AD-95C56098B8F7}" destId="{F926AF39-E7BE-4E11-9D22-C62449B0D6F5}" srcOrd="3" destOrd="0" presId="urn:microsoft.com/office/officeart/2005/8/layout/lProcess3"/>
    <dgm:cxn modelId="{12E0D335-A7F9-4071-A638-35E7FC2D0473}" type="presParOf" srcId="{46382AFD-95FC-4564-A1AD-95C56098B8F7}" destId="{1D04C8CC-6EFD-46D0-BB1C-70E60B93513A}" srcOrd="4" destOrd="0" presId="urn:microsoft.com/office/officeart/2005/8/layout/lProcess3"/>
    <dgm:cxn modelId="{65D41940-96AE-4BB8-8400-1448CC4346E4}" type="presParOf" srcId="{46382AFD-95FC-4564-A1AD-95C56098B8F7}" destId="{ACF4825D-F322-47DC-8BCE-FA35DB4619D6}" srcOrd="5" destOrd="0" presId="urn:microsoft.com/office/officeart/2005/8/layout/lProcess3"/>
    <dgm:cxn modelId="{FE60B3C6-AADC-4DA9-B0A5-9F1EBF1B9B06}" type="presParOf" srcId="{46382AFD-95FC-4564-A1AD-95C56098B8F7}" destId="{13C9CD02-249A-42BA-89EA-061EDDC086D7}" srcOrd="6" destOrd="0" presId="urn:microsoft.com/office/officeart/2005/8/layout/lProcess3"/>
    <dgm:cxn modelId="{F48B0157-5ACA-40C7-B996-536DB78C2FEA}" type="presParOf" srcId="{46382AFD-95FC-4564-A1AD-95C56098B8F7}" destId="{412FD5E1-6105-4277-8502-29E6E714906A}" srcOrd="7" destOrd="0" presId="urn:microsoft.com/office/officeart/2005/8/layout/lProcess3"/>
    <dgm:cxn modelId="{45DA59A1-0878-4066-8783-79CD9368F04F}" type="presParOf" srcId="{46382AFD-95FC-4564-A1AD-95C56098B8F7}" destId="{10D62D9A-AAE0-458C-9095-B2BB7F451ACB}" srcOrd="8" destOrd="0" presId="urn:microsoft.com/office/officeart/2005/8/layout/lProcess3"/>
    <dgm:cxn modelId="{98C9A3BA-4447-4873-A708-4D9671130C8C}" type="presParOf" srcId="{46382AFD-95FC-4564-A1AD-95C56098B8F7}" destId="{141A120D-6817-47B9-8610-717D1794A74A}" srcOrd="9" destOrd="0" presId="urn:microsoft.com/office/officeart/2005/8/layout/lProcess3"/>
    <dgm:cxn modelId="{2F8A2DF8-1AF6-45B5-B27C-E09561EF653D}" type="presParOf" srcId="{46382AFD-95FC-4564-A1AD-95C56098B8F7}" destId="{3CEE6A7F-7896-4564-927F-AF7EEC6A4BD8}" srcOrd="10" destOrd="0" presId="urn:microsoft.com/office/officeart/2005/8/layout/lProcess3"/>
  </dgm:cxnLst>
  <dgm:bg/>
  <dgm:whole/>
  <dgm:extLst>
    <a:ext uri="http://schemas.microsoft.com/office/drawing/2008/diagram">
      <dsp:dataModelExt xmlns:dsp="http://schemas.microsoft.com/office/drawing/2008/diagram" relId="rId1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15266" y="665"/>
          <a:ext cx="1517733" cy="400341"/>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Rok</a:t>
          </a:r>
        </a:p>
      </dsp:txBody>
      <dsp:txXfrm>
        <a:off x="515437" y="665"/>
        <a:ext cx="1117392" cy="400341"/>
      </dsp:txXfrm>
    </dsp:sp>
    <dsp:sp modelId="{9CF25B67-FA31-41AE-B4EF-CCD2718072B3}">
      <dsp:nvSpPr>
        <dsp:cNvPr id="0" name=""/>
        <dsp:cNvSpPr/>
      </dsp:nvSpPr>
      <dsp:spPr>
        <a:xfrm>
          <a:off x="1702888" y="34694"/>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2019</a:t>
          </a:r>
        </a:p>
      </dsp:txBody>
      <dsp:txXfrm>
        <a:off x="1869030" y="34694"/>
        <a:ext cx="498424" cy="332283"/>
      </dsp:txXfrm>
    </dsp:sp>
    <dsp:sp modelId="{ED3FB9E6-0BAA-4702-B8CA-920A66AFC02F}">
      <dsp:nvSpPr>
        <dsp:cNvPr id="0" name=""/>
        <dsp:cNvSpPr/>
      </dsp:nvSpPr>
      <dsp:spPr>
        <a:xfrm>
          <a:off x="2417297" y="34694"/>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2020</a:t>
          </a:r>
        </a:p>
      </dsp:txBody>
      <dsp:txXfrm>
        <a:off x="2583439" y="34694"/>
        <a:ext cx="498424" cy="332283"/>
      </dsp:txXfrm>
    </dsp:sp>
    <dsp:sp modelId="{9783D7DD-9297-4972-8B5A-E2BE8A6720CA}">
      <dsp:nvSpPr>
        <dsp:cNvPr id="0" name=""/>
        <dsp:cNvSpPr/>
      </dsp:nvSpPr>
      <dsp:spPr>
        <a:xfrm>
          <a:off x="3131705" y="34694"/>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2021</a:t>
          </a:r>
        </a:p>
      </dsp:txBody>
      <dsp:txXfrm>
        <a:off x="3297847" y="34694"/>
        <a:ext cx="498424" cy="332283"/>
      </dsp:txXfrm>
    </dsp:sp>
    <dsp:sp modelId="{1A805A11-34B2-4547-9AC3-D38054F91140}">
      <dsp:nvSpPr>
        <dsp:cNvPr id="0" name=""/>
        <dsp:cNvSpPr/>
      </dsp:nvSpPr>
      <dsp:spPr>
        <a:xfrm>
          <a:off x="3846114" y="34694"/>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2022</a:t>
          </a:r>
        </a:p>
      </dsp:txBody>
      <dsp:txXfrm>
        <a:off x="4012256" y="34694"/>
        <a:ext cx="498424" cy="332283"/>
      </dsp:txXfrm>
    </dsp:sp>
    <dsp:sp modelId="{E8FE0132-567C-48E3-8786-55757C8F10C4}">
      <dsp:nvSpPr>
        <dsp:cNvPr id="0" name=""/>
        <dsp:cNvSpPr/>
      </dsp:nvSpPr>
      <dsp:spPr>
        <a:xfrm>
          <a:off x="4560523" y="34694"/>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2023</a:t>
          </a:r>
        </a:p>
      </dsp:txBody>
      <dsp:txXfrm>
        <a:off x="4726665" y="34694"/>
        <a:ext cx="498424" cy="332283"/>
      </dsp:txXfrm>
    </dsp:sp>
    <dsp:sp modelId="{0F96687B-3F36-4593-85F5-A95695665BDF}">
      <dsp:nvSpPr>
        <dsp:cNvPr id="0" name=""/>
        <dsp:cNvSpPr/>
      </dsp:nvSpPr>
      <dsp:spPr>
        <a:xfrm>
          <a:off x="315266" y="457054"/>
          <a:ext cx="1520835" cy="400341"/>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Prostředky na platy</a:t>
          </a:r>
        </a:p>
      </dsp:txBody>
      <dsp:txXfrm>
        <a:off x="515437" y="457054"/>
        <a:ext cx="1120494" cy="400341"/>
      </dsp:txXfrm>
    </dsp:sp>
    <dsp:sp modelId="{58F31D09-ADCD-4DC9-8221-D1D9CF855BAD}">
      <dsp:nvSpPr>
        <dsp:cNvPr id="0" name=""/>
        <dsp:cNvSpPr/>
      </dsp:nvSpPr>
      <dsp:spPr>
        <a:xfrm>
          <a:off x="1705991" y="491083"/>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575 267</a:t>
          </a:r>
        </a:p>
      </dsp:txBody>
      <dsp:txXfrm>
        <a:off x="1872133" y="491083"/>
        <a:ext cx="498424" cy="332283"/>
      </dsp:txXfrm>
    </dsp:sp>
    <dsp:sp modelId="{1D04C8CC-6EFD-46D0-BB1C-70E60B93513A}">
      <dsp:nvSpPr>
        <dsp:cNvPr id="0" name=""/>
        <dsp:cNvSpPr/>
      </dsp:nvSpPr>
      <dsp:spPr>
        <a:xfrm>
          <a:off x="2420399" y="491083"/>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574 778</a:t>
          </a:r>
        </a:p>
      </dsp:txBody>
      <dsp:txXfrm>
        <a:off x="2586541" y="491083"/>
        <a:ext cx="498424" cy="332283"/>
      </dsp:txXfrm>
    </dsp:sp>
    <dsp:sp modelId="{13C9CD02-249A-42BA-89EA-061EDDC086D7}">
      <dsp:nvSpPr>
        <dsp:cNvPr id="0" name=""/>
        <dsp:cNvSpPr/>
      </dsp:nvSpPr>
      <dsp:spPr>
        <a:xfrm>
          <a:off x="3134808" y="491083"/>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572 924</a:t>
          </a:r>
        </a:p>
      </dsp:txBody>
      <dsp:txXfrm>
        <a:off x="3300950" y="491083"/>
        <a:ext cx="498424" cy="332283"/>
      </dsp:txXfrm>
    </dsp:sp>
    <dsp:sp modelId="{10D62D9A-AAE0-458C-9095-B2BB7F451ACB}">
      <dsp:nvSpPr>
        <dsp:cNvPr id="0" name=""/>
        <dsp:cNvSpPr/>
      </dsp:nvSpPr>
      <dsp:spPr>
        <a:xfrm>
          <a:off x="3849217" y="491083"/>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594 583</a:t>
          </a:r>
        </a:p>
      </dsp:txBody>
      <dsp:txXfrm>
        <a:off x="4015359" y="491083"/>
        <a:ext cx="498424" cy="332283"/>
      </dsp:txXfrm>
    </dsp:sp>
    <dsp:sp modelId="{3CEE6A7F-7896-4564-927F-AF7EEC6A4BD8}">
      <dsp:nvSpPr>
        <dsp:cNvPr id="0" name=""/>
        <dsp:cNvSpPr/>
      </dsp:nvSpPr>
      <dsp:spPr>
        <a:xfrm>
          <a:off x="4563625" y="491083"/>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610 655</a:t>
          </a:r>
        </a:p>
      </dsp:txBody>
      <dsp:txXfrm>
        <a:off x="4729767" y="491083"/>
        <a:ext cx="498424" cy="332283"/>
      </dsp:txXfrm>
    </dsp:sp>
    <dsp:sp modelId="{F97D4733-33FE-440A-9F4A-E88411DCDC07}">
      <dsp:nvSpPr>
        <dsp:cNvPr id="0" name=""/>
        <dsp:cNvSpPr/>
      </dsp:nvSpPr>
      <dsp:spPr>
        <a:xfrm>
          <a:off x="315266" y="913443"/>
          <a:ext cx="1506433" cy="400341"/>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Ostatní platby za provedenou práci</a:t>
          </a:r>
        </a:p>
      </dsp:txBody>
      <dsp:txXfrm>
        <a:off x="515437" y="913443"/>
        <a:ext cx="1106092" cy="400341"/>
      </dsp:txXfrm>
    </dsp:sp>
    <dsp:sp modelId="{8F0EEA60-B1DB-420F-91B7-F24A16C0E9F6}">
      <dsp:nvSpPr>
        <dsp:cNvPr id="0" name=""/>
        <dsp:cNvSpPr/>
      </dsp:nvSpPr>
      <dsp:spPr>
        <a:xfrm>
          <a:off x="1691588" y="947472"/>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12 288</a:t>
          </a:r>
        </a:p>
      </dsp:txBody>
      <dsp:txXfrm>
        <a:off x="1857730" y="947472"/>
        <a:ext cx="498424" cy="332283"/>
      </dsp:txXfrm>
    </dsp:sp>
    <dsp:sp modelId="{364DD1D5-65B5-427D-8048-69F9B123D620}">
      <dsp:nvSpPr>
        <dsp:cNvPr id="0" name=""/>
        <dsp:cNvSpPr/>
      </dsp:nvSpPr>
      <dsp:spPr>
        <a:xfrm>
          <a:off x="2405997" y="947472"/>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13 116</a:t>
          </a:r>
        </a:p>
      </dsp:txBody>
      <dsp:txXfrm>
        <a:off x="2572139" y="947472"/>
        <a:ext cx="498424" cy="332283"/>
      </dsp:txXfrm>
    </dsp:sp>
    <dsp:sp modelId="{7249E8C8-FABD-4CA5-BBFA-E45908887436}">
      <dsp:nvSpPr>
        <dsp:cNvPr id="0" name=""/>
        <dsp:cNvSpPr/>
      </dsp:nvSpPr>
      <dsp:spPr>
        <a:xfrm>
          <a:off x="3120406" y="947472"/>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16 304</a:t>
          </a:r>
        </a:p>
      </dsp:txBody>
      <dsp:txXfrm>
        <a:off x="3286548" y="947472"/>
        <a:ext cx="498424" cy="332283"/>
      </dsp:txXfrm>
    </dsp:sp>
    <dsp:sp modelId="{1F7E2D3B-1C75-4E88-87A3-5E98A54B5AC6}">
      <dsp:nvSpPr>
        <dsp:cNvPr id="0" name=""/>
        <dsp:cNvSpPr/>
      </dsp:nvSpPr>
      <dsp:spPr>
        <a:xfrm>
          <a:off x="3834814" y="947472"/>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10 476</a:t>
          </a:r>
        </a:p>
      </dsp:txBody>
      <dsp:txXfrm>
        <a:off x="4000956" y="947472"/>
        <a:ext cx="498424" cy="332283"/>
      </dsp:txXfrm>
    </dsp:sp>
    <dsp:sp modelId="{2BB8A638-90F3-4041-95E0-6576F32D89E3}">
      <dsp:nvSpPr>
        <dsp:cNvPr id="0" name=""/>
        <dsp:cNvSpPr/>
      </dsp:nvSpPr>
      <dsp:spPr>
        <a:xfrm>
          <a:off x="4549223" y="947472"/>
          <a:ext cx="830707" cy="332283"/>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10 332</a:t>
          </a:r>
        </a:p>
      </dsp:txBody>
      <dsp:txXfrm>
        <a:off x="4715365" y="947472"/>
        <a:ext cx="498424" cy="33228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477" y="175761"/>
          <a:ext cx="1705864" cy="449965"/>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Rok</a:t>
          </a:r>
        </a:p>
      </dsp:txBody>
      <dsp:txXfrm>
        <a:off x="225460" y="175761"/>
        <a:ext cx="1255899" cy="449965"/>
      </dsp:txXfrm>
    </dsp:sp>
    <dsp:sp modelId="{9CF25B67-FA31-41AE-B4EF-CCD2718072B3}">
      <dsp:nvSpPr>
        <dsp:cNvPr id="0" name=""/>
        <dsp:cNvSpPr/>
      </dsp:nvSpPr>
      <dsp:spPr>
        <a:xfrm>
          <a:off x="1560102" y="214008"/>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2019</a:t>
          </a:r>
        </a:p>
      </dsp:txBody>
      <dsp:txXfrm>
        <a:off x="1746838" y="214008"/>
        <a:ext cx="560207" cy="373471"/>
      </dsp:txXfrm>
    </dsp:sp>
    <dsp:sp modelId="{ED3FB9E6-0BAA-4702-B8CA-920A66AFC02F}">
      <dsp:nvSpPr>
        <dsp:cNvPr id="0" name=""/>
        <dsp:cNvSpPr/>
      </dsp:nvSpPr>
      <dsp:spPr>
        <a:xfrm>
          <a:off x="2363066" y="214008"/>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2020</a:t>
          </a:r>
        </a:p>
      </dsp:txBody>
      <dsp:txXfrm>
        <a:off x="2549802" y="214008"/>
        <a:ext cx="560207" cy="373471"/>
      </dsp:txXfrm>
    </dsp:sp>
    <dsp:sp modelId="{9783D7DD-9297-4972-8B5A-E2BE8A6720CA}">
      <dsp:nvSpPr>
        <dsp:cNvPr id="0" name=""/>
        <dsp:cNvSpPr/>
      </dsp:nvSpPr>
      <dsp:spPr>
        <a:xfrm>
          <a:off x="3166029" y="214008"/>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2021</a:t>
          </a:r>
        </a:p>
      </dsp:txBody>
      <dsp:txXfrm>
        <a:off x="3352765" y="214008"/>
        <a:ext cx="560207" cy="373471"/>
      </dsp:txXfrm>
    </dsp:sp>
    <dsp:sp modelId="{1A805A11-34B2-4547-9AC3-D38054F91140}">
      <dsp:nvSpPr>
        <dsp:cNvPr id="0" name=""/>
        <dsp:cNvSpPr/>
      </dsp:nvSpPr>
      <dsp:spPr>
        <a:xfrm>
          <a:off x="3968993" y="214008"/>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2022</a:t>
          </a:r>
        </a:p>
      </dsp:txBody>
      <dsp:txXfrm>
        <a:off x="4155729" y="214008"/>
        <a:ext cx="560207" cy="373471"/>
      </dsp:txXfrm>
    </dsp:sp>
    <dsp:sp modelId="{E8FE0132-567C-48E3-8786-55757C8F10C4}">
      <dsp:nvSpPr>
        <dsp:cNvPr id="0" name=""/>
        <dsp:cNvSpPr/>
      </dsp:nvSpPr>
      <dsp:spPr>
        <a:xfrm>
          <a:off x="4771956" y="214008"/>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2023</a:t>
          </a:r>
        </a:p>
      </dsp:txBody>
      <dsp:txXfrm>
        <a:off x="4958692" y="214008"/>
        <a:ext cx="560207" cy="373471"/>
      </dsp:txXfrm>
    </dsp:sp>
    <dsp:sp modelId="{0F96687B-3F36-4593-85F5-A95695665BDF}">
      <dsp:nvSpPr>
        <dsp:cNvPr id="0" name=""/>
        <dsp:cNvSpPr/>
      </dsp:nvSpPr>
      <dsp:spPr>
        <a:xfrm>
          <a:off x="477" y="688722"/>
          <a:ext cx="1709351" cy="449965"/>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Průměrný plat             za kapitolu 327 MD</a:t>
          </a:r>
        </a:p>
      </dsp:txBody>
      <dsp:txXfrm>
        <a:off x="225460" y="688722"/>
        <a:ext cx="1259386" cy="449965"/>
      </dsp:txXfrm>
    </dsp:sp>
    <dsp:sp modelId="{58F31D09-ADCD-4DC9-8221-D1D9CF855BAD}">
      <dsp:nvSpPr>
        <dsp:cNvPr id="0" name=""/>
        <dsp:cNvSpPr/>
      </dsp:nvSpPr>
      <dsp:spPr>
        <a:xfrm>
          <a:off x="1563590" y="726969"/>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50 688</a:t>
          </a:r>
        </a:p>
      </dsp:txBody>
      <dsp:txXfrm>
        <a:off x="1750326" y="726969"/>
        <a:ext cx="560207" cy="373471"/>
      </dsp:txXfrm>
    </dsp:sp>
    <dsp:sp modelId="{1D04C8CC-6EFD-46D0-BB1C-70E60B93513A}">
      <dsp:nvSpPr>
        <dsp:cNvPr id="0" name=""/>
        <dsp:cNvSpPr/>
      </dsp:nvSpPr>
      <dsp:spPr>
        <a:xfrm>
          <a:off x="2366553" y="726969"/>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52 445</a:t>
          </a:r>
        </a:p>
      </dsp:txBody>
      <dsp:txXfrm>
        <a:off x="2553289" y="726969"/>
        <a:ext cx="560207" cy="373471"/>
      </dsp:txXfrm>
    </dsp:sp>
    <dsp:sp modelId="{13C9CD02-249A-42BA-89EA-061EDDC086D7}">
      <dsp:nvSpPr>
        <dsp:cNvPr id="0" name=""/>
        <dsp:cNvSpPr/>
      </dsp:nvSpPr>
      <dsp:spPr>
        <a:xfrm>
          <a:off x="3169517" y="726969"/>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52 199</a:t>
          </a:r>
        </a:p>
      </dsp:txBody>
      <dsp:txXfrm>
        <a:off x="3356253" y="726969"/>
        <a:ext cx="560207" cy="373471"/>
      </dsp:txXfrm>
    </dsp:sp>
    <dsp:sp modelId="{10D62D9A-AAE0-458C-9095-B2BB7F451ACB}">
      <dsp:nvSpPr>
        <dsp:cNvPr id="0" name=""/>
        <dsp:cNvSpPr/>
      </dsp:nvSpPr>
      <dsp:spPr>
        <a:xfrm>
          <a:off x="3972480" y="726969"/>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54 201</a:t>
          </a:r>
        </a:p>
      </dsp:txBody>
      <dsp:txXfrm>
        <a:off x="4159216" y="726969"/>
        <a:ext cx="560207" cy="373471"/>
      </dsp:txXfrm>
    </dsp:sp>
    <dsp:sp modelId="{3CEE6A7F-7896-4564-927F-AF7EEC6A4BD8}">
      <dsp:nvSpPr>
        <dsp:cNvPr id="0" name=""/>
        <dsp:cNvSpPr/>
      </dsp:nvSpPr>
      <dsp:spPr>
        <a:xfrm>
          <a:off x="4775444" y="726969"/>
          <a:ext cx="933678" cy="37347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56 782</a:t>
          </a:r>
        </a:p>
      </dsp:txBody>
      <dsp:txXfrm>
        <a:off x="4962180" y="726969"/>
        <a:ext cx="560207" cy="37347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DF64E2-7887-4C75-9AFC-DDEF6E290B10}">
      <dsp:nvSpPr>
        <dsp:cNvPr id="0" name=""/>
        <dsp:cNvSpPr/>
      </dsp:nvSpPr>
      <dsp: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Celkové schválené výdaje programu hrazené ze státního rozpočtu včetně EU</a:t>
          </a:r>
        </a:p>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 činí </a:t>
          </a:r>
          <a:r>
            <a:rPr lang="cs-CZ" sz="1100" b="1" kern="1200" baseline="0">
              <a:solidFill>
                <a:sysClr val="windowText" lastClr="000000"/>
              </a:solidFill>
              <a:latin typeface="Calibri" panose="020F0502020204030204"/>
              <a:ea typeface="+mn-ea"/>
              <a:cs typeface="+mn-cs"/>
            </a:rPr>
            <a:t>1 697 603 tis. Kč</a:t>
          </a:r>
        </a:p>
      </dsp:txBody>
      <dsp:txXfrm>
        <a:off x="226271" y="0"/>
        <a:ext cx="5186257" cy="452542"/>
      </dsp:txXfrm>
    </dsp:sp>
    <dsp:sp modelId="{49971915-8BC1-462C-8559-1A86CA9363E7}">
      <dsp:nvSpPr>
        <dsp:cNvPr id="0" name=""/>
        <dsp:cNvSpPr/>
      </dsp:nvSpPr>
      <dsp: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100000"/>
            </a:lnSpc>
            <a:spcBef>
              <a:spcPct val="0"/>
            </a:spcBef>
            <a:spcAft>
              <a:spcPts val="0"/>
            </a:spcAft>
            <a:buNone/>
          </a:pPr>
          <a:r>
            <a:rPr lang="cs-CZ" sz="1100" b="1" kern="1200">
              <a:solidFill>
                <a:srgbClr val="5B9BD5">
                  <a:lumMod val="75000"/>
                </a:srgbClr>
              </a:solidFill>
              <a:latin typeface="Calibri" panose="020F0502020204030204"/>
              <a:ea typeface="+mn-ea"/>
              <a:cs typeface="+mn-cs"/>
            </a:rPr>
            <a:t>Celkové skutečně čerpané prostředky státního rozpočtu včetně EU k 31.12.2023 činí               1 088 567 tis. Kč</a:t>
          </a:r>
        </a:p>
      </dsp:txBody>
      <dsp:txXfrm>
        <a:off x="242027" y="496791"/>
        <a:ext cx="5154745" cy="48405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9171" y="514"/>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Rok</a:t>
          </a:r>
        </a:p>
      </dsp:txBody>
      <dsp:txXfrm>
        <a:off x="239388" y="514"/>
        <a:ext cx="600650" cy="400433"/>
      </dsp:txXfrm>
    </dsp:sp>
    <dsp:sp modelId="{030F83A3-E98C-4486-A756-7B7DEC40A7DD}">
      <dsp:nvSpPr>
        <dsp:cNvPr id="0" name=""/>
        <dsp:cNvSpPr/>
      </dsp:nvSpPr>
      <dsp:spPr>
        <a:xfrm>
          <a:off x="91011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před 2018</a:t>
          </a:r>
        </a:p>
      </dsp:txBody>
      <dsp:txXfrm>
        <a:off x="1076293" y="34551"/>
        <a:ext cx="498539" cy="332359"/>
      </dsp:txXfrm>
    </dsp:sp>
    <dsp:sp modelId="{9CF25B67-FA31-41AE-B4EF-CCD2718072B3}">
      <dsp:nvSpPr>
        <dsp:cNvPr id="0" name=""/>
        <dsp:cNvSpPr/>
      </dsp:nvSpPr>
      <dsp:spPr>
        <a:xfrm>
          <a:off x="1624687"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2019</a:t>
          </a:r>
        </a:p>
      </dsp:txBody>
      <dsp:txXfrm>
        <a:off x="1790867" y="34551"/>
        <a:ext cx="498539" cy="332359"/>
      </dsp:txXfrm>
    </dsp:sp>
    <dsp:sp modelId="{ED3FB9E6-0BAA-4702-B8CA-920A66AFC02F}">
      <dsp:nvSpPr>
        <dsp:cNvPr id="0" name=""/>
        <dsp:cNvSpPr/>
      </dsp:nvSpPr>
      <dsp:spPr>
        <a:xfrm>
          <a:off x="2339260"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2020</a:t>
          </a:r>
        </a:p>
      </dsp:txBody>
      <dsp:txXfrm>
        <a:off x="2505440" y="34551"/>
        <a:ext cx="498539" cy="332359"/>
      </dsp:txXfrm>
    </dsp:sp>
    <dsp:sp modelId="{9783D7DD-9297-4972-8B5A-E2BE8A6720CA}">
      <dsp:nvSpPr>
        <dsp:cNvPr id="0" name=""/>
        <dsp:cNvSpPr/>
      </dsp:nvSpPr>
      <dsp:spPr>
        <a:xfrm>
          <a:off x="305383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2021</a:t>
          </a:r>
        </a:p>
      </dsp:txBody>
      <dsp:txXfrm>
        <a:off x="3220013" y="34551"/>
        <a:ext cx="498539" cy="332359"/>
      </dsp:txXfrm>
    </dsp:sp>
    <dsp:sp modelId="{1A805A11-34B2-4547-9AC3-D38054F91140}">
      <dsp:nvSpPr>
        <dsp:cNvPr id="0" name=""/>
        <dsp:cNvSpPr/>
      </dsp:nvSpPr>
      <dsp:spPr>
        <a:xfrm>
          <a:off x="3768406"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2022</a:t>
          </a:r>
        </a:p>
      </dsp:txBody>
      <dsp:txXfrm>
        <a:off x="3934586" y="34551"/>
        <a:ext cx="498539" cy="332359"/>
      </dsp:txXfrm>
    </dsp:sp>
    <dsp:sp modelId="{E8FE0132-567C-48E3-8786-55757C8F10C4}">
      <dsp:nvSpPr>
        <dsp:cNvPr id="0" name=""/>
        <dsp:cNvSpPr/>
      </dsp:nvSpPr>
      <dsp:spPr>
        <a:xfrm>
          <a:off x="4482979"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2023</a:t>
          </a:r>
        </a:p>
      </dsp:txBody>
      <dsp:txXfrm>
        <a:off x="4649159" y="34551"/>
        <a:ext cx="498539" cy="332359"/>
      </dsp:txXfrm>
    </dsp:sp>
    <dsp:sp modelId="{0F96687B-3F36-4593-85F5-A95695665BDF}">
      <dsp:nvSpPr>
        <dsp:cNvPr id="0" name=""/>
        <dsp:cNvSpPr/>
      </dsp:nvSpPr>
      <dsp:spPr>
        <a:xfrm>
          <a:off x="39171" y="457008"/>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SR v tis. Kč</a:t>
          </a:r>
        </a:p>
      </dsp:txBody>
      <dsp:txXfrm>
        <a:off x="239388" y="457008"/>
        <a:ext cx="600650" cy="400433"/>
      </dsp:txXfrm>
    </dsp:sp>
    <dsp:sp modelId="{92DB449A-781D-438A-A28D-42D189DED613}">
      <dsp:nvSpPr>
        <dsp:cNvPr id="0" name=""/>
        <dsp:cNvSpPr/>
      </dsp:nvSpPr>
      <dsp:spPr>
        <a:xfrm>
          <a:off x="91011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224 611</a:t>
          </a:r>
        </a:p>
      </dsp:txBody>
      <dsp:txXfrm>
        <a:off x="1076293" y="491045"/>
        <a:ext cx="498539" cy="332359"/>
      </dsp:txXfrm>
    </dsp:sp>
    <dsp:sp modelId="{58F31D09-ADCD-4DC9-8221-D1D9CF855BAD}">
      <dsp:nvSpPr>
        <dsp:cNvPr id="0" name=""/>
        <dsp:cNvSpPr/>
      </dsp:nvSpPr>
      <dsp:spPr>
        <a:xfrm>
          <a:off x="1624687"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109 816</a:t>
          </a:r>
        </a:p>
      </dsp:txBody>
      <dsp:txXfrm>
        <a:off x="1790867" y="491045"/>
        <a:ext cx="498539" cy="332359"/>
      </dsp:txXfrm>
    </dsp:sp>
    <dsp:sp modelId="{A0DBC11E-E766-4152-BC15-BC0009251B6A}">
      <dsp:nvSpPr>
        <dsp:cNvPr id="0" name=""/>
        <dsp:cNvSpPr/>
      </dsp:nvSpPr>
      <dsp:spPr>
        <a:xfrm>
          <a:off x="2339260"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223 509</a:t>
          </a:r>
        </a:p>
      </dsp:txBody>
      <dsp:txXfrm>
        <a:off x="2505440" y="491045"/>
        <a:ext cx="498539" cy="332359"/>
      </dsp:txXfrm>
    </dsp:sp>
    <dsp:sp modelId="{1D04C8CC-6EFD-46D0-BB1C-70E60B93513A}">
      <dsp:nvSpPr>
        <dsp:cNvPr id="0" name=""/>
        <dsp:cNvSpPr/>
      </dsp:nvSpPr>
      <dsp:spPr>
        <a:xfrm>
          <a:off x="305383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193 340</a:t>
          </a:r>
        </a:p>
      </dsp:txBody>
      <dsp:txXfrm>
        <a:off x="3220013" y="491045"/>
        <a:ext cx="498539" cy="332359"/>
      </dsp:txXfrm>
    </dsp:sp>
    <dsp:sp modelId="{13C9CD02-249A-42BA-89EA-061EDDC086D7}">
      <dsp:nvSpPr>
        <dsp:cNvPr id="0" name=""/>
        <dsp:cNvSpPr/>
      </dsp:nvSpPr>
      <dsp:spPr>
        <a:xfrm>
          <a:off x="3768406"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177 038</a:t>
          </a:r>
        </a:p>
      </dsp:txBody>
      <dsp:txXfrm>
        <a:off x="3934586" y="491045"/>
        <a:ext cx="498539" cy="332359"/>
      </dsp:txXfrm>
    </dsp:sp>
    <dsp:sp modelId="{10D62D9A-AAE0-458C-9095-B2BB7F451ACB}">
      <dsp:nvSpPr>
        <dsp:cNvPr id="0" name=""/>
        <dsp:cNvSpPr/>
      </dsp:nvSpPr>
      <dsp:spPr>
        <a:xfrm>
          <a:off x="4482979"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159 457</a:t>
          </a:r>
        </a:p>
      </dsp:txBody>
      <dsp:txXfrm>
        <a:off x="4649159" y="491045"/>
        <a:ext cx="498539" cy="332359"/>
      </dsp:txXfrm>
    </dsp:sp>
    <dsp:sp modelId="{F97D4733-33FE-440A-9F4A-E88411DCDC07}">
      <dsp:nvSpPr>
        <dsp:cNvPr id="0" name=""/>
        <dsp:cNvSpPr/>
      </dsp:nvSpPr>
      <dsp:spPr>
        <a:xfrm>
          <a:off x="39171" y="913502"/>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EU v tis.Kč</a:t>
          </a:r>
        </a:p>
      </dsp:txBody>
      <dsp:txXfrm>
        <a:off x="239388" y="913502"/>
        <a:ext cx="600650" cy="400433"/>
      </dsp:txXfrm>
    </dsp:sp>
    <dsp:sp modelId="{16516B57-4DCC-425D-9CC5-42A917385C3E}">
      <dsp:nvSpPr>
        <dsp:cNvPr id="0" name=""/>
        <dsp:cNvSpPr/>
      </dsp:nvSpPr>
      <dsp:spPr>
        <a:xfrm>
          <a:off x="91011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076293" y="947539"/>
        <a:ext cx="498539" cy="332359"/>
      </dsp:txXfrm>
    </dsp:sp>
    <dsp:sp modelId="{8F0EEA60-B1DB-420F-91B7-F24A16C0E9F6}">
      <dsp:nvSpPr>
        <dsp:cNvPr id="0" name=""/>
        <dsp:cNvSpPr/>
      </dsp:nvSpPr>
      <dsp:spPr>
        <a:xfrm>
          <a:off x="1624687"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78</a:t>
          </a:r>
        </a:p>
      </dsp:txBody>
      <dsp:txXfrm>
        <a:off x="1790867" y="947539"/>
        <a:ext cx="498539" cy="332359"/>
      </dsp:txXfrm>
    </dsp:sp>
    <dsp:sp modelId="{364DD1D5-65B5-427D-8048-69F9B123D620}">
      <dsp:nvSpPr>
        <dsp:cNvPr id="0" name=""/>
        <dsp:cNvSpPr/>
      </dsp:nvSpPr>
      <dsp:spPr>
        <a:xfrm>
          <a:off x="2339260"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8</a:t>
          </a:r>
        </a:p>
      </dsp:txBody>
      <dsp:txXfrm>
        <a:off x="2505440" y="947539"/>
        <a:ext cx="498539" cy="332359"/>
      </dsp:txXfrm>
    </dsp:sp>
    <dsp:sp modelId="{7249E8C8-FABD-4CA5-BBFA-E45908887436}">
      <dsp:nvSpPr>
        <dsp:cNvPr id="0" name=""/>
        <dsp:cNvSpPr/>
      </dsp:nvSpPr>
      <dsp:spPr>
        <a:xfrm>
          <a:off x="305383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146</a:t>
          </a:r>
        </a:p>
      </dsp:txBody>
      <dsp:txXfrm>
        <a:off x="3220013" y="947539"/>
        <a:ext cx="498539" cy="332359"/>
      </dsp:txXfrm>
    </dsp:sp>
    <dsp:sp modelId="{1F7E2D3B-1C75-4E88-87A3-5E98A54B5AC6}">
      <dsp:nvSpPr>
        <dsp:cNvPr id="0" name=""/>
        <dsp:cNvSpPr/>
      </dsp:nvSpPr>
      <dsp:spPr>
        <a:xfrm>
          <a:off x="3768406"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3934586" y="947539"/>
        <a:ext cx="498539" cy="332359"/>
      </dsp:txXfrm>
    </dsp:sp>
    <dsp:sp modelId="{2BB8A638-90F3-4041-95E0-6576F32D89E3}">
      <dsp:nvSpPr>
        <dsp:cNvPr id="0" name=""/>
        <dsp:cNvSpPr/>
      </dsp:nvSpPr>
      <dsp:spPr>
        <a:xfrm>
          <a:off x="4482979"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564</a:t>
          </a:r>
        </a:p>
      </dsp:txBody>
      <dsp:txXfrm>
        <a:off x="4649159" y="947539"/>
        <a:ext cx="498539" cy="332359"/>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DF64E2-7887-4C75-9AFC-DDEF6E290B10}">
      <dsp:nvSpPr>
        <dsp:cNvPr id="0" name=""/>
        <dsp:cNvSpPr/>
      </dsp:nvSpPr>
      <dsp: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Celkové schválené výdaje programu hrazené ze státního rozpočtu včetně EU</a:t>
          </a:r>
        </a:p>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 činí </a:t>
          </a:r>
          <a:r>
            <a:rPr lang="cs-CZ" sz="1100" b="1" kern="1200" baseline="0">
              <a:solidFill>
                <a:sysClr val="windowText" lastClr="000000"/>
              </a:solidFill>
              <a:latin typeface="Calibri" panose="020F0502020204030204"/>
              <a:ea typeface="+mn-ea"/>
              <a:cs typeface="+mn-cs"/>
            </a:rPr>
            <a:t>665 365 tis. Kč</a:t>
          </a:r>
        </a:p>
      </dsp:txBody>
      <dsp:txXfrm>
        <a:off x="226271" y="0"/>
        <a:ext cx="5186257" cy="452542"/>
      </dsp:txXfrm>
    </dsp:sp>
    <dsp:sp modelId="{49971915-8BC1-462C-8559-1A86CA9363E7}">
      <dsp:nvSpPr>
        <dsp:cNvPr id="0" name=""/>
        <dsp:cNvSpPr/>
      </dsp:nvSpPr>
      <dsp: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100000"/>
            </a:lnSpc>
            <a:spcBef>
              <a:spcPct val="0"/>
            </a:spcBef>
            <a:spcAft>
              <a:spcPts val="0"/>
            </a:spcAft>
            <a:buNone/>
          </a:pPr>
          <a:r>
            <a:rPr lang="cs-CZ" sz="1100" b="1" kern="1200">
              <a:solidFill>
                <a:srgbClr val="5B9BD5">
                  <a:lumMod val="75000"/>
                </a:srgbClr>
              </a:solidFill>
              <a:latin typeface="Calibri" panose="020F0502020204030204"/>
              <a:ea typeface="+mn-ea"/>
              <a:cs typeface="+mn-cs"/>
            </a:rPr>
            <a:t>Celkové skutečně čerpané prostředky státního rozpočtu včetně EU k 31.12.2023 činí              593 095 tis. Kč</a:t>
          </a:r>
        </a:p>
      </dsp:txBody>
      <dsp:txXfrm>
        <a:off x="242027" y="496791"/>
        <a:ext cx="5154745" cy="48405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9171" y="514"/>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Rok</a:t>
          </a:r>
        </a:p>
      </dsp:txBody>
      <dsp:txXfrm>
        <a:off x="239388" y="514"/>
        <a:ext cx="600650" cy="400433"/>
      </dsp:txXfrm>
    </dsp:sp>
    <dsp:sp modelId="{030F83A3-E98C-4486-A756-7B7DEC40A7DD}">
      <dsp:nvSpPr>
        <dsp:cNvPr id="0" name=""/>
        <dsp:cNvSpPr/>
      </dsp:nvSpPr>
      <dsp:spPr>
        <a:xfrm>
          <a:off x="91011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před 2019</a:t>
          </a:r>
        </a:p>
      </dsp:txBody>
      <dsp:txXfrm>
        <a:off x="1076293" y="34551"/>
        <a:ext cx="498539" cy="332359"/>
      </dsp:txXfrm>
    </dsp:sp>
    <dsp:sp modelId="{9CF25B67-FA31-41AE-B4EF-CCD2718072B3}">
      <dsp:nvSpPr>
        <dsp:cNvPr id="0" name=""/>
        <dsp:cNvSpPr/>
      </dsp:nvSpPr>
      <dsp:spPr>
        <a:xfrm>
          <a:off x="1624687"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2019</a:t>
          </a:r>
        </a:p>
      </dsp:txBody>
      <dsp:txXfrm>
        <a:off x="1790867" y="34551"/>
        <a:ext cx="498539" cy="332359"/>
      </dsp:txXfrm>
    </dsp:sp>
    <dsp:sp modelId="{ED3FB9E6-0BAA-4702-B8CA-920A66AFC02F}">
      <dsp:nvSpPr>
        <dsp:cNvPr id="0" name=""/>
        <dsp:cNvSpPr/>
      </dsp:nvSpPr>
      <dsp:spPr>
        <a:xfrm>
          <a:off x="2339260"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2020</a:t>
          </a:r>
        </a:p>
      </dsp:txBody>
      <dsp:txXfrm>
        <a:off x="2505440" y="34551"/>
        <a:ext cx="498539" cy="332359"/>
      </dsp:txXfrm>
    </dsp:sp>
    <dsp:sp modelId="{9783D7DD-9297-4972-8B5A-E2BE8A6720CA}">
      <dsp:nvSpPr>
        <dsp:cNvPr id="0" name=""/>
        <dsp:cNvSpPr/>
      </dsp:nvSpPr>
      <dsp:spPr>
        <a:xfrm>
          <a:off x="305383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2021</a:t>
          </a:r>
        </a:p>
      </dsp:txBody>
      <dsp:txXfrm>
        <a:off x="3220013" y="34551"/>
        <a:ext cx="498539" cy="332359"/>
      </dsp:txXfrm>
    </dsp:sp>
    <dsp:sp modelId="{1A805A11-34B2-4547-9AC3-D38054F91140}">
      <dsp:nvSpPr>
        <dsp:cNvPr id="0" name=""/>
        <dsp:cNvSpPr/>
      </dsp:nvSpPr>
      <dsp:spPr>
        <a:xfrm>
          <a:off x="3768406"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2022</a:t>
          </a:r>
        </a:p>
      </dsp:txBody>
      <dsp:txXfrm>
        <a:off x="3934586" y="34551"/>
        <a:ext cx="498539" cy="332359"/>
      </dsp:txXfrm>
    </dsp:sp>
    <dsp:sp modelId="{E8FE0132-567C-48E3-8786-55757C8F10C4}">
      <dsp:nvSpPr>
        <dsp:cNvPr id="0" name=""/>
        <dsp:cNvSpPr/>
      </dsp:nvSpPr>
      <dsp:spPr>
        <a:xfrm>
          <a:off x="4482979"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2023</a:t>
          </a:r>
        </a:p>
      </dsp:txBody>
      <dsp:txXfrm>
        <a:off x="4649159" y="34551"/>
        <a:ext cx="498539" cy="332359"/>
      </dsp:txXfrm>
    </dsp:sp>
    <dsp:sp modelId="{0F96687B-3F36-4593-85F5-A95695665BDF}">
      <dsp:nvSpPr>
        <dsp:cNvPr id="0" name=""/>
        <dsp:cNvSpPr/>
      </dsp:nvSpPr>
      <dsp:spPr>
        <a:xfrm>
          <a:off x="39171" y="457008"/>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SR v tis. Kč</a:t>
          </a:r>
        </a:p>
      </dsp:txBody>
      <dsp:txXfrm>
        <a:off x="239388" y="457008"/>
        <a:ext cx="600650" cy="400433"/>
      </dsp:txXfrm>
    </dsp:sp>
    <dsp:sp modelId="{92DB449A-781D-438A-A28D-42D189DED613}">
      <dsp:nvSpPr>
        <dsp:cNvPr id="0" name=""/>
        <dsp:cNvSpPr/>
      </dsp:nvSpPr>
      <dsp:spPr>
        <a:xfrm>
          <a:off x="91011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139 642</a:t>
          </a:r>
        </a:p>
      </dsp:txBody>
      <dsp:txXfrm>
        <a:off x="1076293" y="491045"/>
        <a:ext cx="498539" cy="332359"/>
      </dsp:txXfrm>
    </dsp:sp>
    <dsp:sp modelId="{58F31D09-ADCD-4DC9-8221-D1D9CF855BAD}">
      <dsp:nvSpPr>
        <dsp:cNvPr id="0" name=""/>
        <dsp:cNvSpPr/>
      </dsp:nvSpPr>
      <dsp:spPr>
        <a:xfrm>
          <a:off x="1624687"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790867" y="491045"/>
        <a:ext cx="498539" cy="332359"/>
      </dsp:txXfrm>
    </dsp:sp>
    <dsp:sp modelId="{A0DBC11E-E766-4152-BC15-BC0009251B6A}">
      <dsp:nvSpPr>
        <dsp:cNvPr id="0" name=""/>
        <dsp:cNvSpPr/>
      </dsp:nvSpPr>
      <dsp:spPr>
        <a:xfrm>
          <a:off x="2339260"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2505440" y="491045"/>
        <a:ext cx="498539" cy="332359"/>
      </dsp:txXfrm>
    </dsp:sp>
    <dsp:sp modelId="{1D04C8CC-6EFD-46D0-BB1C-70E60B93513A}">
      <dsp:nvSpPr>
        <dsp:cNvPr id="0" name=""/>
        <dsp:cNvSpPr/>
      </dsp:nvSpPr>
      <dsp:spPr>
        <a:xfrm>
          <a:off x="305383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3 959</a:t>
          </a:r>
        </a:p>
      </dsp:txBody>
      <dsp:txXfrm>
        <a:off x="3220013" y="491045"/>
        <a:ext cx="498539" cy="332359"/>
      </dsp:txXfrm>
    </dsp:sp>
    <dsp:sp modelId="{13C9CD02-249A-42BA-89EA-061EDDC086D7}">
      <dsp:nvSpPr>
        <dsp:cNvPr id="0" name=""/>
        <dsp:cNvSpPr/>
      </dsp:nvSpPr>
      <dsp:spPr>
        <a:xfrm>
          <a:off x="3768406"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4 675</a:t>
          </a:r>
        </a:p>
      </dsp:txBody>
      <dsp:txXfrm>
        <a:off x="3934586" y="491045"/>
        <a:ext cx="498539" cy="332359"/>
      </dsp:txXfrm>
    </dsp:sp>
    <dsp:sp modelId="{10D62D9A-AAE0-458C-9095-B2BB7F451ACB}">
      <dsp:nvSpPr>
        <dsp:cNvPr id="0" name=""/>
        <dsp:cNvSpPr/>
      </dsp:nvSpPr>
      <dsp:spPr>
        <a:xfrm>
          <a:off x="4482979"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4 727</a:t>
          </a:r>
        </a:p>
      </dsp:txBody>
      <dsp:txXfrm>
        <a:off x="4649159" y="491045"/>
        <a:ext cx="498539" cy="332359"/>
      </dsp:txXfrm>
    </dsp:sp>
    <dsp:sp modelId="{F97D4733-33FE-440A-9F4A-E88411DCDC07}">
      <dsp:nvSpPr>
        <dsp:cNvPr id="0" name=""/>
        <dsp:cNvSpPr/>
      </dsp:nvSpPr>
      <dsp:spPr>
        <a:xfrm>
          <a:off x="39171" y="913502"/>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EU v tis. Kč</a:t>
          </a:r>
        </a:p>
      </dsp:txBody>
      <dsp:txXfrm>
        <a:off x="239388" y="913502"/>
        <a:ext cx="600650" cy="400433"/>
      </dsp:txXfrm>
    </dsp:sp>
    <dsp:sp modelId="{16516B57-4DCC-425D-9CC5-42A917385C3E}">
      <dsp:nvSpPr>
        <dsp:cNvPr id="0" name=""/>
        <dsp:cNvSpPr/>
      </dsp:nvSpPr>
      <dsp:spPr>
        <a:xfrm>
          <a:off x="91011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5 510</a:t>
          </a:r>
        </a:p>
      </dsp:txBody>
      <dsp:txXfrm>
        <a:off x="1076293" y="947539"/>
        <a:ext cx="498539" cy="332359"/>
      </dsp:txXfrm>
    </dsp:sp>
    <dsp:sp modelId="{8F0EEA60-B1DB-420F-91B7-F24A16C0E9F6}">
      <dsp:nvSpPr>
        <dsp:cNvPr id="0" name=""/>
        <dsp:cNvSpPr/>
      </dsp:nvSpPr>
      <dsp:spPr>
        <a:xfrm>
          <a:off x="1624687"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2 660</a:t>
          </a:r>
        </a:p>
      </dsp:txBody>
      <dsp:txXfrm>
        <a:off x="1790867" y="947539"/>
        <a:ext cx="498539" cy="332359"/>
      </dsp:txXfrm>
    </dsp:sp>
    <dsp:sp modelId="{364DD1D5-65B5-427D-8048-69F9B123D620}">
      <dsp:nvSpPr>
        <dsp:cNvPr id="0" name=""/>
        <dsp:cNvSpPr/>
      </dsp:nvSpPr>
      <dsp:spPr>
        <a:xfrm>
          <a:off x="2339260"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1 024</a:t>
          </a:r>
        </a:p>
      </dsp:txBody>
      <dsp:txXfrm>
        <a:off x="2505440" y="947539"/>
        <a:ext cx="498539" cy="332359"/>
      </dsp:txXfrm>
    </dsp:sp>
    <dsp:sp modelId="{7249E8C8-FABD-4CA5-BBFA-E45908887436}">
      <dsp:nvSpPr>
        <dsp:cNvPr id="0" name=""/>
        <dsp:cNvSpPr/>
      </dsp:nvSpPr>
      <dsp:spPr>
        <a:xfrm>
          <a:off x="305383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555</a:t>
          </a:r>
        </a:p>
      </dsp:txBody>
      <dsp:txXfrm>
        <a:off x="3220013" y="947539"/>
        <a:ext cx="498539" cy="332359"/>
      </dsp:txXfrm>
    </dsp:sp>
    <dsp:sp modelId="{1F7E2D3B-1C75-4E88-87A3-5E98A54B5AC6}">
      <dsp:nvSpPr>
        <dsp:cNvPr id="0" name=""/>
        <dsp:cNvSpPr/>
      </dsp:nvSpPr>
      <dsp:spPr>
        <a:xfrm>
          <a:off x="3768406"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1 028</a:t>
          </a:r>
        </a:p>
      </dsp:txBody>
      <dsp:txXfrm>
        <a:off x="3934586" y="947539"/>
        <a:ext cx="498539" cy="332359"/>
      </dsp:txXfrm>
    </dsp:sp>
    <dsp:sp modelId="{2BB8A638-90F3-4041-95E0-6576F32D89E3}">
      <dsp:nvSpPr>
        <dsp:cNvPr id="0" name=""/>
        <dsp:cNvSpPr/>
      </dsp:nvSpPr>
      <dsp:spPr>
        <a:xfrm>
          <a:off x="4482979"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429 315</a:t>
          </a:r>
        </a:p>
      </dsp:txBody>
      <dsp:txXfrm>
        <a:off x="4649159" y="947539"/>
        <a:ext cx="498539" cy="33235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DF64E2-7887-4C75-9AFC-DDEF6E290B10}">
      <dsp:nvSpPr>
        <dsp:cNvPr id="0" name=""/>
        <dsp:cNvSpPr/>
      </dsp:nvSpPr>
      <dsp: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Celkové schválené výdaje programu hrazené ze státního rozpočtu včetně EU</a:t>
          </a:r>
        </a:p>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 činí </a:t>
          </a:r>
          <a:r>
            <a:rPr lang="cs-CZ" sz="1100" b="1" kern="1200" baseline="0">
              <a:solidFill>
                <a:sysClr val="windowText" lastClr="000000"/>
              </a:solidFill>
              <a:latin typeface="Calibri" panose="020F0502020204030204"/>
              <a:ea typeface="+mn-ea"/>
              <a:cs typeface="+mn-cs"/>
            </a:rPr>
            <a:t>1 486 445  tis. Kč</a:t>
          </a:r>
        </a:p>
      </dsp:txBody>
      <dsp:txXfrm>
        <a:off x="226271" y="0"/>
        <a:ext cx="5186257" cy="452542"/>
      </dsp:txXfrm>
    </dsp:sp>
    <dsp:sp modelId="{49971915-8BC1-462C-8559-1A86CA9363E7}">
      <dsp:nvSpPr>
        <dsp:cNvPr id="0" name=""/>
        <dsp:cNvSpPr/>
      </dsp:nvSpPr>
      <dsp: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100000"/>
            </a:lnSpc>
            <a:spcBef>
              <a:spcPct val="0"/>
            </a:spcBef>
            <a:spcAft>
              <a:spcPts val="0"/>
            </a:spcAft>
            <a:buNone/>
          </a:pPr>
          <a:r>
            <a:rPr lang="cs-CZ" sz="1100" b="1" kern="1200">
              <a:solidFill>
                <a:srgbClr val="5B9BD5">
                  <a:lumMod val="75000"/>
                </a:srgbClr>
              </a:solidFill>
              <a:latin typeface="Calibri" panose="020F0502020204030204"/>
              <a:ea typeface="+mn-ea"/>
              <a:cs typeface="+mn-cs"/>
            </a:rPr>
            <a:t>Celkové skutečně čerpané prostředky státního rozpočtu včetně EU k 31.12.2023 činí               162 399 tis. Kč</a:t>
          </a:r>
        </a:p>
      </dsp:txBody>
      <dsp:txXfrm>
        <a:off x="242027" y="496791"/>
        <a:ext cx="5154745" cy="484054"/>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9171" y="514"/>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Rok</a:t>
          </a:r>
        </a:p>
      </dsp:txBody>
      <dsp:txXfrm>
        <a:off x="239388" y="514"/>
        <a:ext cx="600650" cy="400433"/>
      </dsp:txXfrm>
    </dsp:sp>
    <dsp:sp modelId="{030F83A3-E98C-4486-A756-7B7DEC40A7DD}">
      <dsp:nvSpPr>
        <dsp:cNvPr id="0" name=""/>
        <dsp:cNvSpPr/>
      </dsp:nvSpPr>
      <dsp:spPr>
        <a:xfrm>
          <a:off x="91011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před 2019</a:t>
          </a:r>
        </a:p>
      </dsp:txBody>
      <dsp:txXfrm>
        <a:off x="1076293" y="34551"/>
        <a:ext cx="498539" cy="332359"/>
      </dsp:txXfrm>
    </dsp:sp>
    <dsp:sp modelId="{9CF25B67-FA31-41AE-B4EF-CCD2718072B3}">
      <dsp:nvSpPr>
        <dsp:cNvPr id="0" name=""/>
        <dsp:cNvSpPr/>
      </dsp:nvSpPr>
      <dsp:spPr>
        <a:xfrm>
          <a:off x="1624687"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2019</a:t>
          </a:r>
        </a:p>
      </dsp:txBody>
      <dsp:txXfrm>
        <a:off x="1790867" y="34551"/>
        <a:ext cx="498539" cy="332359"/>
      </dsp:txXfrm>
    </dsp:sp>
    <dsp:sp modelId="{ED3FB9E6-0BAA-4702-B8CA-920A66AFC02F}">
      <dsp:nvSpPr>
        <dsp:cNvPr id="0" name=""/>
        <dsp:cNvSpPr/>
      </dsp:nvSpPr>
      <dsp:spPr>
        <a:xfrm>
          <a:off x="2339260"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2020</a:t>
          </a:r>
        </a:p>
      </dsp:txBody>
      <dsp:txXfrm>
        <a:off x="2505440" y="34551"/>
        <a:ext cx="498539" cy="332359"/>
      </dsp:txXfrm>
    </dsp:sp>
    <dsp:sp modelId="{9783D7DD-9297-4972-8B5A-E2BE8A6720CA}">
      <dsp:nvSpPr>
        <dsp:cNvPr id="0" name=""/>
        <dsp:cNvSpPr/>
      </dsp:nvSpPr>
      <dsp:spPr>
        <a:xfrm>
          <a:off x="3053833"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2021</a:t>
          </a:r>
        </a:p>
      </dsp:txBody>
      <dsp:txXfrm>
        <a:off x="3220013" y="34551"/>
        <a:ext cx="498539" cy="332359"/>
      </dsp:txXfrm>
    </dsp:sp>
    <dsp:sp modelId="{1A805A11-34B2-4547-9AC3-D38054F91140}">
      <dsp:nvSpPr>
        <dsp:cNvPr id="0" name=""/>
        <dsp:cNvSpPr/>
      </dsp:nvSpPr>
      <dsp:spPr>
        <a:xfrm>
          <a:off x="3768406"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2022</a:t>
          </a:r>
        </a:p>
      </dsp:txBody>
      <dsp:txXfrm>
        <a:off x="3934586" y="34551"/>
        <a:ext cx="498539" cy="332359"/>
      </dsp:txXfrm>
    </dsp:sp>
    <dsp:sp modelId="{E8FE0132-567C-48E3-8786-55757C8F10C4}">
      <dsp:nvSpPr>
        <dsp:cNvPr id="0" name=""/>
        <dsp:cNvSpPr/>
      </dsp:nvSpPr>
      <dsp:spPr>
        <a:xfrm>
          <a:off x="4482979" y="34551"/>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2023</a:t>
          </a:r>
        </a:p>
      </dsp:txBody>
      <dsp:txXfrm>
        <a:off x="4649159" y="34551"/>
        <a:ext cx="498539" cy="332359"/>
      </dsp:txXfrm>
    </dsp:sp>
    <dsp:sp modelId="{0F96687B-3F36-4593-85F5-A95695665BDF}">
      <dsp:nvSpPr>
        <dsp:cNvPr id="0" name=""/>
        <dsp:cNvSpPr/>
      </dsp:nvSpPr>
      <dsp:spPr>
        <a:xfrm>
          <a:off x="39171" y="457008"/>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SR v tis. Kč</a:t>
          </a:r>
        </a:p>
      </dsp:txBody>
      <dsp:txXfrm>
        <a:off x="239388" y="457008"/>
        <a:ext cx="600650" cy="400433"/>
      </dsp:txXfrm>
    </dsp:sp>
    <dsp:sp modelId="{92DB449A-781D-438A-A28D-42D189DED613}">
      <dsp:nvSpPr>
        <dsp:cNvPr id="0" name=""/>
        <dsp:cNvSpPr/>
      </dsp:nvSpPr>
      <dsp:spPr>
        <a:xfrm>
          <a:off x="91011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076293" y="491045"/>
        <a:ext cx="498539" cy="332359"/>
      </dsp:txXfrm>
    </dsp:sp>
    <dsp:sp modelId="{58F31D09-ADCD-4DC9-8221-D1D9CF855BAD}">
      <dsp:nvSpPr>
        <dsp:cNvPr id="0" name=""/>
        <dsp:cNvSpPr/>
      </dsp:nvSpPr>
      <dsp:spPr>
        <a:xfrm>
          <a:off x="1624687"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790867" y="491045"/>
        <a:ext cx="498539" cy="332359"/>
      </dsp:txXfrm>
    </dsp:sp>
    <dsp:sp modelId="{A0DBC11E-E766-4152-BC15-BC0009251B6A}">
      <dsp:nvSpPr>
        <dsp:cNvPr id="0" name=""/>
        <dsp:cNvSpPr/>
      </dsp:nvSpPr>
      <dsp:spPr>
        <a:xfrm>
          <a:off x="2339260"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2505440" y="491045"/>
        <a:ext cx="498539" cy="332359"/>
      </dsp:txXfrm>
    </dsp:sp>
    <dsp:sp modelId="{1D04C8CC-6EFD-46D0-BB1C-70E60B93513A}">
      <dsp:nvSpPr>
        <dsp:cNvPr id="0" name=""/>
        <dsp:cNvSpPr/>
      </dsp:nvSpPr>
      <dsp:spPr>
        <a:xfrm>
          <a:off x="3053833"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3220013" y="491045"/>
        <a:ext cx="498539" cy="332359"/>
      </dsp:txXfrm>
    </dsp:sp>
    <dsp:sp modelId="{13C9CD02-249A-42BA-89EA-061EDDC086D7}">
      <dsp:nvSpPr>
        <dsp:cNvPr id="0" name=""/>
        <dsp:cNvSpPr/>
      </dsp:nvSpPr>
      <dsp:spPr>
        <a:xfrm>
          <a:off x="3768406" y="491045"/>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29 889</a:t>
          </a:r>
        </a:p>
      </dsp:txBody>
      <dsp:txXfrm>
        <a:off x="3934586" y="491045"/>
        <a:ext cx="498539" cy="332359"/>
      </dsp:txXfrm>
    </dsp:sp>
    <dsp:sp modelId="{B9CFE38E-C4C4-45AA-B352-74DE535247B5}">
      <dsp:nvSpPr>
        <dsp:cNvPr id="0" name=""/>
        <dsp:cNvSpPr/>
      </dsp:nvSpPr>
      <dsp:spPr>
        <a:xfrm>
          <a:off x="4482979" y="491045"/>
          <a:ext cx="830898" cy="332359"/>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t>125 569</a:t>
          </a:r>
        </a:p>
      </dsp:txBody>
      <dsp:txXfrm>
        <a:off x="4649159" y="491045"/>
        <a:ext cx="498539" cy="332359"/>
      </dsp:txXfrm>
    </dsp:sp>
    <dsp:sp modelId="{F97D4733-33FE-440A-9F4A-E88411DCDC07}">
      <dsp:nvSpPr>
        <dsp:cNvPr id="0" name=""/>
        <dsp:cNvSpPr/>
      </dsp:nvSpPr>
      <dsp:spPr>
        <a:xfrm>
          <a:off x="39171" y="913502"/>
          <a:ext cx="1001083" cy="40043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EU v tis. Kč</a:t>
          </a:r>
        </a:p>
      </dsp:txBody>
      <dsp:txXfrm>
        <a:off x="239388" y="913502"/>
        <a:ext cx="600650" cy="400433"/>
      </dsp:txXfrm>
    </dsp:sp>
    <dsp:sp modelId="{16516B57-4DCC-425D-9CC5-42A917385C3E}">
      <dsp:nvSpPr>
        <dsp:cNvPr id="0" name=""/>
        <dsp:cNvSpPr/>
      </dsp:nvSpPr>
      <dsp:spPr>
        <a:xfrm>
          <a:off x="91011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076293" y="947539"/>
        <a:ext cx="498539" cy="332359"/>
      </dsp:txXfrm>
    </dsp:sp>
    <dsp:sp modelId="{8F0EEA60-B1DB-420F-91B7-F24A16C0E9F6}">
      <dsp:nvSpPr>
        <dsp:cNvPr id="0" name=""/>
        <dsp:cNvSpPr/>
      </dsp:nvSpPr>
      <dsp:spPr>
        <a:xfrm>
          <a:off x="1624687"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790867" y="947539"/>
        <a:ext cx="498539" cy="332359"/>
      </dsp:txXfrm>
    </dsp:sp>
    <dsp:sp modelId="{364DD1D5-65B5-427D-8048-69F9B123D620}">
      <dsp:nvSpPr>
        <dsp:cNvPr id="0" name=""/>
        <dsp:cNvSpPr/>
      </dsp:nvSpPr>
      <dsp:spPr>
        <a:xfrm>
          <a:off x="2339260"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2505440" y="947539"/>
        <a:ext cx="498539" cy="332359"/>
      </dsp:txXfrm>
    </dsp:sp>
    <dsp:sp modelId="{7249E8C8-FABD-4CA5-BBFA-E45908887436}">
      <dsp:nvSpPr>
        <dsp:cNvPr id="0" name=""/>
        <dsp:cNvSpPr/>
      </dsp:nvSpPr>
      <dsp:spPr>
        <a:xfrm>
          <a:off x="3053833"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3220013" y="947539"/>
        <a:ext cx="498539" cy="332359"/>
      </dsp:txXfrm>
    </dsp:sp>
    <dsp:sp modelId="{1F7E2D3B-1C75-4E88-87A3-5E98A54B5AC6}">
      <dsp:nvSpPr>
        <dsp:cNvPr id="0" name=""/>
        <dsp:cNvSpPr/>
      </dsp:nvSpPr>
      <dsp:spPr>
        <a:xfrm>
          <a:off x="3768406"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3934586" y="947539"/>
        <a:ext cx="498539" cy="332359"/>
      </dsp:txXfrm>
    </dsp:sp>
    <dsp:sp modelId="{2BB8A638-90F3-4041-95E0-6576F32D89E3}">
      <dsp:nvSpPr>
        <dsp:cNvPr id="0" name=""/>
        <dsp:cNvSpPr/>
      </dsp:nvSpPr>
      <dsp:spPr>
        <a:xfrm>
          <a:off x="4482979" y="947539"/>
          <a:ext cx="830898" cy="332359"/>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6 941 </a:t>
          </a:r>
        </a:p>
      </dsp:txBody>
      <dsp:txXfrm>
        <a:off x="4649159" y="947539"/>
        <a:ext cx="498539" cy="332359"/>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DF64E2-7887-4C75-9AFC-DDEF6E290B10}">
      <dsp:nvSpPr>
        <dsp:cNvPr id="0" name=""/>
        <dsp:cNvSpPr/>
      </dsp:nvSpPr>
      <dsp: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Celkové schválené výdaje programu hrazené ze státního rozpočtu včetně EU</a:t>
          </a:r>
        </a:p>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 činí </a:t>
          </a:r>
          <a:r>
            <a:rPr lang="cs-CZ" sz="1100" b="1" kern="1200" baseline="0">
              <a:solidFill>
                <a:sysClr val="windowText" lastClr="000000"/>
              </a:solidFill>
              <a:latin typeface="Calibri" panose="020F0502020204030204"/>
              <a:ea typeface="+mn-ea"/>
              <a:cs typeface="+mn-cs"/>
            </a:rPr>
            <a:t>8 930 000 tis. Kč</a:t>
          </a:r>
        </a:p>
      </dsp:txBody>
      <dsp:txXfrm>
        <a:off x="226271" y="0"/>
        <a:ext cx="5186257" cy="452542"/>
      </dsp:txXfrm>
    </dsp:sp>
    <dsp:sp modelId="{49971915-8BC1-462C-8559-1A86CA9363E7}">
      <dsp:nvSpPr>
        <dsp:cNvPr id="0" name=""/>
        <dsp:cNvSpPr/>
      </dsp:nvSpPr>
      <dsp: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100000"/>
            </a:lnSpc>
            <a:spcBef>
              <a:spcPct val="0"/>
            </a:spcBef>
            <a:spcAft>
              <a:spcPts val="0"/>
            </a:spcAft>
            <a:buNone/>
          </a:pPr>
          <a:r>
            <a:rPr lang="cs-CZ" sz="1100" b="1" kern="1200">
              <a:solidFill>
                <a:srgbClr val="5B9BD5">
                  <a:lumMod val="75000"/>
                </a:srgbClr>
              </a:solidFill>
              <a:latin typeface="Calibri" panose="020F0502020204030204"/>
              <a:ea typeface="+mn-ea"/>
              <a:cs typeface="+mn-cs"/>
            </a:rPr>
            <a:t>Celkové skutečně čerpané prostředky státního rozpočtu včetně EU k 31.12.2023 činí              8 041 826 tis. Kč</a:t>
          </a:r>
        </a:p>
      </dsp:txBody>
      <dsp:txXfrm>
        <a:off x="242027" y="496791"/>
        <a:ext cx="5154745" cy="484054"/>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453" y="4767"/>
          <a:ext cx="994599" cy="397839"/>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Rok</a:t>
          </a:r>
        </a:p>
      </dsp:txBody>
      <dsp:txXfrm>
        <a:off x="202373" y="4767"/>
        <a:ext cx="596760" cy="397839"/>
      </dsp:txXfrm>
    </dsp:sp>
    <dsp:sp modelId="{030F83A3-E98C-4486-A756-7B7DEC40A7DD}">
      <dsp:nvSpPr>
        <dsp:cNvPr id="0" name=""/>
        <dsp:cNvSpPr/>
      </dsp:nvSpPr>
      <dsp:spPr>
        <a:xfrm>
          <a:off x="868755" y="38583"/>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před 2019</a:t>
          </a:r>
        </a:p>
      </dsp:txBody>
      <dsp:txXfrm>
        <a:off x="1033859" y="38583"/>
        <a:ext cx="495310" cy="330207"/>
      </dsp:txXfrm>
    </dsp:sp>
    <dsp:sp modelId="{9CF25B67-FA31-41AE-B4EF-CCD2718072B3}">
      <dsp:nvSpPr>
        <dsp:cNvPr id="0" name=""/>
        <dsp:cNvSpPr/>
      </dsp:nvSpPr>
      <dsp:spPr>
        <a:xfrm>
          <a:off x="1578700" y="38583"/>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2019</a:t>
          </a:r>
        </a:p>
      </dsp:txBody>
      <dsp:txXfrm>
        <a:off x="1743804" y="38583"/>
        <a:ext cx="495310" cy="330207"/>
      </dsp:txXfrm>
    </dsp:sp>
    <dsp:sp modelId="{ED3FB9E6-0BAA-4702-B8CA-920A66AFC02F}">
      <dsp:nvSpPr>
        <dsp:cNvPr id="0" name=""/>
        <dsp:cNvSpPr/>
      </dsp:nvSpPr>
      <dsp:spPr>
        <a:xfrm>
          <a:off x="2288645" y="38583"/>
          <a:ext cx="894308"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2020</a:t>
          </a:r>
        </a:p>
      </dsp:txBody>
      <dsp:txXfrm>
        <a:off x="2453749" y="38583"/>
        <a:ext cx="564101" cy="330207"/>
      </dsp:txXfrm>
    </dsp:sp>
    <dsp:sp modelId="{9783D7DD-9297-4972-8B5A-E2BE8A6720CA}">
      <dsp:nvSpPr>
        <dsp:cNvPr id="0" name=""/>
        <dsp:cNvSpPr/>
      </dsp:nvSpPr>
      <dsp:spPr>
        <a:xfrm>
          <a:off x="3067381" y="38583"/>
          <a:ext cx="914211"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2021</a:t>
          </a:r>
        </a:p>
      </dsp:txBody>
      <dsp:txXfrm>
        <a:off x="3232485" y="38583"/>
        <a:ext cx="584004" cy="330207"/>
      </dsp:txXfrm>
    </dsp:sp>
    <dsp:sp modelId="{1A805A11-34B2-4547-9AC3-D38054F91140}">
      <dsp:nvSpPr>
        <dsp:cNvPr id="0" name=""/>
        <dsp:cNvSpPr/>
      </dsp:nvSpPr>
      <dsp:spPr>
        <a:xfrm>
          <a:off x="3866020" y="38583"/>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2022</a:t>
          </a:r>
        </a:p>
      </dsp:txBody>
      <dsp:txXfrm>
        <a:off x="4031124" y="38583"/>
        <a:ext cx="495310" cy="330207"/>
      </dsp:txXfrm>
    </dsp:sp>
    <dsp:sp modelId="{E8FE0132-567C-48E3-8786-55757C8F10C4}">
      <dsp:nvSpPr>
        <dsp:cNvPr id="0" name=""/>
        <dsp:cNvSpPr/>
      </dsp:nvSpPr>
      <dsp:spPr>
        <a:xfrm>
          <a:off x="4575965" y="38583"/>
          <a:ext cx="1140130"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2023</a:t>
          </a:r>
        </a:p>
      </dsp:txBody>
      <dsp:txXfrm>
        <a:off x="4741069" y="38583"/>
        <a:ext cx="809923" cy="330207"/>
      </dsp:txXfrm>
    </dsp:sp>
    <dsp:sp modelId="{0F96687B-3F36-4593-85F5-A95695665BDF}">
      <dsp:nvSpPr>
        <dsp:cNvPr id="0" name=""/>
        <dsp:cNvSpPr/>
      </dsp:nvSpPr>
      <dsp:spPr>
        <a:xfrm>
          <a:off x="3453" y="458305"/>
          <a:ext cx="994599" cy="397839"/>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SR v tis. Kč</a:t>
          </a:r>
        </a:p>
      </dsp:txBody>
      <dsp:txXfrm>
        <a:off x="202373" y="458305"/>
        <a:ext cx="596760" cy="397839"/>
      </dsp:txXfrm>
    </dsp:sp>
    <dsp:sp modelId="{92DB449A-781D-438A-A28D-42D189DED613}">
      <dsp:nvSpPr>
        <dsp:cNvPr id="0" name=""/>
        <dsp:cNvSpPr/>
      </dsp:nvSpPr>
      <dsp:spPr>
        <a:xfrm>
          <a:off x="868755" y="492121"/>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166 471</a:t>
          </a:r>
        </a:p>
      </dsp:txBody>
      <dsp:txXfrm>
        <a:off x="1033859" y="492121"/>
        <a:ext cx="495310" cy="330207"/>
      </dsp:txXfrm>
    </dsp:sp>
    <dsp:sp modelId="{58F31D09-ADCD-4DC9-8221-D1D9CF855BAD}">
      <dsp:nvSpPr>
        <dsp:cNvPr id="0" name=""/>
        <dsp:cNvSpPr/>
      </dsp:nvSpPr>
      <dsp:spPr>
        <a:xfrm>
          <a:off x="1578700" y="492121"/>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743804" y="492121"/>
        <a:ext cx="495310" cy="330207"/>
      </dsp:txXfrm>
    </dsp:sp>
    <dsp:sp modelId="{A0DBC11E-E766-4152-BC15-BC0009251B6A}">
      <dsp:nvSpPr>
        <dsp:cNvPr id="0" name=""/>
        <dsp:cNvSpPr/>
      </dsp:nvSpPr>
      <dsp:spPr>
        <a:xfrm>
          <a:off x="2288645" y="492121"/>
          <a:ext cx="924571"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2453749" y="492121"/>
        <a:ext cx="594364" cy="330207"/>
      </dsp:txXfrm>
    </dsp:sp>
    <dsp:sp modelId="{1D04C8CC-6EFD-46D0-BB1C-70E60B93513A}">
      <dsp:nvSpPr>
        <dsp:cNvPr id="0" name=""/>
        <dsp:cNvSpPr/>
      </dsp:nvSpPr>
      <dsp:spPr>
        <a:xfrm>
          <a:off x="3097644" y="492121"/>
          <a:ext cx="944474"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3262748" y="492121"/>
        <a:ext cx="614267" cy="330207"/>
      </dsp:txXfrm>
    </dsp:sp>
    <dsp:sp modelId="{13C9CD02-249A-42BA-89EA-061EDDC086D7}">
      <dsp:nvSpPr>
        <dsp:cNvPr id="0" name=""/>
        <dsp:cNvSpPr/>
      </dsp:nvSpPr>
      <dsp:spPr>
        <a:xfrm>
          <a:off x="3926547" y="492121"/>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4091651" y="492121"/>
        <a:ext cx="495310" cy="330207"/>
      </dsp:txXfrm>
    </dsp:sp>
    <dsp:sp modelId="{10D62D9A-AAE0-458C-9095-B2BB7F451ACB}">
      <dsp:nvSpPr>
        <dsp:cNvPr id="0" name=""/>
        <dsp:cNvSpPr/>
      </dsp:nvSpPr>
      <dsp:spPr>
        <a:xfrm>
          <a:off x="4636492" y="492121"/>
          <a:ext cx="1095280"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4801596" y="492121"/>
        <a:ext cx="765073" cy="330207"/>
      </dsp:txXfrm>
    </dsp:sp>
    <dsp:sp modelId="{F97D4733-33FE-440A-9F4A-E88411DCDC07}">
      <dsp:nvSpPr>
        <dsp:cNvPr id="0" name=""/>
        <dsp:cNvSpPr/>
      </dsp:nvSpPr>
      <dsp:spPr>
        <a:xfrm>
          <a:off x="3453" y="911842"/>
          <a:ext cx="994599" cy="397839"/>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EU v tis. Kč</a:t>
          </a:r>
        </a:p>
      </dsp:txBody>
      <dsp:txXfrm>
        <a:off x="202373" y="911842"/>
        <a:ext cx="596760" cy="397839"/>
      </dsp:txXfrm>
    </dsp:sp>
    <dsp:sp modelId="{16516B57-4DCC-425D-9CC5-42A917385C3E}">
      <dsp:nvSpPr>
        <dsp:cNvPr id="0" name=""/>
        <dsp:cNvSpPr/>
      </dsp:nvSpPr>
      <dsp:spPr>
        <a:xfrm>
          <a:off x="868755" y="945658"/>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943 336</a:t>
          </a:r>
        </a:p>
      </dsp:txBody>
      <dsp:txXfrm>
        <a:off x="1033859" y="945658"/>
        <a:ext cx="495310" cy="330207"/>
      </dsp:txXfrm>
    </dsp:sp>
    <dsp:sp modelId="{8F0EEA60-B1DB-420F-91B7-F24A16C0E9F6}">
      <dsp:nvSpPr>
        <dsp:cNvPr id="0" name=""/>
        <dsp:cNvSpPr/>
      </dsp:nvSpPr>
      <dsp:spPr>
        <a:xfrm>
          <a:off x="1578700" y="945658"/>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743804" y="945658"/>
        <a:ext cx="495310" cy="330207"/>
      </dsp:txXfrm>
    </dsp:sp>
    <dsp:sp modelId="{364DD1D5-65B5-427D-8048-69F9B123D620}">
      <dsp:nvSpPr>
        <dsp:cNvPr id="0" name=""/>
        <dsp:cNvSpPr/>
      </dsp:nvSpPr>
      <dsp:spPr>
        <a:xfrm>
          <a:off x="2288645" y="945658"/>
          <a:ext cx="969975"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2 836 137</a:t>
          </a:r>
        </a:p>
      </dsp:txBody>
      <dsp:txXfrm>
        <a:off x="2453749" y="945658"/>
        <a:ext cx="639768" cy="330207"/>
      </dsp:txXfrm>
    </dsp:sp>
    <dsp:sp modelId="{7249E8C8-FABD-4CA5-BBFA-E45908887436}">
      <dsp:nvSpPr>
        <dsp:cNvPr id="0" name=""/>
        <dsp:cNvSpPr/>
      </dsp:nvSpPr>
      <dsp:spPr>
        <a:xfrm>
          <a:off x="3143048" y="945658"/>
          <a:ext cx="899071"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3308152" y="945658"/>
        <a:ext cx="568864" cy="330207"/>
      </dsp:txXfrm>
    </dsp:sp>
    <dsp:sp modelId="{1F7E2D3B-1C75-4E88-87A3-5E98A54B5AC6}">
      <dsp:nvSpPr>
        <dsp:cNvPr id="0" name=""/>
        <dsp:cNvSpPr/>
      </dsp:nvSpPr>
      <dsp:spPr>
        <a:xfrm>
          <a:off x="3926547" y="945658"/>
          <a:ext cx="825517"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397 800</a:t>
          </a:r>
        </a:p>
      </dsp:txBody>
      <dsp:txXfrm>
        <a:off x="4091651" y="945658"/>
        <a:ext cx="495310" cy="330207"/>
      </dsp:txXfrm>
    </dsp:sp>
    <dsp:sp modelId="{2BB8A638-90F3-4041-95E0-6576F32D89E3}">
      <dsp:nvSpPr>
        <dsp:cNvPr id="0" name=""/>
        <dsp:cNvSpPr/>
      </dsp:nvSpPr>
      <dsp:spPr>
        <a:xfrm>
          <a:off x="4636492" y="945658"/>
          <a:ext cx="1097913" cy="330207"/>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3 698 082</a:t>
          </a:r>
        </a:p>
      </dsp:txBody>
      <dsp:txXfrm>
        <a:off x="4801596" y="945658"/>
        <a:ext cx="767706" cy="33020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DF64E2-7887-4C75-9AFC-DDEF6E290B10}">
      <dsp:nvSpPr>
        <dsp:cNvPr id="0" name=""/>
        <dsp:cNvSpPr/>
      </dsp:nvSpPr>
      <dsp: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Celkové schválené výdaje programu hrazené ze státního rozpočtu činí </a:t>
          </a:r>
          <a:r>
            <a:rPr lang="cs-CZ" sz="1100" b="1" kern="1200" baseline="0">
              <a:solidFill>
                <a:sysClr val="windowText" lastClr="000000"/>
              </a:solidFill>
              <a:latin typeface="Calibri" panose="020F0502020204030204"/>
              <a:ea typeface="+mn-ea"/>
              <a:cs typeface="+mn-cs"/>
            </a:rPr>
            <a:t>15 000 tis. Kč</a:t>
          </a:r>
        </a:p>
      </dsp:txBody>
      <dsp:txXfrm>
        <a:off x="226271" y="0"/>
        <a:ext cx="5186257" cy="452542"/>
      </dsp:txXfrm>
    </dsp:sp>
    <dsp:sp modelId="{49971915-8BC1-462C-8559-1A86CA9363E7}">
      <dsp:nvSpPr>
        <dsp:cNvPr id="0" name=""/>
        <dsp:cNvSpPr/>
      </dsp:nvSpPr>
      <dsp: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100000"/>
            </a:lnSpc>
            <a:spcBef>
              <a:spcPct val="0"/>
            </a:spcBef>
            <a:spcAft>
              <a:spcPts val="0"/>
            </a:spcAft>
            <a:buNone/>
          </a:pPr>
          <a:r>
            <a:rPr lang="cs-CZ" sz="1100" b="1" kern="1200">
              <a:solidFill>
                <a:srgbClr val="5B9BD5">
                  <a:lumMod val="75000"/>
                </a:srgbClr>
              </a:solidFill>
              <a:latin typeface="Calibri" panose="020F0502020204030204"/>
              <a:ea typeface="+mn-ea"/>
              <a:cs typeface="+mn-cs"/>
            </a:rPr>
            <a:t>Celkové skutečně čerpané prostředky státního rozpočtu k 31.12.2023 činí  14 994 tis. Kč</a:t>
          </a:r>
        </a:p>
      </dsp:txBody>
      <dsp:txXfrm>
        <a:off x="242027" y="496791"/>
        <a:ext cx="5154745" cy="48405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1298" y="22583"/>
          <a:ext cx="1015458" cy="40618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Rok</a:t>
          </a:r>
        </a:p>
      </dsp:txBody>
      <dsp:txXfrm>
        <a:off x="204390" y="22583"/>
        <a:ext cx="609275" cy="406183"/>
      </dsp:txXfrm>
    </dsp:sp>
    <dsp:sp modelId="{030F83A3-E98C-4486-A756-7B7DEC40A7DD}">
      <dsp:nvSpPr>
        <dsp:cNvPr id="0" name=""/>
        <dsp:cNvSpPr/>
      </dsp:nvSpPr>
      <dsp:spPr>
        <a:xfrm>
          <a:off x="884747"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před 2019</a:t>
          </a:r>
        </a:p>
      </dsp:txBody>
      <dsp:txXfrm>
        <a:off x="1053313" y="57109"/>
        <a:ext cx="505698" cy="337132"/>
      </dsp:txXfrm>
    </dsp:sp>
    <dsp:sp modelId="{9CF25B67-FA31-41AE-B4EF-CCD2718072B3}">
      <dsp:nvSpPr>
        <dsp:cNvPr id="0" name=""/>
        <dsp:cNvSpPr/>
      </dsp:nvSpPr>
      <dsp:spPr>
        <a:xfrm>
          <a:off x="1609582"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2019</a:t>
          </a:r>
        </a:p>
      </dsp:txBody>
      <dsp:txXfrm>
        <a:off x="1778148" y="57109"/>
        <a:ext cx="505698" cy="337132"/>
      </dsp:txXfrm>
    </dsp:sp>
    <dsp:sp modelId="{ED3FB9E6-0BAA-4702-B8CA-920A66AFC02F}">
      <dsp:nvSpPr>
        <dsp:cNvPr id="0" name=""/>
        <dsp:cNvSpPr/>
      </dsp:nvSpPr>
      <dsp:spPr>
        <a:xfrm>
          <a:off x="2334416"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2020</a:t>
          </a:r>
        </a:p>
      </dsp:txBody>
      <dsp:txXfrm>
        <a:off x="2502982" y="57109"/>
        <a:ext cx="505698" cy="337132"/>
      </dsp:txXfrm>
    </dsp:sp>
    <dsp:sp modelId="{9783D7DD-9297-4972-8B5A-E2BE8A6720CA}">
      <dsp:nvSpPr>
        <dsp:cNvPr id="0" name=""/>
        <dsp:cNvSpPr/>
      </dsp:nvSpPr>
      <dsp:spPr>
        <a:xfrm>
          <a:off x="3059251"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2021</a:t>
          </a:r>
        </a:p>
      </dsp:txBody>
      <dsp:txXfrm>
        <a:off x="3227817" y="57109"/>
        <a:ext cx="505698" cy="337132"/>
      </dsp:txXfrm>
    </dsp:sp>
    <dsp:sp modelId="{1A805A11-34B2-4547-9AC3-D38054F91140}">
      <dsp:nvSpPr>
        <dsp:cNvPr id="0" name=""/>
        <dsp:cNvSpPr/>
      </dsp:nvSpPr>
      <dsp:spPr>
        <a:xfrm>
          <a:off x="3784086"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2022</a:t>
          </a:r>
        </a:p>
      </dsp:txBody>
      <dsp:txXfrm>
        <a:off x="3952652" y="57109"/>
        <a:ext cx="505698" cy="337132"/>
      </dsp:txXfrm>
    </dsp:sp>
    <dsp:sp modelId="{E8FE0132-567C-48E3-8786-55757C8F10C4}">
      <dsp:nvSpPr>
        <dsp:cNvPr id="0" name=""/>
        <dsp:cNvSpPr/>
      </dsp:nvSpPr>
      <dsp:spPr>
        <a:xfrm>
          <a:off x="4508920" y="57109"/>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kern="1200">
              <a:solidFill>
                <a:sysClr val="windowText" lastClr="000000">
                  <a:hueOff val="0"/>
                  <a:satOff val="0"/>
                  <a:lumOff val="0"/>
                  <a:alphaOff val="0"/>
                </a:sysClr>
              </a:solidFill>
              <a:latin typeface="Calibri" panose="020F0502020204030204"/>
              <a:ea typeface="+mn-ea"/>
              <a:cs typeface="+mn-cs"/>
            </a:rPr>
            <a:t>2023</a:t>
          </a:r>
        </a:p>
      </dsp:txBody>
      <dsp:txXfrm>
        <a:off x="4677486" y="57109"/>
        <a:ext cx="505698" cy="337132"/>
      </dsp:txXfrm>
    </dsp:sp>
    <dsp:sp modelId="{0F96687B-3F36-4593-85F5-A95695665BDF}">
      <dsp:nvSpPr>
        <dsp:cNvPr id="0" name=""/>
        <dsp:cNvSpPr/>
      </dsp:nvSpPr>
      <dsp:spPr>
        <a:xfrm>
          <a:off x="1298" y="485632"/>
          <a:ext cx="1015458" cy="40618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SR v tis. Kč</a:t>
          </a:r>
        </a:p>
      </dsp:txBody>
      <dsp:txXfrm>
        <a:off x="204390" y="485632"/>
        <a:ext cx="609275" cy="406183"/>
      </dsp:txXfrm>
    </dsp:sp>
    <dsp:sp modelId="{92DB449A-781D-438A-A28D-42D189DED613}">
      <dsp:nvSpPr>
        <dsp:cNvPr id="0" name=""/>
        <dsp:cNvSpPr/>
      </dsp:nvSpPr>
      <dsp:spPr>
        <a:xfrm>
          <a:off x="884747"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053313" y="520158"/>
        <a:ext cx="505698" cy="337132"/>
      </dsp:txXfrm>
    </dsp:sp>
    <dsp:sp modelId="{58F31D09-ADCD-4DC9-8221-D1D9CF855BAD}">
      <dsp:nvSpPr>
        <dsp:cNvPr id="0" name=""/>
        <dsp:cNvSpPr/>
      </dsp:nvSpPr>
      <dsp:spPr>
        <a:xfrm>
          <a:off x="1609582"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1778148" y="520158"/>
        <a:ext cx="505698" cy="337132"/>
      </dsp:txXfrm>
    </dsp:sp>
    <dsp:sp modelId="{A0DBC11E-E766-4152-BC15-BC0009251B6A}">
      <dsp:nvSpPr>
        <dsp:cNvPr id="0" name=""/>
        <dsp:cNvSpPr/>
      </dsp:nvSpPr>
      <dsp:spPr>
        <a:xfrm>
          <a:off x="2334416"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0</a:t>
          </a:r>
        </a:p>
      </dsp:txBody>
      <dsp:txXfrm>
        <a:off x="2502982" y="520158"/>
        <a:ext cx="505698" cy="337132"/>
      </dsp:txXfrm>
    </dsp:sp>
    <dsp:sp modelId="{1D04C8CC-6EFD-46D0-BB1C-70E60B93513A}">
      <dsp:nvSpPr>
        <dsp:cNvPr id="0" name=""/>
        <dsp:cNvSpPr/>
      </dsp:nvSpPr>
      <dsp:spPr>
        <a:xfrm>
          <a:off x="3059251"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4 979</a:t>
          </a:r>
        </a:p>
      </dsp:txBody>
      <dsp:txXfrm>
        <a:off x="3227817" y="520158"/>
        <a:ext cx="505698" cy="337132"/>
      </dsp:txXfrm>
    </dsp:sp>
    <dsp:sp modelId="{13C9CD02-249A-42BA-89EA-061EDDC086D7}">
      <dsp:nvSpPr>
        <dsp:cNvPr id="0" name=""/>
        <dsp:cNvSpPr/>
      </dsp:nvSpPr>
      <dsp:spPr>
        <a:xfrm>
          <a:off x="3784086"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3 415</a:t>
          </a:r>
        </a:p>
      </dsp:txBody>
      <dsp:txXfrm>
        <a:off x="3952652" y="520158"/>
        <a:ext cx="505698" cy="337132"/>
      </dsp:txXfrm>
    </dsp:sp>
    <dsp:sp modelId="{10D62D9A-AAE0-458C-9095-B2BB7F451ACB}">
      <dsp:nvSpPr>
        <dsp:cNvPr id="0" name=""/>
        <dsp:cNvSpPr/>
      </dsp:nvSpPr>
      <dsp:spPr>
        <a:xfrm>
          <a:off x="4508920" y="520158"/>
          <a:ext cx="842830" cy="337132"/>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6 600</a:t>
          </a:r>
        </a:p>
      </dsp:txBody>
      <dsp:txXfrm>
        <a:off x="4677486" y="520158"/>
        <a:ext cx="505698" cy="337132"/>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2DF64E2-7887-4C75-9AFC-DDEF6E290B10}">
      <dsp:nvSpPr>
        <dsp:cNvPr id="0" name=""/>
        <dsp:cNvSpPr/>
      </dsp:nvSpPr>
      <dsp:spPr>
        <a:xfrm>
          <a:off x="0" y="0"/>
          <a:ext cx="5638799" cy="452542"/>
        </a:xfrm>
        <a:prstGeom prst="chevron">
          <a:avLst/>
        </a:prstGeom>
        <a:solidFill>
          <a:srgbClr val="A5A5A5"/>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Celkové schválené výdaje programu hrazené ze státního rozpočtu včetně EU</a:t>
          </a:r>
        </a:p>
        <a:p>
          <a:pPr marL="0" lvl="0" indent="0" algn="ctr" defTabSz="488950">
            <a:lnSpc>
              <a:spcPct val="90000"/>
            </a:lnSpc>
            <a:spcBef>
              <a:spcPct val="0"/>
            </a:spcBef>
            <a:spcAft>
              <a:spcPct val="35000"/>
            </a:spcAft>
            <a:buNone/>
          </a:pPr>
          <a:r>
            <a:rPr lang="cs-CZ" sz="1100" kern="1200" baseline="0">
              <a:solidFill>
                <a:sysClr val="windowText" lastClr="000000"/>
              </a:solidFill>
              <a:latin typeface="Calibri" panose="020F0502020204030204"/>
              <a:ea typeface="+mn-ea"/>
              <a:cs typeface="+mn-cs"/>
            </a:rPr>
            <a:t> činí </a:t>
          </a:r>
          <a:r>
            <a:rPr lang="cs-CZ" sz="1100" b="1" kern="1200" baseline="0">
              <a:solidFill>
                <a:sysClr val="windowText" lastClr="000000"/>
              </a:solidFill>
              <a:latin typeface="Calibri" panose="020F0502020204030204"/>
              <a:ea typeface="+mn-ea"/>
              <a:cs typeface="+mn-cs"/>
            </a:rPr>
            <a:t>449 312 875 tis. Kč</a:t>
          </a:r>
        </a:p>
      </dsp:txBody>
      <dsp:txXfrm>
        <a:off x="226271" y="0"/>
        <a:ext cx="5186257" cy="452542"/>
      </dsp:txXfrm>
    </dsp:sp>
    <dsp:sp modelId="{49971915-8BC1-462C-8559-1A86CA9363E7}">
      <dsp:nvSpPr>
        <dsp:cNvPr id="0" name=""/>
        <dsp:cNvSpPr/>
      </dsp:nvSpPr>
      <dsp:spPr>
        <a:xfrm>
          <a:off x="0" y="496791"/>
          <a:ext cx="5638799" cy="484054"/>
        </a:xfrm>
        <a:prstGeom prst="chevron">
          <a:avLst/>
        </a:prstGeom>
        <a:solidFill>
          <a:srgbClr val="A5A5A5">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100000"/>
            </a:lnSpc>
            <a:spcBef>
              <a:spcPct val="0"/>
            </a:spcBef>
            <a:spcAft>
              <a:spcPts val="0"/>
            </a:spcAft>
            <a:buNone/>
          </a:pPr>
          <a:r>
            <a:rPr lang="cs-CZ" sz="1100" b="1" kern="1200">
              <a:solidFill>
                <a:srgbClr val="5B9BD5">
                  <a:lumMod val="75000"/>
                </a:srgbClr>
              </a:solidFill>
              <a:latin typeface="Calibri" panose="020F0502020204030204"/>
              <a:ea typeface="+mn-ea"/>
              <a:cs typeface="+mn-cs"/>
            </a:rPr>
            <a:t>Celkové skutečně čerpané prostředky státního rozpočtu včetně EU k 31.12.2023 činí       427 630 441 tis. Kč</a:t>
          </a:r>
        </a:p>
      </dsp:txBody>
      <dsp:txXfrm>
        <a:off x="242027" y="496791"/>
        <a:ext cx="5154745" cy="48405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44" y="16034"/>
          <a:ext cx="984684" cy="39387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Rok</a:t>
          </a:r>
        </a:p>
      </dsp:txBody>
      <dsp:txXfrm>
        <a:off x="196981" y="16034"/>
        <a:ext cx="590811" cy="393873"/>
      </dsp:txXfrm>
    </dsp:sp>
    <dsp:sp modelId="{030F83A3-E98C-4486-A756-7B7DEC40A7DD}">
      <dsp:nvSpPr>
        <dsp:cNvPr id="0" name=""/>
        <dsp:cNvSpPr/>
      </dsp:nvSpPr>
      <dsp:spPr>
        <a:xfrm>
          <a:off x="856719" y="49514"/>
          <a:ext cx="98004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před 2019</a:t>
          </a:r>
        </a:p>
      </dsp:txBody>
      <dsp:txXfrm>
        <a:off x="1020177" y="49514"/>
        <a:ext cx="653127" cy="326915"/>
      </dsp:txXfrm>
    </dsp:sp>
    <dsp:sp modelId="{9CF25B67-FA31-41AE-B4EF-CCD2718072B3}">
      <dsp:nvSpPr>
        <dsp:cNvPr id="0" name=""/>
        <dsp:cNvSpPr/>
      </dsp:nvSpPr>
      <dsp:spPr>
        <a:xfrm>
          <a:off x="1722341" y="49514"/>
          <a:ext cx="956406"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2019</a:t>
          </a:r>
        </a:p>
      </dsp:txBody>
      <dsp:txXfrm>
        <a:off x="1885799" y="49514"/>
        <a:ext cx="629491" cy="326915"/>
      </dsp:txXfrm>
    </dsp:sp>
    <dsp:sp modelId="{ED3FB9E6-0BAA-4702-B8CA-920A66AFC02F}">
      <dsp:nvSpPr>
        <dsp:cNvPr id="0" name=""/>
        <dsp:cNvSpPr/>
      </dsp:nvSpPr>
      <dsp:spPr>
        <a:xfrm>
          <a:off x="2564328"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2020</a:t>
          </a:r>
        </a:p>
      </dsp:txBody>
      <dsp:txXfrm>
        <a:off x="2727786" y="49514"/>
        <a:ext cx="622757" cy="326915"/>
      </dsp:txXfrm>
    </dsp:sp>
    <dsp:sp modelId="{9783D7DD-9297-4972-8B5A-E2BE8A6720CA}">
      <dsp:nvSpPr>
        <dsp:cNvPr id="0" name=""/>
        <dsp:cNvSpPr/>
      </dsp:nvSpPr>
      <dsp:spPr>
        <a:xfrm>
          <a:off x="3399579"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2021</a:t>
          </a:r>
        </a:p>
      </dsp:txBody>
      <dsp:txXfrm>
        <a:off x="3563037" y="49514"/>
        <a:ext cx="622757" cy="326915"/>
      </dsp:txXfrm>
    </dsp:sp>
    <dsp:sp modelId="{1A805A11-34B2-4547-9AC3-D38054F91140}">
      <dsp:nvSpPr>
        <dsp:cNvPr id="0" name=""/>
        <dsp:cNvSpPr/>
      </dsp:nvSpPr>
      <dsp:spPr>
        <a:xfrm>
          <a:off x="4234831"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2022</a:t>
          </a:r>
        </a:p>
      </dsp:txBody>
      <dsp:txXfrm>
        <a:off x="4398289" y="49514"/>
        <a:ext cx="622757" cy="326915"/>
      </dsp:txXfrm>
    </dsp:sp>
    <dsp:sp modelId="{E8FE0132-567C-48E3-8786-55757C8F10C4}">
      <dsp:nvSpPr>
        <dsp:cNvPr id="0" name=""/>
        <dsp:cNvSpPr/>
      </dsp:nvSpPr>
      <dsp:spPr>
        <a:xfrm>
          <a:off x="5070083" y="49514"/>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2023</a:t>
          </a:r>
        </a:p>
      </dsp:txBody>
      <dsp:txXfrm>
        <a:off x="5233541" y="49514"/>
        <a:ext cx="622757" cy="326915"/>
      </dsp:txXfrm>
    </dsp:sp>
    <dsp:sp modelId="{0F96687B-3F36-4593-85F5-A95695665BDF}">
      <dsp:nvSpPr>
        <dsp:cNvPr id="0" name=""/>
        <dsp:cNvSpPr/>
      </dsp:nvSpPr>
      <dsp:spPr>
        <a:xfrm>
          <a:off x="44" y="465050"/>
          <a:ext cx="984684" cy="39387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SR v tis. Kč</a:t>
          </a:r>
        </a:p>
      </dsp:txBody>
      <dsp:txXfrm>
        <a:off x="196981" y="465050"/>
        <a:ext cx="590811" cy="393873"/>
      </dsp:txXfrm>
    </dsp:sp>
    <dsp:sp modelId="{92DB449A-781D-438A-A28D-42D189DED613}">
      <dsp:nvSpPr>
        <dsp:cNvPr id="0" name=""/>
        <dsp:cNvSpPr/>
      </dsp:nvSpPr>
      <dsp:spPr>
        <a:xfrm>
          <a:off x="856719" y="498529"/>
          <a:ext cx="98004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33 019 042</a:t>
          </a:r>
        </a:p>
      </dsp:txBody>
      <dsp:txXfrm>
        <a:off x="1020177" y="498529"/>
        <a:ext cx="653127" cy="326915"/>
      </dsp:txXfrm>
    </dsp:sp>
    <dsp:sp modelId="{58F31D09-ADCD-4DC9-8221-D1D9CF855BAD}">
      <dsp:nvSpPr>
        <dsp:cNvPr id="0" name=""/>
        <dsp:cNvSpPr/>
      </dsp:nvSpPr>
      <dsp:spPr>
        <a:xfrm>
          <a:off x="1722341" y="498529"/>
          <a:ext cx="956406"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27 181 146</a:t>
          </a:r>
        </a:p>
      </dsp:txBody>
      <dsp:txXfrm>
        <a:off x="1885799" y="498529"/>
        <a:ext cx="629491" cy="326915"/>
      </dsp:txXfrm>
    </dsp:sp>
    <dsp:sp modelId="{A0DBC11E-E766-4152-BC15-BC0009251B6A}">
      <dsp:nvSpPr>
        <dsp:cNvPr id="0" name=""/>
        <dsp:cNvSpPr/>
      </dsp:nvSpPr>
      <dsp:spPr>
        <a:xfrm>
          <a:off x="2564328"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64 329 560</a:t>
          </a:r>
        </a:p>
      </dsp:txBody>
      <dsp:txXfrm>
        <a:off x="2727786" y="498529"/>
        <a:ext cx="622757" cy="326915"/>
      </dsp:txXfrm>
    </dsp:sp>
    <dsp:sp modelId="{1D04C8CC-6EFD-46D0-BB1C-70E60B93513A}">
      <dsp:nvSpPr>
        <dsp:cNvPr id="0" name=""/>
        <dsp:cNvSpPr/>
      </dsp:nvSpPr>
      <dsp:spPr>
        <a:xfrm>
          <a:off x="3399579"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59 253 891</a:t>
          </a:r>
        </a:p>
      </dsp:txBody>
      <dsp:txXfrm>
        <a:off x="3563037" y="498529"/>
        <a:ext cx="622757" cy="326915"/>
      </dsp:txXfrm>
    </dsp:sp>
    <dsp:sp modelId="{13C9CD02-249A-42BA-89EA-061EDDC086D7}">
      <dsp:nvSpPr>
        <dsp:cNvPr id="0" name=""/>
        <dsp:cNvSpPr/>
      </dsp:nvSpPr>
      <dsp:spPr>
        <a:xfrm>
          <a:off x="4234831"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50 899 754</a:t>
          </a:r>
        </a:p>
      </dsp:txBody>
      <dsp:txXfrm>
        <a:off x="4398289" y="498529"/>
        <a:ext cx="622757" cy="326915"/>
      </dsp:txXfrm>
    </dsp:sp>
    <dsp:sp modelId="{10D62D9A-AAE0-458C-9095-B2BB7F451ACB}">
      <dsp:nvSpPr>
        <dsp:cNvPr id="0" name=""/>
        <dsp:cNvSpPr/>
      </dsp:nvSpPr>
      <dsp:spPr>
        <a:xfrm>
          <a:off x="5070083" y="498529"/>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64 353 005</a:t>
          </a:r>
        </a:p>
      </dsp:txBody>
      <dsp:txXfrm>
        <a:off x="5233541" y="498529"/>
        <a:ext cx="622757" cy="326915"/>
      </dsp:txXfrm>
    </dsp:sp>
    <dsp:sp modelId="{F97D4733-33FE-440A-9F4A-E88411DCDC07}">
      <dsp:nvSpPr>
        <dsp:cNvPr id="0" name=""/>
        <dsp:cNvSpPr/>
      </dsp:nvSpPr>
      <dsp:spPr>
        <a:xfrm>
          <a:off x="44" y="914066"/>
          <a:ext cx="984684" cy="393873"/>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solidFill>
              <a:latin typeface="Calibri" panose="020F0502020204030204"/>
              <a:ea typeface="+mn-ea"/>
              <a:cs typeface="+mn-cs"/>
            </a:rPr>
            <a:t>Skutečnost EU v tis. Kč</a:t>
          </a:r>
        </a:p>
      </dsp:txBody>
      <dsp:txXfrm>
        <a:off x="196981" y="914066"/>
        <a:ext cx="590811" cy="393873"/>
      </dsp:txXfrm>
    </dsp:sp>
    <dsp:sp modelId="{16516B57-4DCC-425D-9CC5-42A917385C3E}">
      <dsp:nvSpPr>
        <dsp:cNvPr id="0" name=""/>
        <dsp:cNvSpPr/>
      </dsp:nvSpPr>
      <dsp:spPr>
        <a:xfrm>
          <a:off x="856719" y="947545"/>
          <a:ext cx="98004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30 891 074</a:t>
          </a:r>
        </a:p>
      </dsp:txBody>
      <dsp:txXfrm>
        <a:off x="1020177" y="947545"/>
        <a:ext cx="653127" cy="326915"/>
      </dsp:txXfrm>
    </dsp:sp>
    <dsp:sp modelId="{8F0EEA60-B1DB-420F-91B7-F24A16C0E9F6}">
      <dsp:nvSpPr>
        <dsp:cNvPr id="0" name=""/>
        <dsp:cNvSpPr/>
      </dsp:nvSpPr>
      <dsp:spPr>
        <a:xfrm>
          <a:off x="1722341" y="947545"/>
          <a:ext cx="956406"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17 562 500</a:t>
          </a:r>
        </a:p>
      </dsp:txBody>
      <dsp:txXfrm>
        <a:off x="1885799" y="947545"/>
        <a:ext cx="629491" cy="326915"/>
      </dsp:txXfrm>
    </dsp:sp>
    <dsp:sp modelId="{364DD1D5-65B5-427D-8048-69F9B123D620}">
      <dsp:nvSpPr>
        <dsp:cNvPr id="0" name=""/>
        <dsp:cNvSpPr/>
      </dsp:nvSpPr>
      <dsp:spPr>
        <a:xfrm>
          <a:off x="2564328"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22 882 066</a:t>
          </a:r>
        </a:p>
      </dsp:txBody>
      <dsp:txXfrm>
        <a:off x="2727786" y="947545"/>
        <a:ext cx="622757" cy="326915"/>
      </dsp:txXfrm>
    </dsp:sp>
    <dsp:sp modelId="{7249E8C8-FABD-4CA5-BBFA-E45908887436}">
      <dsp:nvSpPr>
        <dsp:cNvPr id="0" name=""/>
        <dsp:cNvSpPr/>
      </dsp:nvSpPr>
      <dsp:spPr>
        <a:xfrm>
          <a:off x="3399579"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31 355 923</a:t>
          </a:r>
        </a:p>
      </dsp:txBody>
      <dsp:txXfrm>
        <a:off x="3563037" y="947545"/>
        <a:ext cx="622757" cy="326915"/>
      </dsp:txXfrm>
    </dsp:sp>
    <dsp:sp modelId="{1F7E2D3B-1C75-4E88-87A3-5E98A54B5AC6}">
      <dsp:nvSpPr>
        <dsp:cNvPr id="0" name=""/>
        <dsp:cNvSpPr/>
      </dsp:nvSpPr>
      <dsp:spPr>
        <a:xfrm>
          <a:off x="4234831"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20 168 425</a:t>
          </a:r>
        </a:p>
      </dsp:txBody>
      <dsp:txXfrm>
        <a:off x="4398289" y="947545"/>
        <a:ext cx="622757" cy="326915"/>
      </dsp:txXfrm>
    </dsp:sp>
    <dsp:sp modelId="{2BB8A638-90F3-4041-95E0-6576F32D89E3}">
      <dsp:nvSpPr>
        <dsp:cNvPr id="0" name=""/>
        <dsp:cNvSpPr/>
      </dsp:nvSpPr>
      <dsp:spPr>
        <a:xfrm>
          <a:off x="5070083" y="947545"/>
          <a:ext cx="949672" cy="326915"/>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solidFill>
                <a:sysClr val="windowText" lastClr="000000">
                  <a:hueOff val="0"/>
                  <a:satOff val="0"/>
                  <a:lumOff val="0"/>
                  <a:alphaOff val="0"/>
                </a:sysClr>
              </a:solidFill>
              <a:latin typeface="Calibri" panose="020F0502020204030204"/>
              <a:ea typeface="+mn-ea"/>
              <a:cs typeface="+mn-cs"/>
            </a:rPr>
            <a:t>5 734 055</a:t>
          </a:r>
        </a:p>
      </dsp:txBody>
      <dsp:txXfrm>
        <a:off x="5233541" y="947545"/>
        <a:ext cx="622757" cy="326915"/>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FC3605A-E295-4B93-9C21-930C26D597F8}">
      <dsp:nvSpPr>
        <dsp:cNvPr id="0" name=""/>
        <dsp:cNvSpPr/>
      </dsp:nvSpPr>
      <dsp:spPr>
        <a:xfrm>
          <a:off x="586" y="17785"/>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solidFill>
              <a:latin typeface="Calibri" panose="020F0502020204030204"/>
              <a:ea typeface="+mn-ea"/>
              <a:cs typeface="+mn-cs"/>
            </a:rPr>
            <a:t>Rok</a:t>
          </a:r>
        </a:p>
      </dsp:txBody>
      <dsp:txXfrm>
        <a:off x="241420" y="17785"/>
        <a:ext cx="722501" cy="481667"/>
      </dsp:txXfrm>
    </dsp:sp>
    <dsp:sp modelId="{C70C231C-EB18-4843-9AE6-D1077597BCE3}">
      <dsp:nvSpPr>
        <dsp:cNvPr id="0" name=""/>
        <dsp:cNvSpPr/>
      </dsp:nvSpPr>
      <dsp:spPr>
        <a:xfrm>
          <a:off x="1048212"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2019</a:t>
          </a:r>
        </a:p>
      </dsp:txBody>
      <dsp:txXfrm>
        <a:off x="1248104" y="58727"/>
        <a:ext cx="599676" cy="399783"/>
      </dsp:txXfrm>
    </dsp:sp>
    <dsp:sp modelId="{F4EB4D9C-90D7-413B-95C2-E534DE8BF0A5}">
      <dsp:nvSpPr>
        <dsp:cNvPr id="0" name=""/>
        <dsp:cNvSpPr/>
      </dsp:nvSpPr>
      <dsp:spPr>
        <a:xfrm>
          <a:off x="1907747"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2020</a:t>
          </a:r>
        </a:p>
      </dsp:txBody>
      <dsp:txXfrm>
        <a:off x="2107639" y="58727"/>
        <a:ext cx="599676" cy="399783"/>
      </dsp:txXfrm>
    </dsp:sp>
    <dsp:sp modelId="{8A458846-4FC6-4634-9EA1-87E6EE25407C}">
      <dsp:nvSpPr>
        <dsp:cNvPr id="0" name=""/>
        <dsp:cNvSpPr/>
      </dsp:nvSpPr>
      <dsp:spPr>
        <a:xfrm>
          <a:off x="2767283"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2021</a:t>
          </a:r>
        </a:p>
      </dsp:txBody>
      <dsp:txXfrm>
        <a:off x="2967175" y="58727"/>
        <a:ext cx="599676" cy="399783"/>
      </dsp:txXfrm>
    </dsp:sp>
    <dsp:sp modelId="{5CCDCD27-9AAA-4432-908B-66D3A393ADF2}">
      <dsp:nvSpPr>
        <dsp:cNvPr id="0" name=""/>
        <dsp:cNvSpPr/>
      </dsp:nvSpPr>
      <dsp:spPr>
        <a:xfrm>
          <a:off x="3626818"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2022</a:t>
          </a:r>
        </a:p>
      </dsp:txBody>
      <dsp:txXfrm>
        <a:off x="3826710" y="58727"/>
        <a:ext cx="599676" cy="399783"/>
      </dsp:txXfrm>
    </dsp:sp>
    <dsp:sp modelId="{C761B19E-4017-4ACC-9389-3A6F31884FA8}">
      <dsp:nvSpPr>
        <dsp:cNvPr id="0" name=""/>
        <dsp:cNvSpPr/>
      </dsp:nvSpPr>
      <dsp:spPr>
        <a:xfrm>
          <a:off x="4486354" y="58727"/>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2023</a:t>
          </a:r>
        </a:p>
      </dsp:txBody>
      <dsp:txXfrm>
        <a:off x="4686246" y="58727"/>
        <a:ext cx="599676" cy="399783"/>
      </dsp:txXfrm>
    </dsp:sp>
    <dsp:sp modelId="{AD08A1EE-B61A-4E9E-870D-D94212BCE1BF}">
      <dsp:nvSpPr>
        <dsp:cNvPr id="0" name=""/>
        <dsp:cNvSpPr/>
      </dsp:nvSpPr>
      <dsp:spPr>
        <a:xfrm>
          <a:off x="586" y="566886"/>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solidFill>
              <a:latin typeface="Calibri" panose="020F0502020204030204"/>
              <a:ea typeface="+mn-ea"/>
              <a:cs typeface="+mn-cs"/>
            </a:rPr>
            <a:t>HV CSPSD</a:t>
          </a:r>
        </a:p>
      </dsp:txBody>
      <dsp:txXfrm>
        <a:off x="241420" y="566886"/>
        <a:ext cx="722501" cy="481667"/>
      </dsp:txXfrm>
    </dsp:sp>
    <dsp:sp modelId="{B4C0A6F9-E898-41DD-9058-76E86258E1FE}">
      <dsp:nvSpPr>
        <dsp:cNvPr id="0" name=""/>
        <dsp:cNvSpPr/>
      </dsp:nvSpPr>
      <dsp:spPr>
        <a:xfrm>
          <a:off x="1048212"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12 850</a:t>
          </a:r>
        </a:p>
      </dsp:txBody>
      <dsp:txXfrm>
        <a:off x="1248104" y="607828"/>
        <a:ext cx="599676" cy="399783"/>
      </dsp:txXfrm>
    </dsp:sp>
    <dsp:sp modelId="{9565C981-17B2-46C9-9883-CCB362351697}">
      <dsp:nvSpPr>
        <dsp:cNvPr id="0" name=""/>
        <dsp:cNvSpPr/>
      </dsp:nvSpPr>
      <dsp:spPr>
        <a:xfrm>
          <a:off x="1907747"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23 824</a:t>
          </a:r>
        </a:p>
      </dsp:txBody>
      <dsp:txXfrm>
        <a:off x="2107639" y="607828"/>
        <a:ext cx="599676" cy="399783"/>
      </dsp:txXfrm>
    </dsp:sp>
    <dsp:sp modelId="{F4F537FB-0A5C-47AD-AD49-418B48C23EB6}">
      <dsp:nvSpPr>
        <dsp:cNvPr id="0" name=""/>
        <dsp:cNvSpPr/>
      </dsp:nvSpPr>
      <dsp:spPr>
        <a:xfrm>
          <a:off x="2767283"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14 753</a:t>
          </a:r>
        </a:p>
      </dsp:txBody>
      <dsp:txXfrm>
        <a:off x="2967175" y="607828"/>
        <a:ext cx="599676" cy="399783"/>
      </dsp:txXfrm>
    </dsp:sp>
    <dsp:sp modelId="{53BCF283-5D90-423F-8018-F3C36AABBB67}">
      <dsp:nvSpPr>
        <dsp:cNvPr id="0" name=""/>
        <dsp:cNvSpPr/>
      </dsp:nvSpPr>
      <dsp:spPr>
        <a:xfrm>
          <a:off x="3626818"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6 108</a:t>
          </a:r>
        </a:p>
      </dsp:txBody>
      <dsp:txXfrm>
        <a:off x="3826710" y="607828"/>
        <a:ext cx="599676" cy="399783"/>
      </dsp:txXfrm>
    </dsp:sp>
    <dsp:sp modelId="{47D46504-6314-453D-BC7B-1E4E7921C91E}">
      <dsp:nvSpPr>
        <dsp:cNvPr id="0" name=""/>
        <dsp:cNvSpPr/>
      </dsp:nvSpPr>
      <dsp:spPr>
        <a:xfrm>
          <a:off x="4486354" y="6078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13 705</a:t>
          </a:r>
        </a:p>
      </dsp:txBody>
      <dsp:txXfrm>
        <a:off x="4686246" y="607828"/>
        <a:ext cx="599676" cy="399783"/>
      </dsp:txXfrm>
    </dsp:sp>
    <dsp:sp modelId="{2208B286-54CB-4D2C-AE2C-29FE191EDA6E}">
      <dsp:nvSpPr>
        <dsp:cNvPr id="0" name=""/>
        <dsp:cNvSpPr/>
      </dsp:nvSpPr>
      <dsp:spPr>
        <a:xfrm>
          <a:off x="586" y="1115987"/>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solidFill>
              <a:latin typeface="Calibri" panose="020F0502020204030204"/>
              <a:ea typeface="+mn-ea"/>
              <a:cs typeface="+mn-cs"/>
            </a:rPr>
            <a:t>HV ŘSD ČR</a:t>
          </a:r>
        </a:p>
      </dsp:txBody>
      <dsp:txXfrm>
        <a:off x="241420" y="1115987"/>
        <a:ext cx="722501" cy="481667"/>
      </dsp:txXfrm>
    </dsp:sp>
    <dsp:sp modelId="{5E7B847C-533A-4F48-AF02-A53463814AC2}">
      <dsp:nvSpPr>
        <dsp:cNvPr id="0" name=""/>
        <dsp:cNvSpPr/>
      </dsp:nvSpPr>
      <dsp:spPr>
        <a:xfrm>
          <a:off x="1048212"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8 662</a:t>
          </a:r>
        </a:p>
      </dsp:txBody>
      <dsp:txXfrm>
        <a:off x="1248104" y="1156928"/>
        <a:ext cx="599676" cy="399783"/>
      </dsp:txXfrm>
    </dsp:sp>
    <dsp:sp modelId="{F668E639-5A9F-4966-8C59-2A640FB759B7}">
      <dsp:nvSpPr>
        <dsp:cNvPr id="0" name=""/>
        <dsp:cNvSpPr/>
      </dsp:nvSpPr>
      <dsp:spPr>
        <a:xfrm>
          <a:off x="1907747"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7 988</a:t>
          </a:r>
        </a:p>
      </dsp:txBody>
      <dsp:txXfrm>
        <a:off x="2107639" y="1156928"/>
        <a:ext cx="599676" cy="399783"/>
      </dsp:txXfrm>
    </dsp:sp>
    <dsp:sp modelId="{D4035B12-4969-4E6E-B7B2-82DF87D302C4}">
      <dsp:nvSpPr>
        <dsp:cNvPr id="0" name=""/>
        <dsp:cNvSpPr/>
      </dsp:nvSpPr>
      <dsp:spPr>
        <a:xfrm>
          <a:off x="2767283"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8 475</a:t>
          </a:r>
        </a:p>
      </dsp:txBody>
      <dsp:txXfrm>
        <a:off x="2967175" y="1156928"/>
        <a:ext cx="599676" cy="399783"/>
      </dsp:txXfrm>
    </dsp:sp>
    <dsp:sp modelId="{5F9935C1-7405-438C-8903-FD5FF0290A6A}">
      <dsp:nvSpPr>
        <dsp:cNvPr id="0" name=""/>
        <dsp:cNvSpPr/>
      </dsp:nvSpPr>
      <dsp:spPr>
        <a:xfrm>
          <a:off x="3626818"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2 554</a:t>
          </a:r>
        </a:p>
      </dsp:txBody>
      <dsp:txXfrm>
        <a:off x="3826710" y="1156928"/>
        <a:ext cx="599676" cy="399783"/>
      </dsp:txXfrm>
    </dsp:sp>
    <dsp:sp modelId="{82F11E6C-2298-44C7-B545-6C0B87CC9F00}">
      <dsp:nvSpPr>
        <dsp:cNvPr id="0" name=""/>
        <dsp:cNvSpPr/>
      </dsp:nvSpPr>
      <dsp:spPr>
        <a:xfrm>
          <a:off x="4486354" y="115692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kern="1200">
              <a:solidFill>
                <a:sysClr val="windowText" lastClr="000000">
                  <a:hueOff val="0"/>
                  <a:satOff val="0"/>
                  <a:lumOff val="0"/>
                  <a:alphaOff val="0"/>
                </a:sysClr>
              </a:solidFill>
              <a:latin typeface="Calibri" panose="020F0502020204030204"/>
              <a:ea typeface="+mn-ea"/>
              <a:cs typeface="+mn-cs"/>
            </a:rPr>
            <a:t>-661 041</a:t>
          </a:r>
        </a:p>
      </dsp:txBody>
      <dsp:txXfrm>
        <a:off x="4686246" y="1156928"/>
        <a:ext cx="599676" cy="399783"/>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1DC1FF-37E6-4D22-903D-C40D7155981A}">
      <dsp:nvSpPr>
        <dsp:cNvPr id="0" name=""/>
        <dsp:cNvSpPr/>
      </dsp:nvSpPr>
      <dsp:spPr>
        <a:xfrm>
          <a:off x="586" y="22056"/>
          <a:ext cx="1204168" cy="481667"/>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b="1" kern="1200">
              <a:solidFill>
                <a:sysClr val="windowText" lastClr="000000"/>
              </a:solidFill>
              <a:latin typeface="Calibri" panose="020F0502020204030204"/>
              <a:ea typeface="+mn-ea"/>
              <a:cs typeface="+mn-cs"/>
            </a:rPr>
            <a:t>Celkem</a:t>
          </a:r>
        </a:p>
      </dsp:txBody>
      <dsp:txXfrm>
        <a:off x="241420" y="22056"/>
        <a:ext cx="722501" cy="481667"/>
      </dsp:txXfrm>
    </dsp:sp>
    <dsp:sp modelId="{795EA0FA-8F4C-4AEF-9E6F-FFF73A806215}">
      <dsp:nvSpPr>
        <dsp:cNvPr id="0" name=""/>
        <dsp:cNvSpPr/>
      </dsp:nvSpPr>
      <dsp:spPr>
        <a:xfrm>
          <a:off x="1048212"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b="1" kern="1200">
              <a:solidFill>
                <a:sysClr val="windowText" lastClr="000000">
                  <a:hueOff val="0"/>
                  <a:satOff val="0"/>
                  <a:lumOff val="0"/>
                  <a:alphaOff val="0"/>
                </a:sysClr>
              </a:solidFill>
              <a:latin typeface="Calibri" panose="020F0502020204030204"/>
              <a:ea typeface="+mn-ea"/>
              <a:cs typeface="+mn-cs"/>
            </a:rPr>
            <a:t>21 512</a:t>
          </a:r>
        </a:p>
      </dsp:txBody>
      <dsp:txXfrm>
        <a:off x="1248104" y="62998"/>
        <a:ext cx="599676" cy="399783"/>
      </dsp:txXfrm>
    </dsp:sp>
    <dsp:sp modelId="{614352CE-87D5-4EC6-9D26-DCAF85997F48}">
      <dsp:nvSpPr>
        <dsp:cNvPr id="0" name=""/>
        <dsp:cNvSpPr/>
      </dsp:nvSpPr>
      <dsp:spPr>
        <a:xfrm>
          <a:off x="1907747"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b="1" kern="1200">
              <a:solidFill>
                <a:sysClr val="windowText" lastClr="000000"/>
              </a:solidFill>
              <a:latin typeface="Calibri" panose="020F0502020204030204"/>
              <a:ea typeface="+mn-ea"/>
              <a:cs typeface="+mn-cs"/>
            </a:rPr>
            <a:t>31 812</a:t>
          </a:r>
        </a:p>
      </dsp:txBody>
      <dsp:txXfrm>
        <a:off x="2107639" y="62998"/>
        <a:ext cx="599676" cy="399783"/>
      </dsp:txXfrm>
    </dsp:sp>
    <dsp:sp modelId="{347FAFA1-A626-4666-A1E9-1ED092697994}">
      <dsp:nvSpPr>
        <dsp:cNvPr id="0" name=""/>
        <dsp:cNvSpPr/>
      </dsp:nvSpPr>
      <dsp:spPr>
        <a:xfrm>
          <a:off x="2767283"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b="1" kern="1200">
              <a:solidFill>
                <a:sysClr val="windowText" lastClr="000000">
                  <a:hueOff val="0"/>
                  <a:satOff val="0"/>
                  <a:lumOff val="0"/>
                  <a:alphaOff val="0"/>
                </a:sysClr>
              </a:solidFill>
              <a:latin typeface="Calibri" panose="020F0502020204030204"/>
              <a:ea typeface="+mn-ea"/>
              <a:cs typeface="+mn-cs"/>
            </a:rPr>
            <a:t>23 228</a:t>
          </a:r>
        </a:p>
      </dsp:txBody>
      <dsp:txXfrm>
        <a:off x="2967175" y="62998"/>
        <a:ext cx="599676" cy="399783"/>
      </dsp:txXfrm>
    </dsp:sp>
    <dsp:sp modelId="{2C994B9F-7FD2-403D-8F41-A21CC4C52D54}">
      <dsp:nvSpPr>
        <dsp:cNvPr id="0" name=""/>
        <dsp:cNvSpPr/>
      </dsp:nvSpPr>
      <dsp:spPr>
        <a:xfrm>
          <a:off x="3626818"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b="1" kern="1200">
              <a:solidFill>
                <a:sysClr val="windowText" lastClr="000000">
                  <a:hueOff val="0"/>
                  <a:satOff val="0"/>
                  <a:lumOff val="0"/>
                  <a:alphaOff val="0"/>
                </a:sysClr>
              </a:solidFill>
              <a:latin typeface="Calibri" panose="020F0502020204030204"/>
              <a:ea typeface="+mn-ea"/>
              <a:cs typeface="+mn-cs"/>
            </a:rPr>
            <a:t>8 662</a:t>
          </a:r>
        </a:p>
      </dsp:txBody>
      <dsp:txXfrm>
        <a:off x="3826710" y="62998"/>
        <a:ext cx="599676" cy="399783"/>
      </dsp:txXfrm>
    </dsp:sp>
    <dsp:sp modelId="{6BB3AE19-1697-43CE-AD3A-5F796D8A64D1}">
      <dsp:nvSpPr>
        <dsp:cNvPr id="0" name=""/>
        <dsp:cNvSpPr/>
      </dsp:nvSpPr>
      <dsp:spPr>
        <a:xfrm>
          <a:off x="4486354" y="62998"/>
          <a:ext cx="999459" cy="399783"/>
        </a:xfrm>
        <a:prstGeom prst="chevron">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cs-CZ" sz="1100" b="1" kern="1200">
              <a:solidFill>
                <a:sysClr val="windowText" lastClr="000000">
                  <a:hueOff val="0"/>
                  <a:satOff val="0"/>
                  <a:lumOff val="0"/>
                  <a:alphaOff val="0"/>
                </a:sysClr>
              </a:solidFill>
              <a:latin typeface="Calibri" panose="020F0502020204030204"/>
              <a:ea typeface="+mn-ea"/>
              <a:cs typeface="+mn-cs"/>
            </a:rPr>
            <a:t>-647 336</a:t>
          </a:r>
        </a:p>
      </dsp:txBody>
      <dsp:txXfrm>
        <a:off x="4686246" y="62998"/>
        <a:ext cx="599676" cy="399783"/>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268" y="160846"/>
          <a:ext cx="1579874"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Rok</a:t>
          </a:r>
        </a:p>
      </dsp:txBody>
      <dsp:txXfrm>
        <a:off x="235220" y="160846"/>
        <a:ext cx="1115970" cy="463904"/>
      </dsp:txXfrm>
    </dsp:sp>
    <dsp:sp modelId="{9CF25B67-FA31-41AE-B4EF-CCD2718072B3}">
      <dsp:nvSpPr>
        <dsp:cNvPr id="0" name=""/>
        <dsp:cNvSpPr/>
      </dsp:nvSpPr>
      <dsp:spPr>
        <a:xfrm>
          <a:off x="1432374"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do r. 2019</a:t>
          </a:r>
        </a:p>
      </dsp:txBody>
      <dsp:txXfrm>
        <a:off x="1624895" y="200278"/>
        <a:ext cx="577561" cy="385041"/>
      </dsp:txXfrm>
    </dsp:sp>
    <dsp:sp modelId="{704439E7-7DF2-425A-A50C-DA2DA2E6F8ED}">
      <dsp:nvSpPr>
        <dsp:cNvPr id="0" name=""/>
        <dsp:cNvSpPr/>
      </dsp:nvSpPr>
      <dsp:spPr>
        <a:xfrm>
          <a:off x="2260212"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2020</a:t>
          </a:r>
        </a:p>
      </dsp:txBody>
      <dsp:txXfrm>
        <a:off x="2452733" y="200278"/>
        <a:ext cx="577561" cy="385041"/>
      </dsp:txXfrm>
    </dsp:sp>
    <dsp:sp modelId="{9783D7DD-9297-4972-8B5A-E2BE8A6720CA}">
      <dsp:nvSpPr>
        <dsp:cNvPr id="0" name=""/>
        <dsp:cNvSpPr/>
      </dsp:nvSpPr>
      <dsp:spPr>
        <a:xfrm>
          <a:off x="3088051"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2021</a:t>
          </a:r>
        </a:p>
      </dsp:txBody>
      <dsp:txXfrm>
        <a:off x="3280572" y="200278"/>
        <a:ext cx="577561" cy="385041"/>
      </dsp:txXfrm>
    </dsp:sp>
    <dsp:sp modelId="{1A805A11-34B2-4547-9AC3-D38054F91140}">
      <dsp:nvSpPr>
        <dsp:cNvPr id="0" name=""/>
        <dsp:cNvSpPr/>
      </dsp:nvSpPr>
      <dsp:spPr>
        <a:xfrm>
          <a:off x="3915889"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2022</a:t>
          </a:r>
        </a:p>
      </dsp:txBody>
      <dsp:txXfrm>
        <a:off x="4108410" y="200278"/>
        <a:ext cx="577561" cy="385041"/>
      </dsp:txXfrm>
    </dsp:sp>
    <dsp:sp modelId="{E8FE0132-567C-48E3-8786-55757C8F10C4}">
      <dsp:nvSpPr>
        <dsp:cNvPr id="0" name=""/>
        <dsp:cNvSpPr/>
      </dsp:nvSpPr>
      <dsp:spPr>
        <a:xfrm>
          <a:off x="4743728"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2023</a:t>
          </a:r>
        </a:p>
      </dsp:txBody>
      <dsp:txXfrm>
        <a:off x="4936249" y="200278"/>
        <a:ext cx="577561" cy="385041"/>
      </dsp:txXfrm>
    </dsp:sp>
    <dsp:sp modelId="{0F96687B-3F36-4593-85F5-A95695665BDF}">
      <dsp:nvSpPr>
        <dsp:cNvPr id="0" name=""/>
        <dsp:cNvSpPr/>
      </dsp:nvSpPr>
      <dsp:spPr>
        <a:xfrm>
          <a:off x="3268" y="689698"/>
          <a:ext cx="1572695"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Smlouva                           č. S-285-160/2018</a:t>
          </a:r>
        </a:p>
      </dsp:txBody>
      <dsp:txXfrm>
        <a:off x="235220" y="689698"/>
        <a:ext cx="1108791" cy="463904"/>
      </dsp:txXfrm>
    </dsp:sp>
    <dsp:sp modelId="{58F31D09-ADCD-4DC9-8221-D1D9CF855BAD}">
      <dsp:nvSpPr>
        <dsp:cNvPr id="0" name=""/>
        <dsp:cNvSpPr/>
      </dsp:nvSpPr>
      <dsp:spPr>
        <a:xfrm>
          <a:off x="1425195"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68 337</a:t>
          </a:r>
        </a:p>
      </dsp:txBody>
      <dsp:txXfrm>
        <a:off x="1617716" y="729130"/>
        <a:ext cx="577561" cy="385041"/>
      </dsp:txXfrm>
    </dsp:sp>
    <dsp:sp modelId="{1D04C8CC-6EFD-46D0-BB1C-70E60B93513A}">
      <dsp:nvSpPr>
        <dsp:cNvPr id="0" name=""/>
        <dsp:cNvSpPr/>
      </dsp:nvSpPr>
      <dsp:spPr>
        <a:xfrm>
          <a:off x="2253034"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88 509</a:t>
          </a:r>
        </a:p>
      </dsp:txBody>
      <dsp:txXfrm>
        <a:off x="2445555" y="729130"/>
        <a:ext cx="577561" cy="385041"/>
      </dsp:txXfrm>
    </dsp:sp>
    <dsp:sp modelId="{13C9CD02-249A-42BA-89EA-061EDDC086D7}">
      <dsp:nvSpPr>
        <dsp:cNvPr id="0" name=""/>
        <dsp:cNvSpPr/>
      </dsp:nvSpPr>
      <dsp:spPr>
        <a:xfrm>
          <a:off x="3080872"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70 262</a:t>
          </a:r>
        </a:p>
      </dsp:txBody>
      <dsp:txXfrm>
        <a:off x="3273393" y="729130"/>
        <a:ext cx="577561" cy="385041"/>
      </dsp:txXfrm>
    </dsp:sp>
    <dsp:sp modelId="{10D62D9A-AAE0-458C-9095-B2BB7F451ACB}">
      <dsp:nvSpPr>
        <dsp:cNvPr id="0" name=""/>
        <dsp:cNvSpPr/>
      </dsp:nvSpPr>
      <dsp:spPr>
        <a:xfrm>
          <a:off x="3908710"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72 968</a:t>
          </a:r>
        </a:p>
      </dsp:txBody>
      <dsp:txXfrm>
        <a:off x="4101231" y="729130"/>
        <a:ext cx="577561" cy="385041"/>
      </dsp:txXfrm>
    </dsp:sp>
    <dsp:sp modelId="{3CEE6A7F-7896-4564-927F-AF7EEC6A4BD8}">
      <dsp:nvSpPr>
        <dsp:cNvPr id="0" name=""/>
        <dsp:cNvSpPr/>
      </dsp:nvSpPr>
      <dsp:spPr>
        <a:xfrm>
          <a:off x="4736549"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112 246</a:t>
          </a:r>
        </a:p>
      </dsp:txBody>
      <dsp:txXfrm>
        <a:off x="4929070" y="729130"/>
        <a:ext cx="577561" cy="38504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268" y="160846"/>
          <a:ext cx="1579874"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Rok</a:t>
          </a:r>
        </a:p>
      </dsp:txBody>
      <dsp:txXfrm>
        <a:off x="235220" y="160846"/>
        <a:ext cx="1115970" cy="463904"/>
      </dsp:txXfrm>
    </dsp:sp>
    <dsp:sp modelId="{9CF25B67-FA31-41AE-B4EF-CCD2718072B3}">
      <dsp:nvSpPr>
        <dsp:cNvPr id="0" name=""/>
        <dsp:cNvSpPr/>
      </dsp:nvSpPr>
      <dsp:spPr>
        <a:xfrm>
          <a:off x="1432374"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do r. 2019</a:t>
          </a:r>
        </a:p>
      </dsp:txBody>
      <dsp:txXfrm>
        <a:off x="1624895" y="200278"/>
        <a:ext cx="577561" cy="385041"/>
      </dsp:txXfrm>
    </dsp:sp>
    <dsp:sp modelId="{ED3FB9E6-0BAA-4702-B8CA-920A66AFC02F}">
      <dsp:nvSpPr>
        <dsp:cNvPr id="0" name=""/>
        <dsp:cNvSpPr/>
      </dsp:nvSpPr>
      <dsp:spPr>
        <a:xfrm>
          <a:off x="2260212"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2020</a:t>
          </a:r>
        </a:p>
      </dsp:txBody>
      <dsp:txXfrm>
        <a:off x="2452733" y="200278"/>
        <a:ext cx="577561" cy="385041"/>
      </dsp:txXfrm>
    </dsp:sp>
    <dsp:sp modelId="{9783D7DD-9297-4972-8B5A-E2BE8A6720CA}">
      <dsp:nvSpPr>
        <dsp:cNvPr id="0" name=""/>
        <dsp:cNvSpPr/>
      </dsp:nvSpPr>
      <dsp:spPr>
        <a:xfrm>
          <a:off x="3088051"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2021</a:t>
          </a:r>
        </a:p>
      </dsp:txBody>
      <dsp:txXfrm>
        <a:off x="3280572" y="200278"/>
        <a:ext cx="577561" cy="385041"/>
      </dsp:txXfrm>
    </dsp:sp>
    <dsp:sp modelId="{1A805A11-34B2-4547-9AC3-D38054F91140}">
      <dsp:nvSpPr>
        <dsp:cNvPr id="0" name=""/>
        <dsp:cNvSpPr/>
      </dsp:nvSpPr>
      <dsp:spPr>
        <a:xfrm>
          <a:off x="3915889"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2022</a:t>
          </a:r>
        </a:p>
      </dsp:txBody>
      <dsp:txXfrm>
        <a:off x="4108410" y="200278"/>
        <a:ext cx="577561" cy="385041"/>
      </dsp:txXfrm>
    </dsp:sp>
    <dsp:sp modelId="{E8FE0132-567C-48E3-8786-55757C8F10C4}">
      <dsp:nvSpPr>
        <dsp:cNvPr id="0" name=""/>
        <dsp:cNvSpPr/>
      </dsp:nvSpPr>
      <dsp:spPr>
        <a:xfrm>
          <a:off x="4743728"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2023</a:t>
          </a:r>
        </a:p>
      </dsp:txBody>
      <dsp:txXfrm>
        <a:off x="4936249" y="200278"/>
        <a:ext cx="577561" cy="385041"/>
      </dsp:txXfrm>
    </dsp:sp>
    <dsp:sp modelId="{0F96687B-3F36-4593-85F5-A95695665BDF}">
      <dsp:nvSpPr>
        <dsp:cNvPr id="0" name=""/>
        <dsp:cNvSpPr/>
      </dsp:nvSpPr>
      <dsp:spPr>
        <a:xfrm>
          <a:off x="3268" y="689698"/>
          <a:ext cx="1572695"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Smlouva                           č. S-8-330/2017</a:t>
          </a:r>
        </a:p>
      </dsp:txBody>
      <dsp:txXfrm>
        <a:off x="235220" y="689698"/>
        <a:ext cx="1108791" cy="463904"/>
      </dsp:txXfrm>
    </dsp:sp>
    <dsp:sp modelId="{58F31D09-ADCD-4DC9-8221-D1D9CF855BAD}">
      <dsp:nvSpPr>
        <dsp:cNvPr id="0" name=""/>
        <dsp:cNvSpPr/>
      </dsp:nvSpPr>
      <dsp:spPr>
        <a:xfrm>
          <a:off x="1425195"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98 993</a:t>
          </a:r>
        </a:p>
      </dsp:txBody>
      <dsp:txXfrm>
        <a:off x="1617716" y="729130"/>
        <a:ext cx="577561" cy="385041"/>
      </dsp:txXfrm>
    </dsp:sp>
    <dsp:sp modelId="{1D04C8CC-6EFD-46D0-BB1C-70E60B93513A}">
      <dsp:nvSpPr>
        <dsp:cNvPr id="0" name=""/>
        <dsp:cNvSpPr/>
      </dsp:nvSpPr>
      <dsp:spPr>
        <a:xfrm>
          <a:off x="2253034"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48 340</a:t>
          </a:r>
        </a:p>
      </dsp:txBody>
      <dsp:txXfrm>
        <a:off x="2445555" y="729130"/>
        <a:ext cx="577561" cy="385041"/>
      </dsp:txXfrm>
    </dsp:sp>
    <dsp:sp modelId="{13C9CD02-249A-42BA-89EA-061EDDC086D7}">
      <dsp:nvSpPr>
        <dsp:cNvPr id="0" name=""/>
        <dsp:cNvSpPr/>
      </dsp:nvSpPr>
      <dsp:spPr>
        <a:xfrm>
          <a:off x="3080872"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51 040</a:t>
          </a:r>
        </a:p>
      </dsp:txBody>
      <dsp:txXfrm>
        <a:off x="3273393" y="729130"/>
        <a:ext cx="577561" cy="385041"/>
      </dsp:txXfrm>
    </dsp:sp>
    <dsp:sp modelId="{10D62D9A-AAE0-458C-9095-B2BB7F451ACB}">
      <dsp:nvSpPr>
        <dsp:cNvPr id="0" name=""/>
        <dsp:cNvSpPr/>
      </dsp:nvSpPr>
      <dsp:spPr>
        <a:xfrm>
          <a:off x="3908710"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56 484</a:t>
          </a:r>
        </a:p>
      </dsp:txBody>
      <dsp:txXfrm>
        <a:off x="4101231" y="729130"/>
        <a:ext cx="577561" cy="385041"/>
      </dsp:txXfrm>
    </dsp:sp>
    <dsp:sp modelId="{3CEE6A7F-7896-4564-927F-AF7EEC6A4BD8}">
      <dsp:nvSpPr>
        <dsp:cNvPr id="0" name=""/>
        <dsp:cNvSpPr/>
      </dsp:nvSpPr>
      <dsp:spPr>
        <a:xfrm>
          <a:off x="4736549"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59 077</a:t>
          </a:r>
        </a:p>
      </dsp:txBody>
      <dsp:txXfrm>
        <a:off x="4929070" y="729130"/>
        <a:ext cx="577561" cy="385041"/>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268" y="160846"/>
          <a:ext cx="1579874"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Rok</a:t>
          </a:r>
        </a:p>
      </dsp:txBody>
      <dsp:txXfrm>
        <a:off x="235220" y="160846"/>
        <a:ext cx="1115970" cy="463904"/>
      </dsp:txXfrm>
    </dsp:sp>
    <dsp:sp modelId="{9CF25B67-FA31-41AE-B4EF-CCD2718072B3}">
      <dsp:nvSpPr>
        <dsp:cNvPr id="0" name=""/>
        <dsp:cNvSpPr/>
      </dsp:nvSpPr>
      <dsp:spPr>
        <a:xfrm>
          <a:off x="1432374"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do r. 2019</a:t>
          </a:r>
        </a:p>
      </dsp:txBody>
      <dsp:txXfrm>
        <a:off x="1624895" y="200278"/>
        <a:ext cx="577561" cy="385041"/>
      </dsp:txXfrm>
    </dsp:sp>
    <dsp:sp modelId="{ED3FB9E6-0BAA-4702-B8CA-920A66AFC02F}">
      <dsp:nvSpPr>
        <dsp:cNvPr id="0" name=""/>
        <dsp:cNvSpPr/>
      </dsp:nvSpPr>
      <dsp:spPr>
        <a:xfrm>
          <a:off x="2260212"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2020</a:t>
          </a:r>
        </a:p>
      </dsp:txBody>
      <dsp:txXfrm>
        <a:off x="2452733" y="200278"/>
        <a:ext cx="577561" cy="385041"/>
      </dsp:txXfrm>
    </dsp:sp>
    <dsp:sp modelId="{9783D7DD-9297-4972-8B5A-E2BE8A6720CA}">
      <dsp:nvSpPr>
        <dsp:cNvPr id="0" name=""/>
        <dsp:cNvSpPr/>
      </dsp:nvSpPr>
      <dsp:spPr>
        <a:xfrm>
          <a:off x="3116626"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2021</a:t>
          </a:r>
        </a:p>
      </dsp:txBody>
      <dsp:txXfrm>
        <a:off x="3309147" y="200278"/>
        <a:ext cx="577561" cy="385041"/>
      </dsp:txXfrm>
    </dsp:sp>
    <dsp:sp modelId="{1A805A11-34B2-4547-9AC3-D38054F91140}">
      <dsp:nvSpPr>
        <dsp:cNvPr id="0" name=""/>
        <dsp:cNvSpPr/>
      </dsp:nvSpPr>
      <dsp:spPr>
        <a:xfrm>
          <a:off x="3915889"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2022</a:t>
          </a:r>
        </a:p>
      </dsp:txBody>
      <dsp:txXfrm>
        <a:off x="4108410" y="200278"/>
        <a:ext cx="577561" cy="385041"/>
      </dsp:txXfrm>
    </dsp:sp>
    <dsp:sp modelId="{E8FE0132-567C-48E3-8786-55757C8F10C4}">
      <dsp:nvSpPr>
        <dsp:cNvPr id="0" name=""/>
        <dsp:cNvSpPr/>
      </dsp:nvSpPr>
      <dsp:spPr>
        <a:xfrm>
          <a:off x="4743728"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2023</a:t>
          </a:r>
        </a:p>
      </dsp:txBody>
      <dsp:txXfrm>
        <a:off x="4936249" y="200278"/>
        <a:ext cx="577561" cy="385041"/>
      </dsp:txXfrm>
    </dsp:sp>
    <dsp:sp modelId="{0F96687B-3F36-4593-85F5-A95695665BDF}">
      <dsp:nvSpPr>
        <dsp:cNvPr id="0" name=""/>
        <dsp:cNvSpPr/>
      </dsp:nvSpPr>
      <dsp:spPr>
        <a:xfrm>
          <a:off x="3268" y="689698"/>
          <a:ext cx="1572695"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Smlouva                           č. S-303-150/2019</a:t>
          </a:r>
        </a:p>
      </dsp:txBody>
      <dsp:txXfrm>
        <a:off x="235220" y="689698"/>
        <a:ext cx="1108791" cy="463904"/>
      </dsp:txXfrm>
    </dsp:sp>
    <dsp:sp modelId="{58F31D09-ADCD-4DC9-8221-D1D9CF855BAD}">
      <dsp:nvSpPr>
        <dsp:cNvPr id="0" name=""/>
        <dsp:cNvSpPr/>
      </dsp:nvSpPr>
      <dsp:spPr>
        <a:xfrm>
          <a:off x="1425195"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0</a:t>
          </a:r>
        </a:p>
      </dsp:txBody>
      <dsp:txXfrm>
        <a:off x="1617716" y="729130"/>
        <a:ext cx="577561" cy="385041"/>
      </dsp:txXfrm>
    </dsp:sp>
    <dsp:sp modelId="{1D04C8CC-6EFD-46D0-BB1C-70E60B93513A}">
      <dsp:nvSpPr>
        <dsp:cNvPr id="0" name=""/>
        <dsp:cNvSpPr/>
      </dsp:nvSpPr>
      <dsp:spPr>
        <a:xfrm>
          <a:off x="2253034"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13 960</a:t>
          </a:r>
        </a:p>
      </dsp:txBody>
      <dsp:txXfrm>
        <a:off x="2445555" y="729130"/>
        <a:ext cx="577561" cy="385041"/>
      </dsp:txXfrm>
    </dsp:sp>
    <dsp:sp modelId="{13C9CD02-249A-42BA-89EA-061EDDC086D7}">
      <dsp:nvSpPr>
        <dsp:cNvPr id="0" name=""/>
        <dsp:cNvSpPr/>
      </dsp:nvSpPr>
      <dsp:spPr>
        <a:xfrm>
          <a:off x="3080872"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61 370</a:t>
          </a:r>
        </a:p>
      </dsp:txBody>
      <dsp:txXfrm>
        <a:off x="3273393" y="729130"/>
        <a:ext cx="577561" cy="385041"/>
      </dsp:txXfrm>
    </dsp:sp>
    <dsp:sp modelId="{10D62D9A-AAE0-458C-9095-B2BB7F451ACB}">
      <dsp:nvSpPr>
        <dsp:cNvPr id="0" name=""/>
        <dsp:cNvSpPr/>
      </dsp:nvSpPr>
      <dsp:spPr>
        <a:xfrm>
          <a:off x="3908710"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72 142</a:t>
          </a:r>
        </a:p>
      </dsp:txBody>
      <dsp:txXfrm>
        <a:off x="4101231" y="729130"/>
        <a:ext cx="577561" cy="385041"/>
      </dsp:txXfrm>
    </dsp:sp>
    <dsp:sp modelId="{3CEE6A7F-7896-4564-927F-AF7EEC6A4BD8}">
      <dsp:nvSpPr>
        <dsp:cNvPr id="0" name=""/>
        <dsp:cNvSpPr/>
      </dsp:nvSpPr>
      <dsp:spPr>
        <a:xfrm>
          <a:off x="4736549"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60 131</a:t>
          </a:r>
        </a:p>
      </dsp:txBody>
      <dsp:txXfrm>
        <a:off x="4929070" y="729130"/>
        <a:ext cx="577561" cy="385041"/>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385DA-13DB-4725-92A6-A8A61AD2AF5B}">
      <dsp:nvSpPr>
        <dsp:cNvPr id="0" name=""/>
        <dsp:cNvSpPr/>
      </dsp:nvSpPr>
      <dsp:spPr>
        <a:xfrm>
          <a:off x="3268" y="160846"/>
          <a:ext cx="1579874"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Rok</a:t>
          </a:r>
        </a:p>
      </dsp:txBody>
      <dsp:txXfrm>
        <a:off x="235220" y="160846"/>
        <a:ext cx="1115970" cy="463904"/>
      </dsp:txXfrm>
    </dsp:sp>
    <dsp:sp modelId="{9CF25B67-FA31-41AE-B4EF-CCD2718072B3}">
      <dsp:nvSpPr>
        <dsp:cNvPr id="0" name=""/>
        <dsp:cNvSpPr/>
      </dsp:nvSpPr>
      <dsp:spPr>
        <a:xfrm>
          <a:off x="1432374"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do r. 2019</a:t>
          </a:r>
        </a:p>
      </dsp:txBody>
      <dsp:txXfrm>
        <a:off x="1624895" y="200278"/>
        <a:ext cx="577561" cy="385041"/>
      </dsp:txXfrm>
    </dsp:sp>
    <dsp:sp modelId="{ED3FB9E6-0BAA-4702-B8CA-920A66AFC02F}">
      <dsp:nvSpPr>
        <dsp:cNvPr id="0" name=""/>
        <dsp:cNvSpPr/>
      </dsp:nvSpPr>
      <dsp:spPr>
        <a:xfrm>
          <a:off x="2260212"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2020</a:t>
          </a:r>
        </a:p>
      </dsp:txBody>
      <dsp:txXfrm>
        <a:off x="2452733" y="200278"/>
        <a:ext cx="577561" cy="385041"/>
      </dsp:txXfrm>
    </dsp:sp>
    <dsp:sp modelId="{9783D7DD-9297-4972-8B5A-E2BE8A6720CA}">
      <dsp:nvSpPr>
        <dsp:cNvPr id="0" name=""/>
        <dsp:cNvSpPr/>
      </dsp:nvSpPr>
      <dsp:spPr>
        <a:xfrm>
          <a:off x="3088051"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2021</a:t>
          </a:r>
        </a:p>
      </dsp:txBody>
      <dsp:txXfrm>
        <a:off x="3280572" y="200278"/>
        <a:ext cx="577561" cy="385041"/>
      </dsp:txXfrm>
    </dsp:sp>
    <dsp:sp modelId="{1A805A11-34B2-4547-9AC3-D38054F91140}">
      <dsp:nvSpPr>
        <dsp:cNvPr id="0" name=""/>
        <dsp:cNvSpPr/>
      </dsp:nvSpPr>
      <dsp:spPr>
        <a:xfrm>
          <a:off x="3915889"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2022</a:t>
          </a:r>
        </a:p>
      </dsp:txBody>
      <dsp:txXfrm>
        <a:off x="4108410" y="200278"/>
        <a:ext cx="577561" cy="385041"/>
      </dsp:txXfrm>
    </dsp:sp>
    <dsp:sp modelId="{E8FE0132-567C-48E3-8786-55757C8F10C4}">
      <dsp:nvSpPr>
        <dsp:cNvPr id="0" name=""/>
        <dsp:cNvSpPr/>
      </dsp:nvSpPr>
      <dsp:spPr>
        <a:xfrm>
          <a:off x="4743728" y="200278"/>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b="1" kern="1200">
              <a:latin typeface="Calibri" panose="020F0502020204030204"/>
              <a:ea typeface="+mn-ea"/>
              <a:cs typeface="+mn-cs"/>
            </a:rPr>
            <a:t>2023</a:t>
          </a:r>
        </a:p>
      </dsp:txBody>
      <dsp:txXfrm>
        <a:off x="4936249" y="200278"/>
        <a:ext cx="577561" cy="385041"/>
      </dsp:txXfrm>
    </dsp:sp>
    <dsp:sp modelId="{0F96687B-3F36-4593-85F5-A95695665BDF}">
      <dsp:nvSpPr>
        <dsp:cNvPr id="0" name=""/>
        <dsp:cNvSpPr/>
      </dsp:nvSpPr>
      <dsp:spPr>
        <a:xfrm>
          <a:off x="3268" y="689698"/>
          <a:ext cx="1572695" cy="463904"/>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cs-CZ" sz="1050" b="1" kern="1200">
              <a:latin typeface="Calibri" panose="020F0502020204030204"/>
              <a:ea typeface="+mn-ea"/>
              <a:cs typeface="+mn-cs"/>
            </a:rPr>
            <a:t>Smlouva                           č. S-288-330/2019</a:t>
          </a:r>
        </a:p>
      </dsp:txBody>
      <dsp:txXfrm>
        <a:off x="235220" y="689698"/>
        <a:ext cx="1108791" cy="463904"/>
      </dsp:txXfrm>
    </dsp:sp>
    <dsp:sp modelId="{58F31D09-ADCD-4DC9-8221-D1D9CF855BAD}">
      <dsp:nvSpPr>
        <dsp:cNvPr id="0" name=""/>
        <dsp:cNvSpPr/>
      </dsp:nvSpPr>
      <dsp:spPr>
        <a:xfrm>
          <a:off x="1425195"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0</a:t>
          </a:r>
        </a:p>
      </dsp:txBody>
      <dsp:txXfrm>
        <a:off x="1617716" y="729130"/>
        <a:ext cx="577561" cy="385041"/>
      </dsp:txXfrm>
    </dsp:sp>
    <dsp:sp modelId="{1D04C8CC-6EFD-46D0-BB1C-70E60B93513A}">
      <dsp:nvSpPr>
        <dsp:cNvPr id="0" name=""/>
        <dsp:cNvSpPr/>
      </dsp:nvSpPr>
      <dsp:spPr>
        <a:xfrm>
          <a:off x="2253034"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13 236</a:t>
          </a:r>
        </a:p>
      </dsp:txBody>
      <dsp:txXfrm>
        <a:off x="2445555" y="729130"/>
        <a:ext cx="577561" cy="385041"/>
      </dsp:txXfrm>
    </dsp:sp>
    <dsp:sp modelId="{13C9CD02-249A-42BA-89EA-061EDDC086D7}">
      <dsp:nvSpPr>
        <dsp:cNvPr id="0" name=""/>
        <dsp:cNvSpPr/>
      </dsp:nvSpPr>
      <dsp:spPr>
        <a:xfrm>
          <a:off x="3080872"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72 884</a:t>
          </a:r>
        </a:p>
      </dsp:txBody>
      <dsp:txXfrm>
        <a:off x="3273393" y="729130"/>
        <a:ext cx="577561" cy="385041"/>
      </dsp:txXfrm>
    </dsp:sp>
    <dsp:sp modelId="{10D62D9A-AAE0-458C-9095-B2BB7F451ACB}">
      <dsp:nvSpPr>
        <dsp:cNvPr id="0" name=""/>
        <dsp:cNvSpPr/>
      </dsp:nvSpPr>
      <dsp:spPr>
        <a:xfrm>
          <a:off x="3908710"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71 564</a:t>
          </a:r>
        </a:p>
      </dsp:txBody>
      <dsp:txXfrm>
        <a:off x="4101231" y="729130"/>
        <a:ext cx="577561" cy="385041"/>
      </dsp:txXfrm>
    </dsp:sp>
    <dsp:sp modelId="{3CEE6A7F-7896-4564-927F-AF7EEC6A4BD8}">
      <dsp:nvSpPr>
        <dsp:cNvPr id="0" name=""/>
        <dsp:cNvSpPr/>
      </dsp:nvSpPr>
      <dsp:spPr>
        <a:xfrm>
          <a:off x="4736549" y="729130"/>
          <a:ext cx="962602" cy="385041"/>
        </a:xfrm>
        <a:prstGeom prst="chevro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cs-CZ" sz="1000" kern="1200">
              <a:latin typeface="Calibri" panose="020F0502020204030204"/>
              <a:ea typeface="+mn-ea"/>
              <a:cs typeface="+mn-cs"/>
            </a:rPr>
            <a:t>78 016</a:t>
          </a:r>
        </a:p>
      </dsp:txBody>
      <dsp:txXfrm>
        <a:off x="4929070" y="729130"/>
        <a:ext cx="577561" cy="38504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4.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6.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7.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8.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9.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0.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2.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3.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4.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5.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6.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7.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8.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19.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layout20.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0.10561</cdr:x>
      <cdr:y>0.49829</cdr:y>
    </cdr:from>
    <cdr:to>
      <cdr:x>0.94105</cdr:x>
      <cdr:y>0.49847</cdr:y>
    </cdr:to>
    <cdr:cxnSp macro="">
      <cdr:nvCxnSpPr>
        <cdr:cNvPr id="3" name="Přímá spojnice 2"/>
        <cdr:cNvCxnSpPr/>
      </cdr:nvCxnSpPr>
      <cdr:spPr>
        <a:xfrm xmlns:a="http://schemas.openxmlformats.org/drawingml/2006/main" flipV="1">
          <a:off x="602579" y="1122013"/>
          <a:ext cx="4766582" cy="405"/>
        </a:xfrm>
        <a:prstGeom xmlns:a="http://schemas.openxmlformats.org/drawingml/2006/main" prst="line">
          <a:avLst/>
        </a:prstGeom>
        <a:ln xmlns:a="http://schemas.openxmlformats.org/drawingml/2006/main" w="31750">
          <a:solidFill>
            <a:schemeClr val="dk1"/>
          </a:solidFill>
          <a:prstDash val="dash"/>
          <a:headEnd type="none" w="med" len="med"/>
          <a:tailEnd type="none" w="med" len="med"/>
        </a:ln>
      </cdr:spPr>
      <cdr:style>
        <a:lnRef xmlns:a="http://schemas.openxmlformats.org/drawingml/2006/main" idx="3">
          <a:schemeClr val="dk1"/>
        </a:lnRef>
        <a:fillRef xmlns:a="http://schemas.openxmlformats.org/drawingml/2006/main" idx="0">
          <a:schemeClr val="dk1"/>
        </a:fillRef>
        <a:effectRef xmlns:a="http://schemas.openxmlformats.org/drawingml/2006/main" idx="2">
          <a:schemeClr val="dk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0.03866</cdr:x>
      <cdr:y>0.0545</cdr:y>
    </cdr:from>
    <cdr:to>
      <cdr:x>0.16816</cdr:x>
      <cdr:y>0.13856</cdr:y>
    </cdr:to>
    <cdr:sp macro="" textlink="">
      <cdr:nvSpPr>
        <cdr:cNvPr id="2" name="Textové pole 1"/>
        <cdr:cNvSpPr txBox="1"/>
      </cdr:nvSpPr>
      <cdr:spPr>
        <a:xfrm xmlns:a="http://schemas.openxmlformats.org/drawingml/2006/main">
          <a:off x="222682" y="117697"/>
          <a:ext cx="745849" cy="1815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900" b="1"/>
            <a:t>18</a:t>
          </a:r>
          <a:r>
            <a:rPr lang="cs-CZ" sz="900" b="1" baseline="0"/>
            <a:t> 844 878</a:t>
          </a:r>
          <a:endParaRPr lang="cs-CZ" sz="900" b="1"/>
        </a:p>
      </cdr:txBody>
    </cdr:sp>
  </cdr:relSizeAnchor>
  <cdr:relSizeAnchor xmlns:cdr="http://schemas.openxmlformats.org/drawingml/2006/chartDrawing">
    <cdr:from>
      <cdr:x>0</cdr:x>
      <cdr:y>0.11246</cdr:y>
    </cdr:from>
    <cdr:to>
      <cdr:x>0.1295</cdr:x>
      <cdr:y>0.16869</cdr:y>
    </cdr:to>
    <cdr:sp macro="" textlink="">
      <cdr:nvSpPr>
        <cdr:cNvPr id="3" name="Textové pole 1"/>
        <cdr:cNvSpPr txBox="1"/>
      </cdr:nvSpPr>
      <cdr:spPr>
        <a:xfrm xmlns:a="http://schemas.openxmlformats.org/drawingml/2006/main">
          <a:off x="-895350" y="323850"/>
          <a:ext cx="723900" cy="1619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endParaRPr lang="cs-CZ" sz="800"/>
        </a:p>
      </cdr:txBody>
    </cdr:sp>
  </cdr:relSizeAnchor>
  <cdr:relSizeAnchor xmlns:cdr="http://schemas.openxmlformats.org/drawingml/2006/chartDrawing">
    <cdr:from>
      <cdr:x>0.09884</cdr:x>
      <cdr:y>0</cdr:y>
    </cdr:from>
    <cdr:to>
      <cdr:x>0.22834</cdr:x>
      <cdr:y>0.09587</cdr:y>
    </cdr:to>
    <cdr:sp macro="" textlink="">
      <cdr:nvSpPr>
        <cdr:cNvPr id="4" name="Textové pole 1"/>
        <cdr:cNvSpPr txBox="1"/>
      </cdr:nvSpPr>
      <cdr:spPr>
        <a:xfrm xmlns:a="http://schemas.openxmlformats.org/drawingml/2006/main">
          <a:off x="569270" y="-1819275"/>
          <a:ext cx="745848" cy="20704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cs-CZ" sz="900" b="1" baseline="0"/>
            <a:t>20 241 652</a:t>
          </a:r>
        </a:p>
        <a:p xmlns:a="http://schemas.openxmlformats.org/drawingml/2006/main">
          <a:endParaRPr lang="cs-CZ" sz="900" b="1"/>
        </a:p>
      </cdr:txBody>
    </cdr:sp>
  </cdr:relSizeAnchor>
</c:userShape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352ce92f-50f3-4253-9fad-b6e5ea204dd5"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AC9C25D5707554FA354B32C809EBB4C" ma:contentTypeVersion="8" ma:contentTypeDescription="Vytvoří nový dokument" ma:contentTypeScope="" ma:versionID="f40b5a2fd211e9ed5c6a1988e5d91b33">
  <xsd:schema xmlns:xsd="http://www.w3.org/2001/XMLSchema" xmlns:xs="http://www.w3.org/2001/XMLSchema" xmlns:p="http://schemas.microsoft.com/office/2006/metadata/properties" xmlns:ns3="69365a4e-5cc1-45d8-b5f0-9df5c3b03723" xmlns:ns4="352ce92f-50f3-4253-9fad-b6e5ea204dd5" targetNamespace="http://schemas.microsoft.com/office/2006/metadata/properties" ma:root="true" ma:fieldsID="9445d6c20528f8c5ddb4621760e2f3fc" ns3:_="" ns4:_="">
    <xsd:import namespace="69365a4e-5cc1-45d8-b5f0-9df5c3b03723"/>
    <xsd:import namespace="352ce92f-50f3-4253-9fad-b6e5ea204dd5"/>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365a4e-5cc1-45d8-b5f0-9df5c3b03723"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SharingHintHash" ma:index="10" nillable="true" ma:displayName="Hodnota hash upozornění na sdílení"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2ce92f-50f3-4253-9fad-b6e5ea204dd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_activity" ma:index="15"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1C75CBA-C8FB-48C8-93C6-6226C225EDB7}">
  <ds:schemaRefs>
    <ds:schemaRef ds:uri="http://schemas.microsoft.com/office/2006/metadata/properties"/>
    <ds:schemaRef ds:uri="http://schemas.microsoft.com/office/infopath/2007/PartnerControls"/>
    <ds:schemaRef ds:uri="352ce92f-50f3-4253-9fad-b6e5ea204dd5"/>
  </ds:schemaRefs>
</ds:datastoreItem>
</file>

<file path=customXml/itemProps2.xml><?xml version="1.0" encoding="utf-8"?>
<ds:datastoreItem xmlns:ds="http://schemas.openxmlformats.org/officeDocument/2006/customXml" ds:itemID="{2174CB03-E10F-477D-83BD-E1325D406E7B}">
  <ds:schemaRefs>
    <ds:schemaRef ds:uri="http://schemas.openxmlformats.org/officeDocument/2006/bibliography"/>
  </ds:schemaRefs>
</ds:datastoreItem>
</file>

<file path=customXml/itemProps3.xml><?xml version="1.0" encoding="utf-8"?>
<ds:datastoreItem xmlns:ds="http://schemas.openxmlformats.org/officeDocument/2006/customXml" ds:itemID="{82777745-8DEC-4CE4-B68D-15BEA717A685}">
  <ds:schemaRefs>
    <ds:schemaRef ds:uri="http://schemas.microsoft.com/sharepoint/v3/contenttype/forms"/>
  </ds:schemaRefs>
</ds:datastoreItem>
</file>

<file path=customXml/itemProps4.xml><?xml version="1.0" encoding="utf-8"?>
<ds:datastoreItem xmlns:ds="http://schemas.openxmlformats.org/officeDocument/2006/customXml" ds:itemID="{E01131B9-FBB9-459F-B6AC-2162B3D004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365a4e-5cc1-45d8-b5f0-9df5c3b03723"/>
    <ds:schemaRef ds:uri="352ce92f-50f3-4253-9fad-b6e5ea204d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3553</TotalTime>
  <Pages>153</Pages>
  <Words>43871</Words>
  <Characters>258842</Characters>
  <Application>Microsoft Office Word</Application>
  <DocSecurity>0</DocSecurity>
  <Lines>2157</Lines>
  <Paragraphs>604</Paragraphs>
  <ScaleCrop>false</ScaleCrop>
  <HeadingPairs>
    <vt:vector size="2" baseType="variant">
      <vt:variant>
        <vt:lpstr>Název</vt:lpstr>
      </vt:variant>
      <vt:variant>
        <vt:i4>1</vt:i4>
      </vt:variant>
    </vt:vector>
  </HeadingPairs>
  <TitlesOfParts>
    <vt:vector size="1" baseType="lpstr">
      <vt:lpstr/>
    </vt:vector>
  </TitlesOfParts>
  <Company>MD</Company>
  <LinksUpToDate>false</LinksUpToDate>
  <CharactersWithSpaces>302109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Novák Daniel Ing.</dc:creator>
  <cp:keywords/>
  <dc:description/>
  <cp:lastModifiedBy>Vrkoslav Marcel Ing.</cp:lastModifiedBy>
  <cp:revision>1437</cp:revision>
  <cp:lastPrinted>2024-03-21T12:31:00Z</cp:lastPrinted>
  <dcterms:created xsi:type="dcterms:W3CDTF">2023-03-17T12:57:00Z</dcterms:created>
  <dcterms:modified xsi:type="dcterms:W3CDTF">2024-03-26T07:10:00Z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0x0101004AC9C25D5707554FA354B32C809EBB4C</vt:lpwstr>
  </property>
</Properties>
</file>